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266065</wp:posOffset>
            </wp:positionV>
            <wp:extent cx="65322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74" w:lineRule="exact"/>
        <w:rPr>
          <w:sz w:val="24"/>
          <w:szCs w:val="24"/>
          <w:color w:val="auto"/>
        </w:rPr>
      </w:pPr>
    </w:p>
    <w:p>
      <w:pPr>
        <w:ind w:left="440" w:hanging="414"/>
        <w:spacing w:after="0"/>
        <w:tabs>
          <w:tab w:leader="none" w:pos="440" w:val="left"/>
        </w:tabs>
        <w:numPr>
          <w:ilvl w:val="0"/>
          <w:numId w:val="1"/>
        </w:numPr>
        <w:rPr>
          <w:rFonts w:ascii="Arial" w:cs="Arial" w:eastAsia="Arial" w:hAnsi="Arial"/>
          <w:sz w:val="14"/>
          <w:szCs w:val="14"/>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40" w:hanging="414"/>
        <w:spacing w:after="0"/>
        <w:tabs>
          <w:tab w:leader="none" w:pos="44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001-39205</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REYNOLDS CONSUMER PRODUCTS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29" w:right="339" w:bottom="1440" w:gutter="0" w:footer="0" w:header="0"/>
        </w:sectPr>
      </w:pPr>
    </w:p>
    <w:p>
      <w:pPr>
        <w:spacing w:after="0" w:line="9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45-3464426</w:t>
      </w:r>
    </w:p>
    <w:p>
      <w:pPr>
        <w:spacing w:after="0" w:line="200" w:lineRule="exact"/>
        <w:rPr>
          <w:sz w:val="24"/>
          <w:szCs w:val="24"/>
          <w:color w:val="auto"/>
        </w:rPr>
      </w:pPr>
    </w:p>
    <w:p>
      <w:pPr>
        <w:sectPr>
          <w:pgSz w:w="11900" w:h="16838" w:orient="portrait"/>
          <w:cols w:equalWidth="0" w:num="2">
            <w:col w:w="7280" w:space="720"/>
            <w:col w:w="3240"/>
          </w:cols>
          <w:pgMar w:left="320" w:top="229" w:right="339" w:bottom="1440" w:gutter="0" w:footer="0" w:header="0"/>
          <w:type w:val="continuous"/>
        </w:sectPr>
      </w:pPr>
    </w:p>
    <w:p>
      <w:pPr>
        <w:spacing w:after="0" w:line="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20" w:lineRule="exact"/>
        <w:rPr>
          <w:sz w:val="24"/>
          <w:szCs w:val="24"/>
          <w:color w:val="auto"/>
        </w:rPr>
      </w:pPr>
    </w:p>
    <w:p>
      <w:pPr>
        <w:jc w:val="center"/>
        <w:ind w:right="192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118" w:lineRule="exact"/>
        <w:rPr>
          <w:sz w:val="24"/>
          <w:szCs w:val="24"/>
          <w:color w:val="auto"/>
        </w:rPr>
      </w:pPr>
    </w:p>
    <w:p>
      <w:pPr>
        <w:sectPr>
          <w:pgSz w:w="11900" w:h="16838" w:orient="portrait"/>
          <w:cols w:equalWidth="0" w:num="2">
            <w:col w:w="6820" w:space="720"/>
            <w:col w:w="370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1900 W. Field Court</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Lake Forest, Illinois 60045</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(800) 879-5067</w:t>
      </w:r>
    </w:p>
    <w:p>
      <w:pPr>
        <w:sectPr>
          <w:pgSz w:w="11900" w:h="16838" w:orient="portrait"/>
          <w:cols w:equalWidth="0" w:num="1">
            <w:col w:w="11240"/>
          </w:cols>
          <w:pgMar w:left="320" w:top="229" w:right="339" w:bottom="1440" w:gutter="0" w:footer="0" w:header="0"/>
          <w:type w:val="continuous"/>
        </w:sectPr>
      </w:pPr>
    </w:p>
    <w:p>
      <w:pPr>
        <w:spacing w:after="0" w:line="63" w:lineRule="exact"/>
        <w:rPr>
          <w:sz w:val="24"/>
          <w:szCs w:val="24"/>
          <w:color w:val="auto"/>
        </w:rPr>
      </w:pPr>
    </w:p>
    <w:p>
      <w:pPr>
        <w:jc w:val="center"/>
        <w:ind w:left="340" w:right="980"/>
        <w:spacing w:after="0" w:line="281" w:lineRule="auto"/>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5"/>
        </w:trPr>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240" w:type="dxa"/>
            <w:vAlign w:val="bottom"/>
          </w:tcPr>
          <w:p>
            <w:pPr>
              <w:spacing w:after="0"/>
              <w:rPr>
                <w:sz w:val="21"/>
                <w:szCs w:val="21"/>
                <w:color w:val="auto"/>
              </w:rPr>
            </w:pPr>
          </w:p>
        </w:tc>
        <w:tc>
          <w:tcPr>
            <w:tcW w:w="4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REYN</w:t>
            </w:r>
          </w:p>
        </w:tc>
        <w:tc>
          <w:tcPr>
            <w:tcW w:w="4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965200</wp:posOffset>
            </wp:positionH>
            <wp:positionV relativeFrom="paragraph">
              <wp:posOffset>71120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87" w:lineRule="exact"/>
        <w:rPr>
          <w:sz w:val="24"/>
          <w:szCs w:val="24"/>
          <w:color w:val="auto"/>
        </w:rPr>
      </w:pPr>
    </w:p>
    <w:p>
      <w:pPr>
        <w:ind w:right="2600"/>
        <w:spacing w:after="0" w:line="316"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2"/>
          <w:szCs w:val="12"/>
          <w:b w:val="1"/>
          <w:bCs w:val="1"/>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2"/>
          <w:szCs w:val="12"/>
          <w:b w:val="1"/>
          <w:bCs w:val="1"/>
          <w:color w:val="auto"/>
        </w:rPr>
        <w:t>R</w:t>
      </w:r>
    </w:p>
    <w:p>
      <w:pPr>
        <w:spacing w:after="0" w:line="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b w:val="1"/>
          <w:bCs w:val="1"/>
          <w:color w:val="auto"/>
        </w:rPr>
        <w:t>R</w:t>
      </w:r>
    </w:p>
    <w:p>
      <w:pPr>
        <w:spacing w:after="0"/>
        <w:rPr>
          <w:sz w:val="20"/>
          <w:szCs w:val="20"/>
          <w:color w:val="auto"/>
        </w:rPr>
      </w:pPr>
      <w:r>
        <w:rPr>
          <w:rFonts w:ascii="Times New Roman" w:cs="Times New Roman" w:eastAsia="Times New Roman" w:hAnsi="Times New Roman"/>
          <w:sz w:val="16"/>
          <w:szCs w:val="16"/>
          <w:color w:val="auto"/>
        </w:rPr>
        <w:t xml:space="preserve">No </w:t>
      </w:r>
      <w:r>
        <w:rPr>
          <w:rFonts w:ascii="Wingdings" w:cs="Wingdings" w:eastAsia="Wingdings" w:hAnsi="Wingdings"/>
          <w:sz w:val="16"/>
          <w:szCs w:val="16"/>
          <w:b w:val="1"/>
          <w:bCs w:val="1"/>
          <w:color w:val="auto"/>
        </w:rPr>
        <w:t>o</w:t>
      </w:r>
    </w:p>
    <w:p>
      <w:pPr>
        <w:spacing w:after="0" w:line="46"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b w:val="1"/>
          <w:bCs w:val="1"/>
          <w:color w:val="auto"/>
        </w:rPr>
        <w:t>R</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3" w:lineRule="exact"/>
        <w:rPr>
          <w:sz w:val="24"/>
          <w:szCs w:val="24"/>
          <w:color w:val="auto"/>
        </w:rPr>
      </w:pPr>
    </w:p>
    <w:p>
      <w:pPr>
        <w:jc w:val="both"/>
        <w:spacing w:after="0" w:line="284"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tabs>
          <w:tab w:leader="none" w:pos="2200" w:val="left"/>
          <w:tab w:leader="none" w:pos="4080" w:val="left"/>
          <w:tab w:leader="none" w:pos="6280" w:val="left"/>
          <w:tab w:leader="none" w:pos="890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w:cs="Arial" w:eastAsia="Arial" w:hAnsi="Arial"/>
          <w:sz w:val="11"/>
          <w:szCs w:val="11"/>
          <w:b w:val="1"/>
          <w:bCs w:val="1"/>
          <w:color w:val="auto"/>
        </w:rPr>
        <w:t>R</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Wingdings" w:cs="Wingdings" w:eastAsia="Wingdings" w:hAnsi="Wingdings"/>
          <w:sz w:val="14"/>
          <w:szCs w:val="14"/>
          <w:b w:val="1"/>
          <w:bCs w:val="1"/>
          <w:color w:val="auto"/>
        </w:rPr>
        <w:t>o</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o</w:t>
      </w:r>
    </w:p>
    <w:p>
      <w:pPr>
        <w:spacing w:after="0" w:line="14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ind w:right="20"/>
        <w:spacing w:after="0" w:line="290" w:lineRule="auto"/>
        <w:rPr>
          <w:sz w:val="20"/>
          <w:szCs w:val="20"/>
          <w:color w:val="auto"/>
        </w:rPr>
      </w:pPr>
      <w:r>
        <w:rPr>
          <w:rFonts w:ascii="Times New Roman" w:cs="Times New Roman" w:eastAsia="Times New Roman" w:hAnsi="Times New Roman"/>
          <w:sz w:val="16"/>
          <w:szCs w:val="16"/>
          <w:color w:val="231F20"/>
        </w:rPr>
        <w:t xml:space="preserve">Indicate by </w:t>
      </w:r>
      <w:r>
        <w:rPr>
          <w:rFonts w:ascii="Times New Roman" w:cs="Times New Roman" w:eastAsia="Times New Roman" w:hAnsi="Times New Roman"/>
          <w:sz w:val="16"/>
          <w:szCs w:val="16"/>
          <w:color w:val="000000"/>
        </w:rPr>
        <w:t>check</w:t>
      </w:r>
      <w:r>
        <w:rPr>
          <w:rFonts w:ascii="Times New Roman" w:cs="Times New Roman" w:eastAsia="Times New Roman" w:hAnsi="Times New Roman"/>
          <w:sz w:val="16"/>
          <w:szCs w:val="16"/>
          <w:color w:val="231F20"/>
        </w:rPr>
        <w:t xml:space="preserve">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w:cs="Arial" w:eastAsia="Arial" w:hAnsi="Arial"/>
          <w:sz w:val="12"/>
          <w:szCs w:val="12"/>
          <w:b w:val="1"/>
          <w:bCs w:val="1"/>
          <w:color w:val="000000"/>
        </w:rPr>
        <w:t>R</w:t>
      </w:r>
    </w:p>
    <w:p>
      <w:pPr>
        <w:spacing w:after="0" w:line="1" w:lineRule="exact"/>
        <w:rPr>
          <w:sz w:val="24"/>
          <w:szCs w:val="24"/>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Arial" w:cs="Arial" w:eastAsia="Arial" w:hAnsi="Arial"/>
          <w:sz w:val="12"/>
          <w:szCs w:val="12"/>
          <w:b w:val="1"/>
          <w:bCs w:val="1"/>
          <w:color w:val="auto"/>
        </w:rPr>
        <w:t>R</w:t>
      </w:r>
    </w:p>
    <w:p>
      <w:pPr>
        <w:spacing w:after="0" w:line="73"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As of June 28, 2024, the aggregate market value of the registrant’s common stock held by non-affiliates (shareholders other than executive officers, directors or holders of more than 10% of the outstanding stock of the registrant) was approximately $1,516 million, based on the closing price of the registrant’s common stock on such date. This calculation does not reflect a determination that certain persons are affiliates of the registrant for any other purposes.</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registrant had 210,171,173 shares of common stock, $0.001 par value, outstanding as of January 31, 2025.</w:t>
      </w:r>
    </w:p>
    <w:p>
      <w:pPr>
        <w:spacing w:after="0" w:line="73"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Documents incorporated by reference: Portions of the Registrant’s definitive proxy statement relating to its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80" w:type="dxa"/>
            <w:vAlign w:val="bottom"/>
            <w:gridSpan w:val="10"/>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0" w:type="dxa"/>
            <w:vAlign w:val="bottom"/>
            <w:gridSpan w:val="9"/>
          </w:tcPr>
          <w:p>
            <w:pPr>
              <w:jc w:val="center"/>
              <w:ind w:right="2940"/>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9680" w:type="dxa"/>
            <w:vAlign w:val="bottom"/>
            <w:gridSpan w:val="29"/>
            <w:vMerge w:val="restart"/>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600" w:type="dxa"/>
            <w:vAlign w:val="bottom"/>
            <w:tcBorders>
              <w:bottom w:val="single" w:sz="8" w:color="0000FF"/>
            </w:tcBorders>
            <w:vMerge w:val="continue"/>
          </w:tcPr>
          <w:p>
            <w:pPr>
              <w:spacing w:after="0"/>
              <w:rPr>
                <w:sz w:val="24"/>
                <w:szCs w:val="24"/>
                <w:color w:val="auto"/>
              </w:rPr>
            </w:pPr>
          </w:p>
        </w:tc>
        <w:tc>
          <w:tcPr>
            <w:tcW w:w="9680" w:type="dxa"/>
            <w:vAlign w:val="bottom"/>
            <w:gridSpan w:val="29"/>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 Business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6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Item 1A. Risk Factors</w:t>
            </w:r>
          </w:p>
        </w:tc>
        <w:tc>
          <w:tcPr>
            <w:tcW w:w="8680" w:type="dxa"/>
            <w:vAlign w:val="bottom"/>
            <w:gridSpan w:val="2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1B. Unresolved Staff Comments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2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1C. Cybersecurity</w:t>
            </w:r>
          </w:p>
        </w:tc>
        <w:tc>
          <w:tcPr>
            <w:tcW w:w="7560" w:type="dxa"/>
            <w:vAlign w:val="bottom"/>
            <w:gridSpan w:val="1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Item 2. Properties</w:t>
            </w:r>
          </w:p>
        </w:tc>
        <w:tc>
          <w:tcPr>
            <w:tcW w:w="380" w:type="dxa"/>
            <w:vAlign w:val="bottom"/>
            <w:tcBorders>
              <w:top w:val="single" w:sz="8" w:color="0000FF"/>
            </w:tcBorders>
            <w:gridSpan w:val="3"/>
          </w:tcPr>
          <w:p>
            <w:pPr>
              <w:spacing w:after="0"/>
              <w:rPr>
                <w:sz w:val="20"/>
                <w:szCs w:val="20"/>
                <w:color w:val="auto"/>
              </w:rPr>
            </w:pPr>
          </w:p>
        </w:tc>
        <w:tc>
          <w:tcPr>
            <w:tcW w:w="8600" w:type="dxa"/>
            <w:vAlign w:val="bottom"/>
            <w:gridSpan w:val="19"/>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Item 3. Legal Proceedings</w:t>
            </w:r>
          </w:p>
        </w:tc>
        <w:tc>
          <w:tcPr>
            <w:tcW w:w="8380" w:type="dxa"/>
            <w:vAlign w:val="bottom"/>
            <w:gridSpan w:val="1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3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796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6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6. [Reserved]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2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260" w:type="dxa"/>
            <w:vAlign w:val="bottom"/>
            <w:gridSpan w:val="4"/>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Item 7A. Quantitative and Qualitative Disclosures about Market Risk</w:t>
            </w:r>
          </w:p>
        </w:tc>
        <w:tc>
          <w:tcPr>
            <w:tcW w:w="5280" w:type="dxa"/>
            <w:vAlign w:val="bottom"/>
            <w:gridSpan w:val="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8. Financial Statements and Supplementary Data</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6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0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Item 9. Changes in and Disagreements with Accountants on Accounting and Financial Disclosure</w:t>
            </w:r>
          </w:p>
        </w:tc>
        <w:tc>
          <w:tcPr>
            <w:tcW w:w="3240" w:type="dxa"/>
            <w:vAlign w:val="bottom"/>
            <w:gridSpan w:val="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Item 9A. Controls and Procedures</w:t>
            </w:r>
          </w:p>
        </w:tc>
        <w:tc>
          <w:tcPr>
            <w:tcW w:w="7820" w:type="dxa"/>
            <w:vAlign w:val="bottom"/>
            <w:gridSpan w:val="1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Item 9B. Other Information</w:t>
            </w:r>
          </w:p>
        </w:tc>
        <w:tc>
          <w:tcPr>
            <w:tcW w:w="8280" w:type="dxa"/>
            <w:vAlign w:val="bottom"/>
            <w:gridSpan w:val="17"/>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58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Item 9C. Disclosure Regarding Foreign Jurisdictions that Prevent Inspections</w:t>
            </w:r>
          </w:p>
        </w:tc>
        <w:tc>
          <w:tcPr>
            <w:tcW w:w="4700" w:type="dxa"/>
            <w:vAlign w:val="bottom"/>
            <w:gridSpan w:val="6"/>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7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9540" w:type="dxa"/>
            <w:vAlign w:val="bottom"/>
            <w:gridSpan w:val="26"/>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Item 11. Executive Compensation</w:t>
            </w:r>
          </w:p>
        </w:tc>
        <w:tc>
          <w:tcPr>
            <w:tcW w:w="5540" w:type="dxa"/>
            <w:vAlign w:val="bottom"/>
            <w:gridSpan w:val="8"/>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9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340" w:type="dxa"/>
            <w:vAlign w:val="bottom"/>
            <w:gridSpan w:val="2"/>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tcBorders>
              <w:top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4180" w:type="dxa"/>
            <w:vAlign w:val="bottom"/>
            <w:gridSpan w:val="5"/>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5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6780" w:type="dxa"/>
            <w:vAlign w:val="bottom"/>
            <w:gridSpan w:val="11"/>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6480" w:type="dxa"/>
            <w:vAlign w:val="bottom"/>
            <w:gridSpan w:val="1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Item 15. Exhibits and Financial Statement Schedules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Item 16. Form 10-K Summary</w:t>
            </w:r>
          </w:p>
        </w:tc>
        <w:tc>
          <w:tcPr>
            <w:tcW w:w="1600" w:type="dxa"/>
            <w:vAlign w:val="bottom"/>
            <w:tcBorders>
              <w:top w:val="single" w:sz="8" w:color="0000FF"/>
            </w:tcBorders>
            <w:gridSpan w:val="6"/>
          </w:tcPr>
          <w:p>
            <w:pPr>
              <w:spacing w:after="0"/>
              <w:rPr>
                <w:sz w:val="20"/>
                <w:szCs w:val="20"/>
                <w:color w:val="auto"/>
              </w:rPr>
            </w:pPr>
          </w:p>
        </w:tc>
        <w:tc>
          <w:tcPr>
            <w:tcW w:w="6480" w:type="dxa"/>
            <w:vAlign w:val="bottom"/>
            <w:gridSpan w:val="10"/>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28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9040" w:type="dxa"/>
            <w:vAlign w:val="bottom"/>
            <w:gridSpan w:val="23"/>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777"/>
        </w:trPr>
        <w:tc>
          <w:tcPr>
            <w:tcW w:w="20" w:type="dxa"/>
            <w:vAlign w:val="bottom"/>
          </w:tcPr>
          <w:p>
            <w:pPr>
              <w:spacing w:after="0"/>
              <w:rPr>
                <w:sz w:val="24"/>
                <w:szCs w:val="24"/>
                <w:color w:val="auto"/>
              </w:rPr>
            </w:pPr>
          </w:p>
        </w:tc>
        <w:tc>
          <w:tcPr>
            <w:tcW w:w="760" w:type="dxa"/>
            <w:vAlign w:val="bottom"/>
            <w:tcBorders>
              <w:top w:val="single" w:sz="8" w:color="0000FF"/>
            </w:tcBorders>
            <w:gridSpan w:val="5"/>
          </w:tcPr>
          <w:p>
            <w:pPr>
              <w:spacing w:after="0"/>
              <w:rPr>
                <w:sz w:val="24"/>
                <w:szCs w:val="24"/>
                <w:color w:val="auto"/>
              </w:rPr>
            </w:pPr>
          </w:p>
        </w:tc>
        <w:tc>
          <w:tcPr>
            <w:tcW w:w="5340" w:type="dxa"/>
            <w:vAlign w:val="bottom"/>
            <w:gridSpan w:val="20"/>
          </w:tcPr>
          <w:p>
            <w:pPr>
              <w:jc w:val="center"/>
              <w:ind w:left="4250"/>
              <w:spacing w:after="0"/>
              <w:rPr>
                <w:sz w:val="20"/>
                <w:szCs w:val="20"/>
                <w:color w:val="auto"/>
              </w:rPr>
            </w:pPr>
            <w:r>
              <w:rPr>
                <w:rFonts w:ascii="Times New Roman" w:cs="Times New Roman" w:eastAsia="Times New Roman" w:hAnsi="Times New Roman"/>
                <w:sz w:val="18"/>
                <w:szCs w:val="18"/>
                <w:color w:val="auto"/>
                <w:w w:val="88"/>
              </w:rPr>
              <w:t>2</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certain statements that constitute “forward-looking statements” within the meaning of the Private Securities Litigation Reform Act of 1995. In some cases, you can identify these statements by forward-looking words such as “may,” “might,” “will,” “should,” “expects,” “intends,” “outlook,” “forecast,” “position,” “committed,” “plans,” “anticipates,” “believes,” “estimates,” “predicts,” “model,” “assumes,” “confident,” “look forward,” “potential,” “on track,” or “continue,” or the negative of these terms and other comparable terminology. These forward-looking statements, which are subject to risks, uncertainties and assumptions about us, may include projections of our future financial performance, our anticipated growth and recovery of profitability, management of costs and other disruptions and other strategies, and anticipated trends in our business, including expected levels of commodity costs and volume.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You should specifically consider the numerous risks outlined in the “Risk Factors” section. These risks and uncertainties include factors related to:</w:t>
      </w:r>
    </w:p>
    <w:p>
      <w:pPr>
        <w:spacing w:after="0" w:line="219" w:lineRule="exact"/>
        <w:rPr>
          <w:sz w:val="20"/>
          <w:szCs w:val="20"/>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preferences, lifestyle, economic circumstances and environmental concerns;</w:t>
      </w:r>
    </w:p>
    <w:p>
      <w:pPr>
        <w:spacing w:after="0" w:line="2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with our major customers, consolidation of our customer bases and loss of a significant customer;</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pricing pressures;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disruption at, any of our key manufacturing facilities;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of raw materials and any interruption in our supply of raw materials;</w:t>
      </w:r>
    </w:p>
    <w:p>
      <w:pPr>
        <w:spacing w:after="0" w:line="9" w:lineRule="exact"/>
        <w:rPr>
          <w:rFonts w:ascii="Times New Roman" w:cs="Times New Roman" w:eastAsia="Times New Roman" w:hAnsi="Times New Roman"/>
          <w:sz w:val="18"/>
          <w:szCs w:val="18"/>
          <w:color w:val="auto"/>
        </w:rPr>
      </w:pP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due to an accident, labor issues, weather conditions, natural disaster, or a disease outbreak, including epidemics, pandemics or similar widespread public health concerns;</w:t>
      </w:r>
    </w:p>
    <w:p>
      <w:pPr>
        <w:ind w:left="440" w:hanging="316"/>
        <w:spacing w:after="0" w:line="250" w:lineRule="auto"/>
        <w:tabs>
          <w:tab w:leader="none" w:pos="4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raw materials, energy, labor and freight, including the impact of tariffs, trade sanctions and similar matters affecting our importation of certain raw materials;</w:t>
      </w: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and increased labor costs;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brands that are critical to our success;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downturns in our target markets;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businesses;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inflationary trends;</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meeting our sales growth objectives and innovation goals; and</w:t>
      </w:r>
    </w:p>
    <w:p>
      <w:pPr>
        <w:spacing w:after="0" w:line="9"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and the availability of capital.</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Annual Report on Form 10-K to conform our prior statements to actual results or revised expectations.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 information about these factors and about the material factors or assumptions underlying such forward-looking statements may be found elsewhere in this Annual Report on Form 10-K, under Part I, Item 1A. “Risk Factors.”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“Reynolds Consumer Products,” “RCP,” the “Company,” “we,” “us” and “our” refer to Reynolds Consumer Products Inc. and its consolidated subsidiaries. Reynolds Consumer Products Inc. was incorporated in the state of Delaware on September 26, 2011.</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or ™ symbols, but we will assert, to the fullest extent under applicable law, our rights to our trademarks, service marks and trade names.</w:t>
      </w:r>
    </w:p>
    <w:p>
      <w:pPr>
        <w:spacing w:after="0" w:line="17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mission is to simplify daily life so consumers can enjoy what matters most.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championing the categories in partnership with our retail partners and consistently developing innovative products to meet the evolving needs and preferences of the modern consumer.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products are typically used in the homes of consumers among all demographics on a frequent basis and meet the convenience-oriented preferences of consumers across a broad range of household activities. Our products help simplify daily life by assisting with cooking, serving, clean-up and storage through a range of product offerings. Our diverse portfolio includes a wide range of products, including aluminum foil, parchment paper, disposable bakeware, trash bags, food storage bags and disposable tableware. Our products are known for their quality, which is recognized by our consumers and retail partners alike. Our Reynolds and Hefty brands have preeminent positions in their categories and carry strong brand recognition in household aisles. These factors generate consumer loyalty, which affords us the opportunity to develop and launch new products that expand usage occasions and transition our portfolio into adjacent categories.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strong relationships with a diverse set of retail partners including leading grocery stores, mass merchants, warehouse clubs, discount chains, dollar stores, drug stores, home improvement stores, military outlets and eCommerce retailers. Our relationships with our retail partners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Our brands have #1 market share positions across nearly all our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 w:lineRule="exact"/>
        <w:rPr>
          <w:sz w:val="20"/>
          <w:szCs w:val="20"/>
          <w:color w:val="auto"/>
        </w:rPr>
      </w:pPr>
    </w:p>
    <w:p>
      <w:pPr>
        <w:ind w:left="1580"/>
        <w:spacing w:after="0"/>
        <w:tabs>
          <w:tab w:leader="none" w:pos="5400" w:val="left"/>
          <w:tab w:leader="none" w:pos="9100" w:val="left"/>
        </w:tabs>
        <w:rPr>
          <w:sz w:val="20"/>
          <w:szCs w:val="20"/>
          <w:color w:val="auto"/>
        </w:rPr>
      </w:pPr>
      <w:r>
        <w:rPr>
          <w:rFonts w:ascii="Times New Roman" w:cs="Times New Roman" w:eastAsia="Times New Roman" w:hAnsi="Times New Roman"/>
          <w:sz w:val="14"/>
          <w:szCs w:val="14"/>
          <w:b w:val="1"/>
          <w:bCs w:val="1"/>
          <w:color w:val="auto"/>
        </w:rPr>
        <w:t>Category</w:t>
      </w:r>
      <w:r>
        <w:rPr>
          <w:sz w:val="20"/>
          <w:szCs w:val="20"/>
          <w:color w:val="auto"/>
        </w:rPr>
        <w:tab/>
      </w:r>
      <w:r>
        <w:rPr>
          <w:rFonts w:ascii="Times New Roman" w:cs="Times New Roman" w:eastAsia="Times New Roman" w:hAnsi="Times New Roman"/>
          <w:sz w:val="14"/>
          <w:szCs w:val="14"/>
          <w:b w:val="1"/>
          <w:bCs w:val="1"/>
          <w:color w:val="auto"/>
        </w:rPr>
        <w:t>Brand</w:t>
      </w:r>
      <w:r>
        <w:rPr>
          <w:sz w:val="20"/>
          <w:szCs w:val="20"/>
          <w:color w:val="auto"/>
        </w:rPr>
        <w:tab/>
      </w:r>
      <w:r>
        <w:rPr>
          <w:rFonts w:ascii="Times New Roman" w:cs="Times New Roman" w:eastAsia="Times New Roman" w:hAnsi="Times New Roman"/>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24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Aluminum foil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188595</wp:posOffset>
            </wp:positionV>
            <wp:extent cx="180848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8480" cy="27432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154305</wp:posOffset>
            </wp:positionV>
            <wp:extent cx="3429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Aluminum foil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8480" cy="28257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Parchment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8480" cy="28321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Wax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25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8480" cy="28257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Slow cooker liners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08480" cy="28321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Oven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171450</wp:posOffset>
            </wp:positionV>
            <wp:extent cx="1808480" cy="283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8480" cy="28321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86155" cy="31686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Party cups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7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6155" cy="3175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Foam dishes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86155" cy="3175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Slider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154305</wp:posOffset>
            </wp:positionV>
            <wp:extent cx="986155" cy="3175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86155" cy="31750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146050</wp:posOffset>
            </wp:positionV>
            <wp:extent cx="342900" cy="3429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Trash bags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3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Source: Circana Dollar Sales MULO+ latest 52 weeks ended December 29, 2024 and Nielsen MarketTrack latest 52 weeks ended December 28, 2024.</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Segments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manage our operations in four reportable segments: Reynolds Cooking &amp; Baking, Hefty Waste &amp; Storage, Hefty Tableware and Presto Products.</w:t>
      </w:r>
    </w:p>
    <w:p>
      <w:pPr>
        <w:spacing w:after="0" w:line="248" w:lineRule="exact"/>
        <w:rPr>
          <w:sz w:val="20"/>
          <w:szCs w:val="20"/>
          <w:color w:val="auto"/>
        </w:rPr>
      </w:pPr>
    </w:p>
    <w:p>
      <w:pPr>
        <w:jc w:val="both"/>
        <w:ind w:left="440" w:hanging="316"/>
        <w:spacing w:after="0" w:line="254"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Reynolds Cooking &amp; Baking</w:t>
      </w:r>
      <w:r>
        <w:rPr>
          <w:rFonts w:ascii="Times New Roman" w:cs="Times New Roman" w:eastAsia="Times New Roman" w:hAnsi="Times New Roman"/>
          <w:sz w:val="18"/>
          <w:szCs w:val="18"/>
          <w:color w:val="auto"/>
        </w:rPr>
        <w:t>: Through our Reynolds Cooking &amp; Baking segment, we sell both branded and store brand aluminum foil, disposable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with 98% brand awareness,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spacing w:after="0" w:line="212"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Waste &amp; Storage</w:t>
      </w:r>
      <w:r>
        <w:rPr>
          <w:rFonts w:ascii="Times New Roman" w:cs="Times New Roman" w:eastAsia="Times New Roman" w:hAnsi="Times New Roman"/>
          <w:sz w:val="18"/>
          <w:szCs w:val="18"/>
          <w:color w:val="auto"/>
        </w:rPr>
        <w:t>: Through our Hefty Waste &amp; Storage segment, we produce both branded and store brand trash and food storage bags. Hefty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Hefty has 98% brand awareness and is most commonly identified with the Brand’s famous “Hefty! Hefty! Hefty!” slogan. We have the #1 branded market share in the U.S. large black trash bag segment, and the #2 branded market share in the slider bag and tall kitchen trash bag segments. Our robust product portfolio in this segment includes a full suite of products, including sustainable solutions such as blue and clear recycling bags, compostable bags, bags made from recycled materials and orange bags through the Hefty ReNew Program.</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Hefty Tableware</w:t>
      </w:r>
      <w:r>
        <w:rPr>
          <w:rFonts w:ascii="Times New Roman" w:cs="Times New Roman" w:eastAsia="Times New Roman" w:hAnsi="Times New Roman"/>
          <w:sz w:val="18"/>
          <w:szCs w:val="18"/>
          <w:color w:val="auto"/>
        </w:rPr>
        <w:t>: Through our Hefty Tableware segment, we sell both branded and store brand disposable and compostable plates, bowls, platters,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 In 2024, we increased the post-consumer recycled content in some of our cups and we added compostable party cups to our assortment.</w:t>
      </w:r>
    </w:p>
    <w:p>
      <w:pPr>
        <w:spacing w:after="0" w:line="209" w:lineRule="exact"/>
        <w:rPr>
          <w:rFonts w:ascii="Times New Roman" w:cs="Times New Roman" w:eastAsia="Times New Roman" w:hAnsi="Times New Roman"/>
          <w:sz w:val="18"/>
          <w:szCs w:val="18"/>
          <w:color w:val="auto"/>
        </w:rPr>
      </w:pPr>
    </w:p>
    <w:p>
      <w:pPr>
        <w:jc w:val="both"/>
        <w:ind w:left="440" w:hanging="316"/>
        <w:spacing w:after="0" w:line="257"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Presto Products</w:t>
      </w:r>
      <w:r>
        <w:rPr>
          <w:rFonts w:ascii="Times New Roman" w:cs="Times New Roman" w:eastAsia="Times New Roman" w:hAnsi="Times New Roman"/>
          <w:sz w:val="18"/>
          <w:szCs w:val="18"/>
          <w:color w:val="auto"/>
        </w:rPr>
        <w:t>: Through our Presto Products segment, we primarily sell store brand products in four main categories: food storage bags, trash bags,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reusable storage containers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portfolio consists of three main product groups: waste and storage products, cooking products and tableware. Our consolidated net revenues by product line for fiscal years 2024, 2023 and 2022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6"/>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Waste and storage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580" w:right="3140" w:hanging="5572"/>
        <w:spacing w:after="0" w:line="845" w:lineRule="auto"/>
        <w:tabs>
          <w:tab w:leader="none" w:pos="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Walmart accounted for 31%, 30% and 30% and Sam’s Club accounted for 17%, 18% and 18% of our total net revenue in fiscal years 2024, 2023 and 2022, respectively. Walmart and Sam’s Club are affiliated entities. Sales to Walmart are concentrated more heavily in our Hefty Waste &amp; Storage segment, and sales to Sam’s Club are concentrated more heavily in our Hefty Tableware segment.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2024, sales in North America and the United States represented 99% and 97% of our total sales, respectively.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Sales and Distribution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direct sales force organized by customer type, including national accounts, regional accounts and eCommerce. Our sales force is responsible for sales across each of our segments and our portfolio of branded and store brand products. We complement our internal sales platform by selectively utilizing third-party brokers for certain products and customers. In addition to sales professionals, each of our top 20 customers has a dedicated customer support team, including category management, production planning and transportation teams, as well as customer service representatives.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utilize two routes of distribution to deliver our products to our customers. In many cases, we ship directly from our manufacturing plants to the customer’s distribution center. Given the breadth of our product offerings, we are also able to optimize truckloads and reduce inventory for our retail partners by shipping trucks from mixing centers filled with SKUs across all of our product categories.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 Inc., Poly-America, Handi-Foil Corporation, Republic Plastics, Ltd., Trinidad Benham Corporation and Inteplast Group, Ltd. Within each product category, most of our products compete with other widely advertised brands and store brand products.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Competition in our categories is based on a number of factors including brand recognition, price, quality and innovation.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Raw Materials and Suppliers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diverse supplier base and are not reliant on any single supplier for our primary raw materials, including polyethylene, polystyrene and aluminum. We also purchase raw material additives, secondary packaging materials and finished products for resale. We source a significant majority of our resin requirements from domestic suppliers.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Centralized purchasing enables us to leverage the purchasing power of our operations and reduces our dependence on any one supplier. We generally have one to two year contracts with resin and aluminum suppliers, which have historically provided us with a steady supply of raw materials. In certain instances, we purchase selected finished goods from third-party suppliers to supplement capacity and source specialty items.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licenses for commercially available software, we do not believe that any of our licenses from third parties are material to us taken as a whole.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any of our licenses to intellectual property rights granted to third parties are material to us taken as a whole.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related to an engaged team include successfully identifying, recruiting, onboarding, retaining and incentivizing both new and existing employees. Our talent management and succession planning process includes the identification of primary succession roles based on current and future business strategies, the identification of potential successors, a list of action items and a plan for talent development. As of December 31, 2024, we employed approximately 6,400 people, most of whom are located in our U.S. and Canada manufacturing facilities. Approximately 20% of our employees are covered by collective bargaining agreements. We have not experienced any significant union-related work stoppages over the last ten years. We believe our relationships with our employees and labor unions are satisfactory.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Health &amp; Safety: </w:t>
      </w:r>
      <w:r>
        <w:rPr>
          <w:rFonts w:ascii="Times New Roman" w:cs="Times New Roman" w:eastAsia="Times New Roman" w:hAnsi="Times New Roman"/>
          <w:sz w:val="18"/>
          <w:szCs w:val="18"/>
          <w:color w:val="auto"/>
        </w:rPr>
        <w:t>We are committed to protecting the safety, health and security of our employees and that of the environments in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operate. We are firm in our policy that we will not compromise employee health and safety or the environment for profit or production. We are passionate about health and safety and pride ourselves on our strategy of prevention through proactive risk elimination and reduction. Our cross-functional leaders and team members work collaboratively to identify risks and to develop and implement control measures leveraging engineering solutions and new technology for mitigation. Our safety performance continues to outperform the industry’s average safety performance by a significant margin, and we continue to progress toward our goal of zero incidents through increasing awareness of opportunities for improvement and implementing effective solutions to reduce risks associated with contact with equipment, slips, trips, and falls, as well as ergonomic hazards.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People &amp; Culture: </w:t>
      </w:r>
      <w:r>
        <w:rPr>
          <w:rFonts w:ascii="Times New Roman" w:cs="Times New Roman" w:eastAsia="Times New Roman" w:hAnsi="Times New Roman"/>
          <w:sz w:val="18"/>
          <w:szCs w:val="18"/>
          <w:color w:val="auto"/>
        </w:rPr>
        <w:t>We have built a culture based on treating others with respect and working collaboratively on shared goals. Our value of putting safety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first promotes a culture of caring and watching out for the safety of each other. Treating others with dignity, empathy and respect is the foundation of our culture. We value our relationships with our colleagues, retail partners, consumers, shareholders and communities. We are committed to communicating our goals, offering training and development opportunities and integrating an inclusive approach to talent management into our overall business strategy. We will continue to promote a culture that values inclusion and belonging and sees unique experiences and viewpoints as growing our understanding of how we can work better together. We will continue our efforts to build and retain a robust workforce that welcomes talent and capability to strengthen all aspects of our business.</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Talent Acquisition: </w:t>
      </w:r>
      <w:r>
        <w:rPr>
          <w:rFonts w:ascii="Times New Roman" w:cs="Times New Roman" w:eastAsia="Times New Roman" w:hAnsi="Times New Roman"/>
          <w:sz w:val="18"/>
          <w:szCs w:val="18"/>
          <w:color w:val="auto"/>
        </w:rPr>
        <w:t>We are committed to a workplace environment in which individual differences are recognized, respected and appreciated. We provide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job opportunities for individual growth in our exciting, dynamic and fast-paced manufacturing plants and offices. Our management and Talent Acquisition teams use data from workforce planning and recruiting. In 2024, we updated our applicant tracking system to better enable us to source and recruit talent in today’s challenging labor market, assist in a great candidate experience and provide a welcoming new-hire onboarding. To support our plants, we have also created a comprehensive hourly employee recruiting strategy for a consistent and efficient approach to identifying and onboarding diverse talent.</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Regulatory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many of our products are used in food packaging, our business is subject to regulations governing products that may contact food in all the countries in which we have operations. Our business is also subject to regulations governing advertising claims related to our products and practices, including regulations concerning representations that products are environmentally-friendly, have less of an environmental impact, or are sustainable.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a number of governmental authorities, at the federal, state and local level in the United States and abroad, have implemented, considered, or are expected to consider, legislation aimed at reducing the amount of plastic waste, regulating product content and regulating environmental claims. Our business is subject to regulations that govern matters such as post-consumer recycled content, extended producer responsibility, compostability and recyclability claims, and use of Per- and Polyfluorinated Substances (“PFAS”). We have implemented compliance programs and procedures designed to achieve compliance with applicable laws and regulations.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implemented or announced their intentions to implement their own programs to reduce greenhouse gases.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also subject to various laws and regulations related to data privacy and protection, including the California Consumer Privacy Act of 2018 (“CCPA”) and the European Union’s General Data Protection Regulation (“GDPR”). We have internal programs in place to manage and monitor global compliance with these various requirements.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make financial information, news releases and other information available on our corporate website at www.reynoldsconsumerproducts.com. Our annual reports on Form 10-K, quarterly reports on Form 10-Q, current reports on Form 8-K, and any amendments to those reports filed or furnished pursuant to Section 13(a) or 15(d) of the Securities Exchange Act of 1934 (the “Exchange Act”) are available free of charge on this website as soon as reasonably practicable after we electronically file these reports and amendments with, or furnish them to, the SEC. Our board has adopted a code of business conduct and ethics that applies to all of our employees, officers and directors, including our Chief Executive Officer, Chief Financial Officer and other executive and senior financial officers, the full text of which is posted on the investor relations section of our website at www.reynoldsconsumerproducts.com. We intend to disclose future amendments to our code of business conduct and ethics, or any waivers of such code, on our website or in public filings.</w:t>
      </w:r>
    </w:p>
    <w:p>
      <w:pPr>
        <w:spacing w:after="0" w:line="3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on or connected to our website is not incorporated by reference into this Annual Report on Form 10-K and should not be considered part of this or any other report filed with the SEC.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risks described below in addition to the other information set forth in this Annual Report on Form 10-K, including the Management’s Discussion and Analysis of Financial Condition and Results of Operations section and the consolidated financial statements and related notes. If any of the following risks actually occurs, our business, financial condition and results of operations could be materially adversely affected. The risks discussed below are not the only risks we face. Additional risks or uncertainties not currently known to us, or that we currently deem immaterial, may also have a material adverse effect on our business, financial condition, prospects, results of operations, cash flows or price of our securities.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Growth and Profitability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anticipate and respond to changes in consumer preferences.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68" w:lineRule="exact"/>
        <w:rPr>
          <w:sz w:val="20"/>
          <w:szCs w:val="20"/>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to our customers products that consumers want at competitive prices;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new and appealing products and innovate successfully on our existing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maintain consumer interest in our brands;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brand recognition and loyalty.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not be able to implement this strategy successfully, which could materially and adversely affect our sales and business, financial condition and results of operations.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rely on a relatively small number of customers for a significant portion of our revenue. In 2024, sales to our top ten customers accounted for 72% of our total revenue, and our two largest customers, Walmart and Sam’s Club, individually accounted for 31% and 17%, respectively, of our total revenue. Walmart and Sam’s Club are affiliated entities.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over the last several years, there has been a trend toward consolidation among our customers in the retail industry and we expect that this trend will continue. Consolidation among our customers could increase their ability to apply pricing pressure, and thereby force us to reduce our selling prices or lose sales. In addition, following a consolidation, our customers may close stores, reduce inventory or switch suppliers. Any of these factors could negatively impact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operate in competitive markets.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in competitive markets. Our main competitors include The Clorox Company, S.C. Johnson &amp; Son, Inc., Poly-America, Handi-Foil Corporation, Republic Plastics, Ltd., Trinidad Benham Corporation and Inteplast Group, Ltd. Although capital costs, intellectual property and technology may create barriers to entry, we face the threat of competition from new entrants to our markets as well as from existing competitors, including competitors outside the United States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of any of our key manufacturing facilities or of those of our key suppliers could have an adverse effect on our business.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products are manufactured at a single location. For example, our Malvern, Arkansas plant is our sole producer of foil reroll for our Louisville, Kentucky and Wheeling, Illinois plants, which in turn are our sole producers of household foil. The loss of the use of all or a portion of any of our key manufacturing facilities, especially one that is a sole producer, or the loss of any key suppliers, due to any reason, including an accident, labor issues, weather conditions, natural disaster, a disease outbreak (including epidemics, pandemics or similar widespread public health concerns), cyber-attacks against our information systems (such as ransomware) or otherwise, could have a material adverse effect on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has been and continues to be impacted by fluctuations in raw material, energy and freight costs, including the impact of tariffs and similar matters.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We experienced significant increases in material costs in 2022, particularly in resin and aluminum prices, which negatively impacted our results. Significant increases in material costs could also occur in future periods, which could negatively impact our future results.</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Raw material costs are also impacted by governmental actions, such as tariffs and trade sanctions. For example, the imposition by the U.S. government of tariffs on products imported from certain countries and trade sanctions against certain countries have introduced greater 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typically do not enter into long-term fixed price purchase contracts for our principal raw materials. The majority of sales contracts for our products generally do not contain contractual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attempt to mitigate the effect of production cost increases, including raw materials, but these increases are not always possible or may not cover the increased raw material costs. For example, we implemented multiple rounds of price increases in 2022, however those pricing actions typically lagged material cost increases.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reduced trucking capacity, due to a shortage of drivers, the federal regulation requiring drivers to electronically log their driving hours and adverse weather conditions, among other reasons, have caused an increase in our cost of transportation.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interruption in our supply of raw materials could harm our business, financial condition and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increased labor costs have had and could have a material adverse effect on our business and operations.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Labor costs in the United States continue to rise, and our industry has, and could again, experience a shortage of workers. Labor is one of the primary components in the cost of operating our business. If we face labor shortages and incur further increases to labor costs as a result of increased competition for employees, higher employee turnover rates, increases in the federal, state or local minimum wage or other employee benefit costs, our operating expenses could increase and our growth and results of operations could be adversely impacted.</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brands are critical to our success.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on our balance sheet, which could materially and adversely affect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impacted by changes in consumer lifestyle and environmental concerns, as well as current and future laws and regulations related to environmental matters.</w:t>
      </w:r>
    </w:p>
    <w:p>
      <w:pPr>
        <w:spacing w:after="0" w:line="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certain polystyrene foam products in certain jurisdictions), impact several of our products, especially in our Hefty Tableware segment. Further, a number of governmental authorities, both at the federal, state and local level in the United States and abroad, have implemented, considered, or are expected to consider, additional legislation aimed at reducing the amount of plastic waste, regulating product content and regulating environmental claims. Our business is subject to regulations that govern matters such as post-consumer recycled content, extended producer responsibility, compostability and recyclability claims, and use of PFAS. Future regulatory and legislative change could affect the economics of our business activities, lead to changes in operating practices, affect our customers and influence the demand for and the cost of providing products and services to our customers. Sustainability concerns, including the recycling of products, have received increased focus in recent years and are expected to play an increasing role in brand management and consumer purchasing decisions. These changes in consumer lifestyle, environmental concerns or other considerations may result in a decrease in the demand for certain of our current products, an increase in expenditures to attempt to adapt and respond to these concerns, and an inability to respond through innovation or acquisition of assets we do not currently own, any of which could materially and adversely affect our business, financial condition and results of operations.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affected by economic downturns in the markets that we serve and in the regions that supply our raw materials.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 States in particular, could lead to declines in consumer spending and consumption and cause our customers to purchase fewer of our products.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Market conditions could also impact our ability to manage our inventory levels to meet customers’ demand for our products. Our production levels and inventory management goals for our products are based on estimates of demand, taking into account production capacity, timing of shipments and inventory levels. If market conditions change, resulting in us overestimating or underestimating demand for any of our products during a given season, we may not maintain appropriate inventory levels, which could materially and adversely affect our business, financial condition and results of operations.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supply chain issues and other macroeconomic factors in the past have resulted in an inflationary environment that led to increased raw material costs and other input costs. The additional costs resulting from this inflationary environment and its constraints to our supply chain and distribution networks may again unfavorably impact our gross margin and operating results in future periods.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and assumptions on which our financial projections are based may prove to be inaccurate, which may cause our actual results to materially differ from such projections, which may adversely affect our future profitability, cash flows and stock price.</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projections, including any sales and earnings guidance or outlook we may provide from time to time, are dependent on certain estimates and assumptions. Our financial projections are based on historical experience, various other estimates and assumptions that we believe to be reasonable under the circumstances and at the time they are made, but our actual results may differ materially from our financial projections. Any material variation between the Company’s financial projections and its actual results may adversely affect the Company’s future profitability, cash flows and stock price.</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and cash flows could suffer if we are unable to generate cost savings in our manufacturing and distribution processes.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continue to work on various incremental cost savings programs,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8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growth objectives may be difficult to achieve, we may not be able to achieve our innovation goals, develop and introduce new products and line extensions or expand into adjacent categories and countries, and we may not be able to successfully implement price increases; further, changes to our product mix may adversely impact our financial condition and results of operations.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operate in mature markets that are subject to high levels of competition. Our future performance and growth depend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 If we are unable to increase market share in existing product lines, develop product innovations, undertake sales, marketing and advertising initiatives that grow our product categories, effectively adopt new technologies, and/or develop, acquire or successfully launch new products or brands, we may not achieve our sales growth objectives.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would be subject to foreign market risks, including, among others, foreign currency fluctuations, economic or political instability and the imposition of tariffs and trade restrictions, which could adversely affect our financial results.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implemented price increases and may implement additional price increases in the future, which may slow sales growth or create volume declines in the short term as customers and consumers adjust to these price increases. Competitors may or may not take competitive actions, which may lead to sales declines and loss of market share for us. In addition, changes to the mix of products that we sell or product portfolio optimization efforts may adversely impact our net sales, profitability and cash flow.</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Although we have quality control measures and systems in place that are designed to ensure that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In addition, if any of our competitors or customers supply faulty or contaminated products to the market, our industry could be negatively impacted, which in turn could have adverse effects on our business.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affected by seasonality.</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depend on our senior executive officers and other key personnel to operate our businesses, develop new products and technologies and service our customers. The loss of any of these key personnel could adversely affect our operations. Effective January 1, 2025, our long-term President, Chief Executive Officer and member of our Board of Directors, Lance Mitchell, stepped down from such positions due to his voluntary retirement. Scott Huckins, previously our Chief Financial Officer, was appointed as President and Chief Executive Officer and as a member of our Board of Directors, and Nathan Lowe, previously our Senior Vice President of Financial Planning &amp; Analysis, was appointed as Chief Financial Officer. Any significant leadership change or senior management transition involves inherent risks, and any failure to successfully transition key roles could impact our ability to execute on our strategic plans, make it difficult to meet our performance objectives and be disruptive to our business. Lance Mitchell will remain with the Company as an employee in an advisory capacity through his voluntary retirement on July 31, 2025.</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our industry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acquiring or integrating product lines or businesses, which could impact our business, financial condition and results of operations.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continue to pursue acquisitions of brands, businesses, assets or technologies from third parties. Acquisitions and their pursuits can involve numerous risks, including, among other things:</w:t>
      </w:r>
    </w:p>
    <w:p>
      <w:pPr>
        <w:spacing w:after="0" w:line="54" w:lineRule="exact"/>
        <w:rPr>
          <w:sz w:val="20"/>
          <w:szCs w:val="20"/>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realizing the full extent of the expected benefits or synergies as a result of a transaction, within the anticipated time frame, or at all;</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the operations, technologies, services, products and systems of the acquired brands, assets or businesses in an effective, timely and cost-efficient manner;</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priorities;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operating in new lines of business, channels of distribution or markets;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key employees, partners, suppliers and customers of the acquired business;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conforming standards, controls, procedures and policies of the acquired business with our own;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unforeseen risks and liabilities associated with acquired businesses;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developing or launching products with acquired technologies;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problems or liabilities.</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Acquisitions could result in the assumption of contingent liabilities. In addition, to the extent that the economic benefits associated with an acquisition or investment diminish in the future or the performance of an acquired company or business is less robust than expected, we may be required to record impairments of any acquired intangible assets, including goodwill.</w:t>
      </w:r>
    </w:p>
    <w:p>
      <w:pPr>
        <w:spacing w:after="0" w:line="27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 will only be protected by these rights in those jurisdictions in</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There is also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In any case, such claims could be protracted and costly and could have a material adverse effect on our business and results of operations regardless of their outcome.</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concluded that our goodwill and indefinite-lived intangible assets were not impaired during our annual impairment review performed during the fourth quarter of 2024, future events could cause us to conclude that the goodwill associated with a given reporting unit, or one of our indefinite-lived intangible assets, may have become impaired. Any resulting impairment charge, although non-cash, could have a material adverse effect on our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workforce is covered by collective bargaining agreements, and our business could be harmed in the event of a prolonged work stoppage.</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Approximately 20%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legislation initiatives or challenges to our tax positions could adversely affect our operations and financial condition.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Impacts associated with a future pandemic and associated responses could adversely impact our business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future pandemic or health epidemic could adversely impact our business and results of operations in a number of ways, including but not limited to:</w:t>
      </w:r>
    </w:p>
    <w:p>
      <w:pPr>
        <w:spacing w:after="0" w:line="117" w:lineRule="exact"/>
        <w:rPr>
          <w:sz w:val="20"/>
          <w:szCs w:val="20"/>
          <w:color w:val="auto"/>
        </w:rPr>
      </w:pPr>
    </w:p>
    <w:p>
      <w:pPr>
        <w:ind w:left="440" w:right="2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shutdown, disruption or less than full utilization of one or more of our manufacturing, warehousing or distribution facilities, or disruption in our supply chain or customer base, including but not limited to, as a result of illness, government restrictions or other workforce disruptions;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 parties on which we rely, including but not limited to those that supply our raw materials and other necessary operating materials, co-manufacturers and independent contractors, to meet their obligations to us, or significant disruptions in their ability to do so;</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responses in markets where we manufacture, sell or distribute our products, or in the markets of third parties on which we rely, preventing or disrupting our business operations;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in certain areas such as front-line employee compensation, as well as incremental costs associated with newly added health screenings, temperature checks and enhanced cleaning and sanitation protocols to protect our employees;</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or other pandemic related restrictions impacting consumer behavior;</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respond to or capitalize on increased demand, including challenges and increased costs associated with adding capacity and related staffing issues;</w:t>
      </w:r>
    </w:p>
    <w:p>
      <w:pPr>
        <w:spacing w:after="0" w:line="53"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demand for or availability of our products as a result of retailers, distributors or carriers modifying their inventory, fulfillment or shipping practices; and</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duration and magnitude of a pandemic and all of its related impacts.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and other impacts of a pandemic could have the effect of heightening many of the other risk factors disclosed in this Annual Report on Form 10-K. The ultimate impact depends on the severity and duration of the pandemic and actions taken by governmental authorities and other third parties in response, each of which is uncertain and difficult to predict. Any of these disruptions could adversely impact our business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Liquidity and Indebtedness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significant debt, which could adversely affect our financial condition and ability to operate our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$1,695 million of outstanding indebtedness under our senior secured term loan facility (“Term Loan Facility”) maturing in 2027 and $694 million of borrowing capacity under our senior secured revolving credit facility (“Revolving Facility”) maturing in 2029 (the Term Loan Facility and the Revolving Facility, the “External Debt Facilities”). Our debt level and related debt service obligations:</w:t>
      </w:r>
    </w:p>
    <w:p>
      <w:pPr>
        <w:spacing w:after="0" w:line="68" w:lineRule="exact"/>
        <w:rPr>
          <w:sz w:val="20"/>
          <w:szCs w:val="20"/>
          <w:color w:val="auto"/>
        </w:rPr>
      </w:pPr>
    </w:p>
    <w:p>
      <w:pPr>
        <w:ind w:left="440" w:hanging="316"/>
        <w:spacing w:after="0" w:line="282" w:lineRule="auto"/>
        <w:tabs>
          <w:tab w:leader="none" w:pos="4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significant cash flow to the payment of principal of, and interest on, our debt, which reduces the funds we have available for other purposes, including working capital, capital expenditures and general corporate purposes;</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limit our flexibility in planning for or reacting to changes in our business and market conditions or in funding our strategic growth plan;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us financial and operational restrictions;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interest rate risk on our debt obligations bearing interest at variable rates.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have increased and could continue to increase our interest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bears interest at variable rates, and we may incur additional variable interest rate indebtedness in the future. This exposes us to interest rate risk, and while we have entered into a series of interest rate swaps to mitigate the risk of variable rate debt, any interest rate swaps we enter into in order to reduce interest rate volatility may not fully mitigate our interest rate risk. As of December 31, 2024, the unhedged portion of our Term Loan Facility was approximately $545 million, and any borrowings under our Revolving Facility are subject to interest rate volatility.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Higher interest rates during the year ended December 31, 2023, increased our debt service obligations on the unhedged variable rate indebtedness, and our net income and cash flows, including cash available for servicing our indebtedness, had correspondingly decreased. Further increases in interest rates on unhedged debt could further reduce our net income and cash flows, including cash available for servicing our indebtedness.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Regulatory and Compliance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liabilities related to, and significant costs in complying with, environmental, health and safety laws, regulations and permits.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 and could limit production.</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imposing extended producer responsibility and requiring retailers or manufacturers to take back packaging used for their products. Such legislation, as well as voluntary initiatives, aimed at reducing the level of plastic waste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financial results.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ESG matters, including those related to climate change and sustainability, may have an adverse effect on our business, financial condition and results of operations and impact our reputation.</w:t>
      </w:r>
    </w:p>
    <w:p>
      <w:pPr>
        <w:spacing w:after="0" w:line="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has been an increased focus from stakeholders and regulators related to environmental, social and governance (“ESG”) matters across all industries in recent years. This increased focus and activism related to ESG may hinder our access to capital, as investors may reconsider their capital investment as a result of their assessment of the Company’s ESG practices. In particular, customers, consumers, investors and other stakeholders are increasingly focusing on environmental issues, including climate change, water use, deforestation, plastic waste and other sustainability concerns. Changing consumer preferences may also result in decreased demand for plastics and packaging materials, including single-use and non-recyclable plastic products and packaging, and other components of our products and their environmental impact on sustainability. These demands could impact the profitability of our products, cause us to incur additional costs, to make changes to our operations, or to make additional commitments, set targets or establish additional goals and take actions to meet them, which could expose us to market, operational and execution costs and risks.</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Concern over climate change or plastics and packaging materials, in particular, may result in new or increased legal and regulatory requirements to reduce or mitigate impacts to the environment. Increased regulatory requirements, including in relation to various aspects of ESG, such as California’s recent enactment of climate-related disclosure laws, or environmental causes may result in increased compliance costs or input costs of energy, raw materials or compliance with emissions standards, which may cause disruptions in the manufacture of our products or an increase in operating costs. We may incur additional costs to control, assess and report on ESG metrics as the nature, scope and complexity of ESG reporting, diligence and disclosure requirements expand. Our ability to achieve any stated goal, target, or objective is subject to numerous factors and conditions, many of which are outside of our control. Any failure to achieve our ESG goals or a perception (whether or not valid) of our failure to act responsibly with respect to the environment or to effectively respond to new, or changes in, legal or regulatory requirements concerning environmental or other ESG matters, or increased operating or manufacturing costs due to increased regulation or environmental causes could adversely affect our business and reputation.</w:t>
      </w:r>
    </w:p>
    <w:p>
      <w:pPr>
        <w:spacing w:after="0" w:line="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do not adapt to or comply with new regulations, or fail to meet the ESG goals under our ESG framework or evolving investor, industry or stakeholder expectations and standards, or if we are perceived to have not responded appropriately to the growing concern for ESG issues, customers and consumers may choose to stop purchasing our products or purchase products from another company or a competitor, and our reputation, business or financial condition may be adversely affected.</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dependent in part on intellectual property rights licensed from third parties. Our licenses of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 use of in-licensed intellectual property rights, and therefore we may be reliant on our licensors to conduct such activities.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cyber-attack or failure of one or more key information technology systems, operational technology systems, networks, processes, associated sites or service providers could have a material adverse impact on our business and reputation.</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extensively on information technology (“IT”) and operational technology (“OT”) systems, networks and services, including Internet sites, data hosting and processing facilities and tools and other hardware, software and technological applications and platforms, some of which are managed, hosted, provided and/or used by third parties or their vendors, to assist in conducting business. The various uses of these systems, networks and services include, but are not limited to:</w:t>
      </w:r>
    </w:p>
    <w:p>
      <w:pPr>
        <w:spacing w:after="0" w:line="72" w:lineRule="exact"/>
        <w:rPr>
          <w:sz w:val="20"/>
          <w:szCs w:val="20"/>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ordering and managing materials from suppliers;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converting materials to finished products;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supply chain network;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products to customers;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selling products to consumers;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processing transactions;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summarizing and reporting results of operations;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hosting, processing and sharing confidential and proprietary research, business plans and financial information;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regulatory, legal or tax requirements;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data security; and</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ind w:left="440" w:hanging="316"/>
        <w:spacing w:after="0"/>
        <w:tabs>
          <w:tab w:leader="none" w:pos="4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handling other processes necessary to manage our business.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Increased cyber-security threats and cyber-crime, including advanced persistent threats, computer viruses, ransomware, other types of malicious code, hacking, phishing and social engineering schemes designed to provide access to our networks or data, pose a potential risk to the security of our IT and OT systems, networks and services, as well as the confidentiality, availability and integrity of our data. Cyber threats are becoming more sophisticated, are constantly evolving and are being made by groups and individuals with a wide range of expertise and motives, increasing the difficulty of preventing, detecting and successfully defending against them. Furthermore, our relationships with, and access provided to, third parties and their vendors may create difficulties in anticipating and implementing adequate preventative measures or fully mitigating harms after an attack or breach occurs.</w:t>
      </w:r>
    </w:p>
    <w:p>
      <w:pPr>
        <w:spacing w:after="0" w:line="2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cannot guarantee that our security efforts will prevent attacks and resulting breaches or breakdowns of our, or our third-party service providers’, databases or systems. If the IT or OT systems, networks or service providers relied upon fail to function properly, or if we suffer a loss or disclosure of customers’ and consumers’ data, business or stakeholder information, due to any number of causes, ranging from catastrophic events to power outages to security breaches, or the inability to effectively address these failures on a timely basis, we may suffer interruptions in our ability to manage operations, a risk of government enforcement action, litigation and possible liability, and reputational, competitive and/or business harm, which may adversely impact our results of operations and/or financial condition. In addition, if our service providers, suppliers or customers experience a breach or unauthorized disclosure or system failure, their business could be disrupted or otherwise negatively affected, which may result in a disruption in our supply chain or reduced customer orders or other business operations, which would adversely affect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claims and proceedings could adversely impact our business.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be subject to a wide variety of legal claims and proceedings.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coverage may not adequately protect us against business and operating risks.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Stockholder Influence, Related Party Transactions and Governance</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by Packaging Finance Limited or others of our common stock, or the perception that such sales may occur, could depress the price of our common stock.</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We do not know whether or when PFL will sell shares of our common stock. The sale by PFL or others of a substantial number of shares of our common stock, or a perception that such sales could occur, could significantly reduce the market price of our common stock. The perception of a potential sell-down by PFL could depress the market price of our common stock and make it more difficult for us to sell equity securities in the future at a time and at a price that we deem appropriate.</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in our certificate of incorporation and bylaws may have the effect of delaying or preventing a change of control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certificate of incorporation and bylaws include provisions that:</w:t>
      </w:r>
    </w:p>
    <w:p>
      <w:pPr>
        <w:spacing w:after="0" w:line="99" w:lineRule="exact"/>
        <w:rPr>
          <w:sz w:val="20"/>
          <w:szCs w:val="20"/>
          <w:color w:val="auto"/>
        </w:rPr>
      </w:pPr>
    </w:p>
    <w:p>
      <w:pPr>
        <w:ind w:left="440" w:hanging="316"/>
        <w:spacing w:after="0"/>
        <w:tabs>
          <w:tab w:leader="none" w:pos="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staggered board;</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61" w:lineRule="auto"/>
        <w:tabs>
          <w:tab w:leader="none" w:pos="4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at least 66-2/3%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jc w:val="both"/>
        <w:ind w:left="440"/>
        <w:spacing w:after="0" w:line="266" w:lineRule="auto"/>
        <w:rPr>
          <w:sz w:val="20"/>
          <w:szCs w:val="20"/>
          <w:color w:val="auto"/>
        </w:rPr>
      </w:pPr>
      <w:r>
        <w:rPr>
          <w:rFonts w:ascii="Times New Roman" w:cs="Times New Roman" w:eastAsia="Times New Roman" w:hAnsi="Times New Roman"/>
          <w:sz w:val="18"/>
          <w:szCs w:val="18"/>
          <w:color w:val="auto"/>
        </w:rPr>
        <w:t>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68" w:lineRule="exact"/>
        <w:rPr>
          <w:sz w:val="20"/>
          <w:szCs w:val="20"/>
          <w:color w:val="auto"/>
        </w:rPr>
      </w:pPr>
    </w:p>
    <w:p>
      <w:pPr>
        <w:ind w:left="440" w:hanging="316"/>
        <w:spacing w:after="0" w:line="282"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53"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6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forum for certain litigation against us to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440" w:hanging="316"/>
        <w:spacing w:after="0" w:line="282" w:lineRule="auto"/>
        <w:tabs>
          <w:tab w:leader="none" w:pos="4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 stockholders may be limited in their ability to obtain a premium for their shares of common stock.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have entered into a stockholders agreement with PFL which, among other matters, provides PFL with the right to nominate a certain number of directors to our board of directors so long as the Hart Entities beneficially own at least 10% of the outstanding shares of our common stock.</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w:t>
      </w:r>
    </w:p>
    <w:p>
      <w:pPr>
        <w:spacing w:after="0" w:line="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Exchange Act, the Securities Act of 1933,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intend to continue to pay regular dividends on our common stock, but our ability to do so may be limited.</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continue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Our ability to pay dividends is restricted by the terms of our External Debt Facilities and may be restricted by the terms of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cease paying dividends, and/or declare any periodic special dividends. There can be no assurance that our board of directors will not reduce the amount of regular cash dividends or cause us to cease paying dividends altogether.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incur significant liability if our separation from PEI Group fails to qualify as a tax-free transaction for U.S. federal income tax purposes.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historically operated as part of Pactiv Evergreen Inc. (“PEI”) and its subsidiaries (together with PEI, “PEI Group”). In preparation for our IPO, PEI Group effected certain distributions pursuant to the Corporate Reorganization to transfer its interests in us to PFL in a manner that was intended to qualify as tax-free to PFL and PEI Group under Sections 368(a)(1)(D) and 355 of the Internal Revenue Code of 1986, as amended (“Code”). PEI received a tax opinion as to the tax treatment of these distributions, which relied on certain facts, assumptions, representations and undertakings from Mr. Graeme Hart, PEI Group and us regarding the past and future conduct of the companies’ respective businesses and other matters. If any of these facts, assumptions, representations or undertakings are incorrect or not otherwise satisfied, PEI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If the distributions are determined to be taxable for U.S. federal income tax purposes, PFL, PEI and Pactiv Evergreen Group Holdings Inc. could incur significant U.S. federal income tax liabilities, and we could also incur significant liabilities. Under the tax matters agreement between PEI and us (“Tax Matters Agreement”), we are required to indemnify PEI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w:t>
      </w:r>
    </w:p>
    <w:p>
      <w:pPr>
        <w:spacing w:after="0" w:line="30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PFL controls the direction of our business and PFL’s concentrated ownership of our common stock may prevent our stockholders from influencing significant decisions.</w:t>
      </w:r>
    </w:p>
    <w:p>
      <w:pPr>
        <w:spacing w:after="0" w:line="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Under our stockholders agreement with PFL, PFL is entitled to nominate all of our board of directors so long as it owns at least 50% of our shares, and a majority of our board of directors so long as it owns at least 40% of our shares. Additionally, as long as PFL continues to control a majority of the voting power of our outstanding common stock, it is generally able to determine the outcome of all corporate actions requiring stockholder approval.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Other stockholders will not be able to affect the outcome of any stockholder vote while PFL controls the majority of the voting power of our outstanding common stock. As a result, PFL controls, directly or indirectly and subject to applicable law, the composition of our board of directors, which in turn will be able to control all matters affecting us, including, among others:</w:t>
      </w:r>
    </w:p>
    <w:p>
      <w:pPr>
        <w:spacing w:after="0" w:line="75" w:lineRule="exact"/>
        <w:rPr>
          <w:sz w:val="20"/>
          <w:szCs w:val="20"/>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 with respect to our business direction and policies, including the appointment and removal of officers and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amendments to our certificate of incorporation;</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determinations with respect to mergers, business combinations or disposition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benefit programs and other human resources policy decisions;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on our common stock;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with respect to tax matters.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concentration of PFL’s ownership could also discourage others from making tender offers, which could prevent holders from receiving a premium for their common stock.</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 longer affiliated with PEI Group, we may be unable to continue to benefit from that relationship, which may adversely affect our operations and have a material adverse effect on us.</w:t>
      </w:r>
    </w:p>
    <w:p>
      <w:pPr>
        <w:spacing w:after="0" w:line="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affiliation with PEI Group has provided us with increased scale and reach. We have leveraged our combined scale to coordinate purchases across our operations to reduce costs. In December 2024, the PEI Group announced it has entered into a definitive agreement to be acquired by an unrelated third party (the “PEI Group Acquisition”), pending regulatory approval. If the PEI Group Acquisition is completed, we will no longer be affiliated with PEI Group. If we no longer benefit from the relationship with PEI Group, whether because we are no longer affiliated with PEI Group or otherwise, it may result in increased costs for us and higher prices to our customers because we may be unable to obtain goods, services and technology from unaffiliated third parties on terms as favorable as those previously obtained. As a result of any of the above factors, we may be precluded from pursuing certain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opportunities that we would otherwise pursue, including growth opportunities, which in turn may adversely affect our business, financial condition and results of operations.</w:t>
      </w:r>
    </w:p>
    <w:p>
      <w:pPr>
        <w:spacing w:after="0" w:line="26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entered into various transactions with Rank Group Limited (“Rank”) and other related parties that are members of PEI Group, including, among others:</w:t>
      </w:r>
    </w:p>
    <w:p>
      <w:pPr>
        <w:spacing w:after="0" w:line="54" w:lineRule="exact"/>
        <w:rPr>
          <w:sz w:val="20"/>
          <w:szCs w:val="20"/>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for our corporate headquarters in Lake Forest, Illinois;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for a facility used for certain research and development activities in Canandaigua, New York;</w:t>
      </w:r>
    </w:p>
    <w:p>
      <w:pPr>
        <w:spacing w:after="0" w:line="117" w:lineRule="exact"/>
        <w:rPr>
          <w:rFonts w:ascii="Times New Roman" w:cs="Times New Roman" w:eastAsia="Times New Roman" w:hAnsi="Times New Roman"/>
          <w:sz w:val="18"/>
          <w:szCs w:val="18"/>
          <w:color w:val="auto"/>
        </w:rPr>
      </w:pPr>
    </w:p>
    <w:p>
      <w:pPr>
        <w:ind w:left="440" w:right="20" w:hanging="316"/>
        <w:spacing w:after="0" w:line="282" w:lineRule="auto"/>
        <w:tabs>
          <w:tab w:leader="none" w:pos="4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agreements where we sell certain products (primarily aluminum foil containers and roll foil) to, and purchase certain products (primarily foam-related tableware) from Pactiv LLC (“Pactiv”), a member of PEI Group;</w:t>
      </w:r>
    </w:p>
    <w:p>
      <w:pPr>
        <w:spacing w:after="0" w:line="53"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warehousing and freight services agreement whereby Pactiv provides certain logistics services to us;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participation in a broader affiliated program.</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Such related party transactions may also potentially involve conflicts of interest; for example, in the event of a dispute under any of these related party agreements, PEI Group could decide the matter in a way adverse to us, and our ability to enforce our contractual rights may be limited.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is also possible that we may enter into related party transactions in the future. Although material related party transactions that we may enter into will be subject to approval or ratification by the Audit Committee,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2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PFL sells a controlling interest in our company to a third party in a private transaction, investors may not realize any change-of-control premium on shares of our common stock and we may become subject to the control of a presently unknown third party.</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owns and controls the voting power of approximately 74% of our outstanding shares of common stock. PFL has the ability, should it choose to do so, to sell some or all of its shares of our common stock in a privately negotiated transaction, which, if sufficient in size, could result in a change of control of our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ability of PFL to privately sell its shares of our common stock, with no requirement for a concurrent offer to be made to acquire all of the shares of our common stock that are publicly traded, could prevent investors from realizing any change-of-control premium on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rules of Nasdaq and, as a result, rely on exemptions from certain corporate governance requirements.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PFL controls a majority of the voting power of our outstanding common stock. As a result, we are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68" w:lineRule="exact"/>
        <w:rPr>
          <w:sz w:val="20"/>
          <w:szCs w:val="20"/>
          <w:color w:val="auto"/>
        </w:rPr>
      </w:pPr>
    </w:p>
    <w:p>
      <w:pPr>
        <w:ind w:left="440" w:hanging="3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our compensation, nominating and corporate governance committee be composed entirely of independent directors;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governance committee consisting entirely of independent directors. Accordingly, you will not have the same protections afforded to stockholders of companies that are subject to all of the corporate governance requirements of Nasdaq.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PEI Group may compete with us, and its competitive position in certain markets may constrain our ability to build and maintain partnerships.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face competition from a variety of sources, including Pactiv and other members of PEI Group, both today and in the future. For example, while we have supply agreements in place with Pactiv, Pactiv may still compete with us in certain products and/or in certain channels. In addition, while none of the other members of PEI Group currently manufacture or sell products that compete with our products, they may do so in the future, including as a result of acquiring a company that operates as a manufacturer of consumer products. Due to the significant resources of PEI Group, including financial resources and know-how resulting from the previous management of our business, PEI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partner with companies that compete with PEI Group in certain markets. Our affiliation with PEI Group may affect our ability to effectively partner with these companies. These companies may favor our competitors because of our relationship with PEI Group.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may arise because certain of our directors may hold a board position with PEI Group entities.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certain of our directors may also be directors of PEI or other PEI Group entities. The interests of any such director in PEI, other PEI Group entities and us could create, or appear to create, conflicts of interest with respect to decisions involving both us and PEI or PEI Group entities that could have different implications for PEI and us. These decisions could, for example, relate to:</w:t>
      </w:r>
    </w:p>
    <w:p>
      <w:pPr>
        <w:spacing w:after="0" w:line="68" w:lineRule="exact"/>
        <w:rPr>
          <w:sz w:val="20"/>
          <w:szCs w:val="20"/>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over corporate opportunities;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between us and PEI Group;</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or recruiting;</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dividend policy;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and arrangements from which we benefit as a result of our relationship with PEI Group.</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Conflicts of interest could also arise if we enter into any new commercial arrangements with PEI Group in the future. The presence of directors of entities affiliated with PEI on our board of directors could create, or appear to create, conflicts of interest and conflicts in allocating their time with respect to matters involving both us and any one of them, or involving us and PEI, that could have different implications for any of these entities than they do for us. Provisions of our amended and restated certificate of incorporation and amended and restated bylaws address corporate opportunities that are presented to any of our directors who, from time to time, are also directors of PEI and certain of its subsidiaries.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any such individual who is a director of both us and PEI. As a result, we may be precluded from pursuing certain advantageous transactions or growth initiatives.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resolve in a manner favorable to us any potential conflicts or disputes that arise between us and PEI Group, PFL or Rank with respect to our past and ongoing relationships may adversely affect our business and prospects.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conflicts or disputes may arise between PEI Group, PFL or Rank and us in a number of areas relating to our past or ongoing relationships, including:</w:t>
      </w:r>
    </w:p>
    <w:p>
      <w:pPr>
        <w:spacing w:after="0" w:line="54" w:lineRule="exact"/>
        <w:rPr>
          <w:sz w:val="20"/>
          <w:szCs w:val="20"/>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employee benefit, indemnification and other matters arising from our relationship with PEI Group, PFL or Rank;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involving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quality and pricing of services PEI Group and Rank have agreed to provide us;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opportunities that may be attractive to us and PEI Group;</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or other proprietary rights;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sales and marketing activities with PEI Group.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resolution of any potential conflicts or disputes between us, PEI Group, PFL or Rank or their subsidiaries over these or other matters may be less favorable to us than the resolution we might achieve if we were dealing with an unaffiliated third party.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agreements we have entered into with PEI Group and Rank are of varying durations and may be amended upon agreement of the parties. So long as it has the ability to nominate a majority of our board of directors,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information security program is managed by a Chief Information Security Officer (“CISO”), whose team is responsible for leading enterprise-wide cybersecurity strategy, policy, standards, architecture and processes, including assessing and managing our material risks from cybersecurity threats. The CISO is a Certified Information Systems Security Professional (“CISSP”), and has over 20 years of experience holding various roles in information technology and cybersecurity. The Audit Committee of our Board of Directors is charged with oversight of cybersecurity matters, including oversight of risks from cybersecurity threats.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CISO provides quarterly reports to the Audit Committee, as well as more frequent reports to our Cyber Security Steering Committee, which includes the Chief Executive Officer, Chief Financial Officer and other members of our senior management. These reports include updates on our cyber risks and threats, the status of projects to strengthen our information security systems, assessments of our information security program, and the emerging threat landscape. Our cybersecurity program is periodically evaluated by internal and external experts, with the results of those reviews reported to senior management and the Audit Committee. We also actively engage with key vendors and industry participants as part of our continuing efforts to evaluate and enhance the effectiveness of our information security policies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comprehensive cybersecurity and information security framework that includes risk assessment and mitigation. We leverage the National Institute of Standards and Technology Cyber Security Framework 2.0 for measuring overall readiness to respond to cyber threats and the Sarbanes-Oxley Act for assessment in internal controls. Our cybersecurity processes are integrated into our overall risk management program, and include a comprehensive cyber crisis management program that would apply if a cybersecurity related incident were to occur.</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 response simulations, tabletop exercises and recovery tests on a quarterly basis. In addition, we engage external consultants to perform penetration testing at least annually. Our cyber crisis management program includes a documented plan that provides overall coordination of our response to a major cyber incident as well as a resource engagement plan. As part of our crisis management plan, our cyber crisis communication plan accounts for timely and accurate dissemination of information to stakeholders during the crisis. Other components of our crisis management plan are our business continuity plan, that documents the application of specific strategies and measures to enable core business activities to continue during a cyber event, and our disaster recovery plan, that is designed to restore data and systems to their operational state. The ongoing development and maturity of our cyber crisis management program is reported to senior management quarterly.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third-party service providers, we perform assessments of their information security capabilities prior to entering into a contractual agreement. We also perform periodic information security capabilities reviews for existing third-party service providers based on the risks identified in the initial review, or if events and circumstances necessitate a review.</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Refer to “A cyber-attack or failure of one or more key information technology systems, operational technology systems, networks, processes, associated sites or service providers could have a material adverse impact on our business and reputation” in Item 1A. “Risk Factors” for information regarding material risks from cybersecurity threats that affect 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corporate headquarters are located in Lake Forest, Illinois. In addition, as of December 31, 2024, our production and distribution network consisted of 27 manufacturing and warehouse facilities in 12 states and one manufacturing facility and one warehouse in Canada, which are used to produce and store the products sold in all four of our business segments. We own the majority of our physical properties. We believe that all of our properties are in good operating condition and are suitable to adequately meet our current needs.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2024,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Principal Market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under the “REYN” symbol and began “regular way” trading on The Nasdaq Stock Market LLC on January 31, 2020. Prior to that date, there was no public trading market for our common stock.</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2025, there were three holders of record of our common stock. The actual number of our stockholders is greater than this number, and includes beneficial owners whose shares are held in “street name” by banks, brokers and other nominees.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practice of paying quarterly cash dividends on our common stock will continue, although the payment of future dividends is at the discretion of our Board of Directors and will depend upon our earnings, capital requirements, financial condition, contractual restrictions (including under our External Debt Facilities) and other factors.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The information required by this Item concerning our equity compensation plan is incorporated herein by reference to Part III, Item 12 of this report.</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graph compares our cumulative total stockholder return from January 31, 2020 to December 31, 2024 to that of the S&amp;P 500 Index, the Russell MidCap Index and a peer group. The graph assumes that the value for the investment in our common stock, each index and the peer group was $100 on January 31, 2020, and that all dividends were reinvested. The complete list of our peer group comprises: Church &amp; Dwight Co., Inc., The Clorox Company, Colgate-Palmolive Company, Energizer Holdings, Inc., Kimberly-Clark Corporation, Newell Brands Inc., The Procter &amp; Gamble Company, The Scotts Miracle-Gro Company, Spectrum Brands Holdings, Inc. and WD-40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5126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0" cy="5126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management’s discussion and analysis is intended to help the reader understand our results of operations and financial condition and is provided as an addition to, and should be read in connection with, our consolidated financial statements and the accompanying notes included elsewhere in this Annual Report on Form 10-K.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market-leading consumer products company with a presence in 95% of households across the United States. We produce and sell products that people use in their homes for cooking, serving, cleanup and storage. We sell our products under iconic brands such as Reynolds and Hefty and also under store brands that are strategically important to our retail partners. Overall, across both our branded and store brand offerings, we hold the #1 or #2 U.S. market share position in the majority of product categories in which we participate. Over 50% of our revenue comes from products that are #1 in their respective categories. We have developed our market-leading position by investing in our product categories and consistently developing innovative products that meet the evolving needs and preferences of the modern consumer.</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mix of branded and store brand products is a key competitive advantage that aligns our goal of growing the overall product categories where we have offerings. Our retail partners also measure their success in category growth, which positions us as a trusted strategic partner. Our Reynolds and Hefty brands have preeminent positions in their categories and carry strong brand recognition in household aisles.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operations in four operating and reportable segments: Reynolds Cooking &amp; Baking, Hefty Waste &amp; Storage, Hefty Tableware and Presto Products:</w:t>
      </w:r>
    </w:p>
    <w:p>
      <w:pPr>
        <w:spacing w:after="0" w:line="54" w:lineRule="exact"/>
        <w:rPr>
          <w:sz w:val="20"/>
          <w:szCs w:val="20"/>
          <w:color w:val="auto"/>
        </w:rPr>
      </w:pPr>
    </w:p>
    <w:p>
      <w:pPr>
        <w:jc w:val="both"/>
        <w:ind w:left="440" w:hanging="316"/>
        <w:spacing w:after="0" w:line="253"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Reynolds Cooking &amp; Baking: Through our Reynolds Cooking &amp; Baking segment, we sell both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retail sales and volume. We also hold the #1 market position in the Canadian branded foil market under the ALCAN brand. We have no significant branded competitor in this market. Reynolds is one of the most recognized household brands in the United States, with 98% brand awareness, and has been the top trusted brand in the consumer foil market for over 75 years, with greater than 50% market share in most of its categories. We also offer more sustainable solutions, such as Reynolds Wrap 100% recycled aluminum, unbleached parchment paper made with a chlorine-free process and coreless wax paper, which uses less packaging material than traditional wax paper rolls.</w:t>
      </w:r>
    </w:p>
    <w:p>
      <w:pPr>
        <w:spacing w:after="0" w:line="86"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Waste &amp; Storage: Through our Hefty Waste &amp; Storage segment, we produce both branded and store brand trash and food storage bags. Hefty is a well-recognized leader in the trash bag and food storage bag categories and our private label products offer value to our retail partners. Our branded products are sold under the Hefty Ultra Strong and Hefty Strong brands for trash bags, and as the Hefty and Baggies brands for our food storage bags. Hefty has 98% brand awareness and is most commonly identified with the Brand’s famous “Hefty! Hefty! Hefty!” slogan. We have the #1 branded market share in the U.S. large black trash bag segment, and the #2 branded market share in the slider bag and tall kitchen trash bag segments. Our robust product portfolio in this segment includes a full suite of products, including sustainable solutions such as blue and clear recycling bags, compostable bags, bags made from recycled materials and orange bags through the Hefty ReNew Program.</w:t>
      </w:r>
    </w:p>
    <w:p>
      <w:pPr>
        <w:spacing w:after="0" w:line="80" w:lineRule="exact"/>
        <w:rPr>
          <w:rFonts w:ascii="Times New Roman" w:cs="Times New Roman" w:eastAsia="Times New Roman" w:hAnsi="Times New Roman"/>
          <w:sz w:val="18"/>
          <w:szCs w:val="18"/>
          <w:color w:val="auto"/>
        </w:rPr>
      </w:pPr>
    </w:p>
    <w:p>
      <w:pPr>
        <w:jc w:val="both"/>
        <w:ind w:left="440" w:hanging="316"/>
        <w:spacing w:after="0" w:line="255"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Hefty Tableware: Through our Hefty Tableware segment, we sell both branded and store brand disposable and compostable plates, bowls, platters, containers, cups and cutlery. Our Hefty branded products include dishes, party cups, cutlery and containers. Hefty branded party cups are the #1 party cup in America measured by market share. Our branded products use our Hefty brand to represent both quality and value, and we bring this same quality and value promise to all of our store brands as well. We sell across a broad range of materials and price points in all retail channels, allowing our consumers to select the product that best suits their price, function and aesthetic needs. These materials include sustainable solutions, such as Hefty ECOSAVE and Hefty Compostable Printed Paper Plates. In 2024, we increased the post-consumer recycled content in some of our cups and we added compostable party cups to our assortment.</w:t>
      </w:r>
    </w:p>
    <w:p>
      <w:pPr>
        <w:spacing w:after="0" w:line="80" w:lineRule="exact"/>
        <w:rPr>
          <w:rFonts w:ascii="Times New Roman" w:cs="Times New Roman" w:eastAsia="Times New Roman" w:hAnsi="Times New Roman"/>
          <w:sz w:val="18"/>
          <w:szCs w:val="18"/>
          <w:color w:val="auto"/>
        </w:rPr>
      </w:pPr>
    </w:p>
    <w:p>
      <w:pPr>
        <w:jc w:val="both"/>
        <w:ind w:left="440" w:hanging="316"/>
        <w:spacing w:after="0" w:line="256" w:lineRule="auto"/>
        <w:tabs>
          <w:tab w:leader="none" w:pos="4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Presto Products: Through our Presto Products segment, we primarily sell store brand products in four main categories: food storage bags, trash bags, reusable storage containers and plastic wrap. Presto Products is a market leader in food storage bags and differentiates itself by providing access to category management, consumer insights, marketing, merchandising and research and development (“R&amp;D”) resources. Presto Products was the first in the U.S. market to offer a store branded sandwich bag made with an approximately 20% proprietary blend of plant and ocean, renewable materials. Our Presto Products segment also includes our specialty business, which serves other consumer products companies by providing Fresh-Lock and Slide-Rite resealable closure systems.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Factors Affecting Our Results of Operations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on Form 10-K titled “Risk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Demand for our Products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 Consumer demand is also impacted by changes in consumer lifestyle, environmental concerns and other considerations. In addition, customers’ sensitivity to price points contributes to fluctuations in demand in portions of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Branded products and store brand products accounted for 62% and 38% of our revenue, excluding business-to-business revenue, respectively, in the year ended December 31, 2024.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advisorship roles with our retail partners, we offer marketing and consumer shopping strategies, both in store and online, which expand usage occasions and stimulate consumption for our categories.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for Raw Materials, Energy, Labor and Freight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impacted by fluctuations in the prices of the raw materials, energy and freight costs incurred in manufacturing and distributing our products, as well as fluctuations in labor costs.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labor, freight and handling costs caused by reduced rail and trucking capacity. Sales contracts for our products typically do not contain pass-through mechanisms for raw material, energy, labor and freight cost changes, but we adjust prices, where possible, in response to such price fluctuations.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Resin prices have historically fluctuated with supply and demand, changes in the prices of crude oil and natural gas, changes in refining capacity and the demand for other petroleum-based products. Aluminum prices have also historically fluctuated, as aluminum is a cyclical commodity with prices subject to global market factors. Raw material costs have also been impacted by governmental actions, such as tariffs and trade sanctions.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various strategies to manage our cost exposures on certain raw material purchases, including managing these costs through supplier negotiations and entering into contracts of varying durations, and we use naturally established forecast cycles to influence the timing of purchases of raw materials.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since we distribute our products and receive raw materials primarily by rail and truck, reduced availability of rail or trucking capacity and fluctuations in labor, freight and handling costs have caused us to incur increased expenses in certain periods. Where possible, we also adjust the prices of our products in response to fluctuations in production and distribution costs.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operating results are also impacted by energy-related cost movements, including those impacting both our manufacturing operations and transportation and utility costs.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Environment</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 - Competition” for more detail on our competitors.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Sustainability</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Interest in environmental sustainability has increased over the past decade, and it has played, and we expect it will continue to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We intend to continue sustainability innovation in our efforts to be at the leading edge of recyclability, renewability and compostability in order to offer our customers environmentally sustainable choices. Our 2023 acquisition of privately held Atacama Manufacturing Inc. enhanced our innovation pipeline with sustainable products from plant-based resins.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use the non-GAAP financial measures “Adjusted EBITDA”, “Adjusted Net Income” and “Adjusted Diluted Earnings Per Share” (“Adjusted EPS”), which are measures adjusted for the impact of specified items and are not in accordance with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calculated in accordance with GAAP, plus the sum of income tax expense, net interest expense, depreciation and amortization and as may be further adjusted to exclude IPO and separation-related costs, as well as other non-recurring items, if applicable. We define Adjusted Net Income and Adjusted EPS as Net Income and Earnings Per Share (“EPS”) calculated in accordance with GAAP, plus IPO and separation-related costs and other non-recurring costs.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our net income, the most directly comparable GAAP financial measure, to Adjusted EBITDA:</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2"/>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GAAP</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3"/>
                <w:szCs w:val="23"/>
                <w:color w:val="auto"/>
                <w:vertAlign w:val="superscript"/>
              </w:rPr>
              <w:t>(1)</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6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(Non-GAAP)</w:t>
            </w:r>
          </w:p>
        </w:tc>
        <w:tc>
          <w:tcPr>
            <w:tcW w:w="920" w:type="dxa"/>
            <w:vAlign w:val="bottom"/>
            <w:tcBorders>
              <w:top w:val="single" w:sz="8" w:color="auto"/>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652"/>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during the year ended December 31, 2022 related to our separation to operate as a stand-alone public company as well as costs related to the IPO process. No such costs were incurred during the years ended December 31, 2024 and 2023.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our net income and diluted EPS, the most directly comparable GAAP financial measures, to Adjusted Net Income and Adjusted EPS: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40" w:type="dxa"/>
            <w:vAlign w:val="bottom"/>
          </w:tcPr>
          <w:p>
            <w:pPr>
              <w:spacing w:after="0"/>
              <w:rPr>
                <w:sz w:val="16"/>
                <w:szCs w:val="16"/>
                <w:color w:val="auto"/>
              </w:rPr>
            </w:pPr>
          </w:p>
        </w:tc>
        <w:tc>
          <w:tcPr>
            <w:tcW w:w="2520" w:type="dxa"/>
            <w:vAlign w:val="bottom"/>
            <w:gridSpan w:val="7"/>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40" w:type="dxa"/>
            <w:vAlign w:val="bottom"/>
          </w:tcPr>
          <w:p>
            <w:pPr>
              <w:spacing w:after="0"/>
              <w:rPr>
                <w:sz w:val="16"/>
                <w:szCs w:val="16"/>
                <w:color w:val="auto"/>
              </w:rPr>
            </w:pPr>
          </w:p>
        </w:tc>
        <w:tc>
          <w:tcPr>
            <w:tcW w:w="2420" w:type="dxa"/>
            <w:vAlign w:val="bottom"/>
            <w:gridSpan w:val="6"/>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per share data)</w:t>
            </w: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0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w w:val="99"/>
              </w:rPr>
              <w:t>Diluted</w:t>
            </w:r>
          </w:p>
        </w:tc>
        <w:tc>
          <w:tcPr>
            <w:tcW w:w="120" w:type="dxa"/>
            <w:vAlign w:val="bottom"/>
          </w:tcPr>
          <w:p>
            <w:pPr>
              <w:spacing w:after="0"/>
              <w:rPr>
                <w:sz w:val="11"/>
                <w:szCs w:val="11"/>
                <w:color w:val="auto"/>
              </w:rPr>
            </w:pPr>
          </w:p>
        </w:tc>
        <w:tc>
          <w:tcPr>
            <w:tcW w:w="92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56"/>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140" w:type="dxa"/>
            <w:vAlign w:val="bottom"/>
          </w:tcPr>
          <w:p>
            <w:pPr>
              <w:spacing w:after="0"/>
              <w:rPr>
                <w:sz w:val="11"/>
                <w:szCs w:val="11"/>
                <w:color w:val="auto"/>
              </w:rPr>
            </w:pPr>
          </w:p>
        </w:tc>
        <w:tc>
          <w:tcPr>
            <w:tcW w:w="94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20" w:type="dxa"/>
            <w:vAlign w:val="bottom"/>
            <w:tcBorders>
              <w:top w:val="single" w:sz="8" w:color="auto"/>
            </w:tcBorders>
            <w:gridSpan w:val="2"/>
          </w:tcPr>
          <w:p>
            <w:pPr>
              <w:jc w:val="center"/>
              <w:ind w:right="140"/>
              <w:spacing w:after="0" w:line="131" w:lineRule="exact"/>
              <w:rPr>
                <w:sz w:val="20"/>
                <w:szCs w:val="20"/>
                <w:color w:val="auto"/>
              </w:rPr>
            </w:pPr>
            <w:r>
              <w:rPr>
                <w:rFonts w:ascii="Times New Roman" w:cs="Times New Roman" w:eastAsia="Times New Roman" w:hAnsi="Times New Roman"/>
                <w:sz w:val="14"/>
                <w:szCs w:val="14"/>
                <w:b w:val="1"/>
                <w:bCs w:val="1"/>
                <w:color w:val="auto"/>
              </w:rPr>
              <w:t>Diluted</w:t>
            </w:r>
          </w:p>
        </w:tc>
        <w:tc>
          <w:tcPr>
            <w:tcW w:w="80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Diluted EPS</w:t>
            </w:r>
          </w:p>
        </w:tc>
        <w:tc>
          <w:tcPr>
            <w:tcW w:w="0" w:type="dxa"/>
            <w:vAlign w:val="bottom"/>
          </w:tcPr>
          <w:p>
            <w:pPr>
              <w:spacing w:after="0"/>
              <w:rPr>
                <w:sz w:val="1"/>
                <w:szCs w:val="1"/>
                <w:color w:val="auto"/>
              </w:rPr>
            </w:pPr>
          </w:p>
        </w:tc>
      </w:tr>
      <w:tr>
        <w:trPr>
          <w:trHeight w:val="195"/>
        </w:trPr>
        <w:tc>
          <w:tcPr>
            <w:tcW w:w="3080" w:type="dxa"/>
            <w:vAlign w:val="bottom"/>
            <w:vMerge w:val="continue"/>
          </w:tcPr>
          <w:p>
            <w:pPr>
              <w:spacing w:after="0"/>
              <w:rPr>
                <w:sz w:val="16"/>
                <w:szCs w:val="16"/>
                <w:color w:val="auto"/>
              </w:rPr>
            </w:pPr>
          </w:p>
        </w:tc>
        <w:tc>
          <w:tcPr>
            <w:tcW w:w="920" w:type="dxa"/>
            <w:vAlign w:val="bottom"/>
            <w:gridSpan w:val="3"/>
            <w:vMerge w:val="continue"/>
          </w:tcPr>
          <w:p>
            <w:pPr>
              <w:spacing w:after="0"/>
              <w:rPr>
                <w:sz w:val="16"/>
                <w:szCs w:val="16"/>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4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EPS</w:t>
            </w:r>
          </w:p>
        </w:tc>
        <w:tc>
          <w:tcPr>
            <w:tcW w:w="920" w:type="dxa"/>
            <w:vAlign w:val="bottom"/>
            <w:gridSpan w:val="3"/>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940" w:type="dxa"/>
            <w:vAlign w:val="bottom"/>
            <w:gridSpan w:val="3"/>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As Reported - GAAP</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c>
          <w:tcPr>
            <w:tcW w:w="1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0" w:type="dxa"/>
            <w:vAlign w:val="bottom"/>
          </w:tcPr>
          <w:p>
            <w:pPr>
              <w:spacing w:after="0"/>
              <w:rPr>
                <w:sz w:val="1"/>
                <w:szCs w:val="1"/>
                <w:color w:val="auto"/>
              </w:rPr>
            </w:pPr>
          </w:p>
        </w:tc>
      </w:tr>
      <w:tr>
        <w:trPr>
          <w:trHeight w:val="229"/>
        </w:trPr>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0"/>
        </w:trPr>
        <w:tc>
          <w:tcPr>
            <w:tcW w:w="30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 (Non-GAAP)</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209.9</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ind w:left="5540" w:right="200" w:hanging="5532"/>
        <w:spacing w:after="0" w:line="501" w:lineRule="auto"/>
        <w:tabs>
          <w:tab w:leader="none" w:pos="65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after tax, calculated using a tax rate of 23.6% for the year ended December 31, 2022, which is our effective tax rate for that period.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discussion should be read in conjunction with our consolidated financial statements included elsewhere in this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Detailed comparisons of revenue and results are presented in the discussions of the operating segments, which follow our consolidated results discussion.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discussions in this section provide a breakdown of net revenues between our retail business and non-retail business. Our retail business net revenues consist of sales to grocery stores, mass merchants, warehouse clubs, discount chains, dollar stores, drug stores, home improvement stores, military outlets and eCommerce retailers. Our non-retail business net revenues consist of aluminum sales to food service customers, which are classified as related party revenues, and industrial customers.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Discussions of the year ended December 31, 2023 items and comparisons between the year ended December 31, 2023 and the year ended December 31, 2022 can be found in “Management’s Discussion and Analysis of Financial Condition and Results of Operations” in our Annual Report on Form 10-K filed on February 7, 2024.</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Aggregation of Segment Revenue and Adjusted EBITDA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Reynolds</w:t>
            </w:r>
          </w:p>
        </w:tc>
        <w:tc>
          <w:tcPr>
            <w:tcW w:w="0" w:type="dxa"/>
            <w:vAlign w:val="bottom"/>
          </w:tcPr>
          <w:p>
            <w:pPr>
              <w:spacing w:after="0"/>
              <w:rPr>
                <w:sz w:val="1"/>
                <w:szCs w:val="1"/>
                <w:color w:val="auto"/>
              </w:rPr>
            </w:pPr>
          </w:p>
        </w:tc>
      </w:tr>
      <w:tr>
        <w:trPr>
          <w:trHeight w:val="14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Cooking &amp;</w:t>
            </w:r>
          </w:p>
        </w:tc>
        <w:tc>
          <w:tcPr>
            <w:tcW w:w="14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Waste &amp;</w:t>
            </w: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Unallocated</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²</w:t>
            </w:r>
            <w:r>
              <w:rPr>
                <w:rFonts w:ascii="MS PGothic" w:cs="MS PGothic" w:eastAsia="MS PGothic" w:hAnsi="MS PGothic"/>
                <w:sz w:val="14"/>
                <w:szCs w:val="14"/>
                <w:color w:val="auto"/>
              </w:rPr>
              <w:t>⁾</w:t>
            </w:r>
          </w:p>
        </w:tc>
        <w:tc>
          <w:tcPr>
            <w:tcW w:w="140" w:type="dxa"/>
            <w:vAlign w:val="bottom"/>
          </w:tcPr>
          <w:p>
            <w:pPr>
              <w:spacing w:after="0"/>
              <w:rPr>
                <w:sz w:val="12"/>
                <w:szCs w:val="12"/>
                <w:color w:val="auto"/>
              </w:rPr>
            </w:pPr>
          </w:p>
        </w:tc>
        <w:tc>
          <w:tcPr>
            <w:tcW w:w="92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Consumer</w:t>
            </w:r>
          </w:p>
        </w:tc>
        <w:tc>
          <w:tcPr>
            <w:tcW w:w="0" w:type="dxa"/>
            <w:vAlign w:val="bottom"/>
          </w:tcPr>
          <w:p>
            <w:pPr>
              <w:spacing w:after="0"/>
              <w:rPr>
                <w:sz w:val="1"/>
                <w:szCs w:val="1"/>
                <w:color w:val="auto"/>
              </w:rPr>
            </w:pPr>
          </w:p>
        </w:tc>
      </w:tr>
      <w:tr>
        <w:trPr>
          <w:trHeight w:val="202"/>
        </w:trPr>
        <w:tc>
          <w:tcPr>
            <w:tcW w:w="44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140" w:type="dxa"/>
            <w:vAlign w:val="bottom"/>
          </w:tcPr>
          <w:p>
            <w:pPr>
              <w:spacing w:after="0"/>
              <w:rPr>
                <w:sz w:val="17"/>
                <w:szCs w:val="17"/>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4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Tableware</w:t>
            </w:r>
          </w:p>
        </w:tc>
        <w:tc>
          <w:tcPr>
            <w:tcW w:w="140" w:type="dxa"/>
            <w:vAlign w:val="bottom"/>
          </w:tcPr>
          <w:p>
            <w:pPr>
              <w:spacing w:after="0"/>
              <w:rPr>
                <w:sz w:val="17"/>
                <w:szCs w:val="17"/>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4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jc w:val="right"/>
              <w:ind w:right="3773"/>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jc w:val="right"/>
              <w:ind w:right="3773"/>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3,756</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jc w:val="right"/>
              <w:ind w:right="3773"/>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34"/>
        </w:trPr>
        <w:tc>
          <w:tcPr>
            <w:tcW w:w="4460" w:type="dxa"/>
            <w:vAlign w:val="bottom"/>
          </w:tcPr>
          <w:p>
            <w:pPr>
              <w:jc w:val="right"/>
              <w:ind w:right="3773"/>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6179185</wp:posOffset>
            </wp:positionH>
            <wp:positionV relativeFrom="paragraph">
              <wp:posOffset>-1004570</wp:posOffset>
            </wp:positionV>
            <wp:extent cx="94615" cy="749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spacing w:after="0" w:line="159" w:lineRule="exact"/>
        <w:rPr>
          <w:sz w:val="20"/>
          <w:szCs w:val="20"/>
          <w:color w:val="auto"/>
        </w:rPr>
      </w:pPr>
    </w:p>
    <w:p>
      <w:pPr>
        <w:ind w:left="640" w:hanging="632"/>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9" w:lineRule="exact"/>
        <w:rPr>
          <w:rFonts w:ascii="Times New Roman" w:cs="Times New Roman" w:eastAsia="Times New Roman" w:hAnsi="Times New Roman"/>
          <w:sz w:val="18"/>
          <w:szCs w:val="18"/>
          <w:color w:val="auto"/>
        </w:rPr>
      </w:pPr>
    </w:p>
    <w:p>
      <w:pPr>
        <w:ind w:left="660" w:hanging="652"/>
        <w:spacing w:after="0" w:line="26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net revenues include elimination of intersegment revenues and other revenue adjustments. The unallocated Adjusted EBITDA represents the combination of corporate expenses which are not allocated to our segments and other unallocated revenue adjustments.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2024 Compared with the Year Ended December 31, 2023</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Reynolds Consumer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240" w:type="dxa"/>
            <w:vAlign w:val="bottom"/>
          </w:tcPr>
          <w:p>
            <w:pPr>
              <w:spacing w:after="0"/>
              <w:rPr>
                <w:sz w:val="11"/>
                <w:szCs w:val="11"/>
                <w:color w:val="auto"/>
              </w:rPr>
            </w:pPr>
          </w:p>
        </w:tc>
        <w:tc>
          <w:tcPr>
            <w:tcW w:w="760" w:type="dxa"/>
            <w:vAlign w:val="bottom"/>
            <w:vMerge w:val="restart"/>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1000" w:type="dxa"/>
            <w:vAlign w:val="bottom"/>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1"/>
                <w:szCs w:val="11"/>
                <w:color w:val="auto"/>
              </w:rPr>
            </w:pPr>
          </w:p>
        </w:tc>
        <w:tc>
          <w:tcPr>
            <w:tcW w:w="1020" w:type="dxa"/>
            <w:vAlign w:val="bottom"/>
          </w:tcPr>
          <w:p>
            <w:pPr>
              <w:jc w:val="right"/>
              <w:ind w:right="272"/>
              <w:spacing w:after="0" w:line="129" w:lineRule="exact"/>
              <w:rPr>
                <w:sz w:val="20"/>
                <w:szCs w:val="20"/>
                <w:color w:val="auto"/>
              </w:rPr>
            </w:pPr>
            <w:r>
              <w:rPr>
                <w:rFonts w:ascii="Times New Roman" w:cs="Times New Roman" w:eastAsia="Times New Roman" w:hAnsi="Times New Roman"/>
                <w:sz w:val="14"/>
                <w:szCs w:val="14"/>
                <w:b w:val="1"/>
                <w:bCs w:val="1"/>
                <w:color w:val="auto"/>
              </w:rPr>
              <w:t>%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gridSpan w:val="2"/>
            <w:vMerge w:val="restart"/>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3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(74)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(75)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14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14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30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40" w:type="dxa"/>
            <w:vAlign w:val="bottom"/>
          </w:tcPr>
          <w:p>
            <w:pPr>
              <w:spacing w:after="0"/>
              <w:rPr>
                <w:sz w:val="19"/>
                <w:szCs w:val="19"/>
                <w:color w:val="auto"/>
              </w:rPr>
            </w:pP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 %</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 %</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3"/>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4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Adjusted EBITDA </w:t>
            </w:r>
            <w:r>
              <w:rPr>
                <w:rFonts w:ascii="Times New Roman" w:cs="Times New Roman" w:eastAsia="Times New Roman" w:hAnsi="Times New Roman"/>
                <w:sz w:val="23"/>
                <w:szCs w:val="23"/>
                <w:b w:val="1"/>
                <w:bCs w:val="1"/>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678</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measure. See “Non-GAAP Measures” for details, including a reconciliation between net income and Adjusted</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Change in Net Revenues for the Year Ended December 31, 2024 vs. the Year Ended December 31, 2023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13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Volume/Mix</w:t>
            </w: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47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r>
      <w:tr>
        <w:trPr>
          <w:trHeight w:val="190"/>
        </w:trPr>
        <w:tc>
          <w:tcPr>
            <w:tcW w:w="470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3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Non-Retail</w:t>
            </w:r>
          </w:p>
        </w:tc>
        <w:tc>
          <w:tcPr>
            <w:tcW w:w="30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Reynolds Cooking &amp; Baking</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Hefty Waste &amp; Storage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Hefty Tableware</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 %</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Presto Products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RCP</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 %</w:t>
            </w: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Net Revenues</w:t>
      </w:r>
      <w:r>
        <w:rPr>
          <w:rFonts w:ascii="Times New Roman" w:cs="Times New Roman" w:eastAsia="Times New Roman" w:hAnsi="Times New Roman"/>
          <w:sz w:val="18"/>
          <w:szCs w:val="18"/>
          <w:color w:val="auto"/>
        </w:rPr>
        <w:t>. Total net revenues decreased by $61 million, or 2%, to $3,695 million. The 2% decrease was driven by lower volume and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Cost of Sales</w:t>
      </w:r>
      <w:r>
        <w:rPr>
          <w:rFonts w:ascii="Times New Roman" w:cs="Times New Roman" w:eastAsia="Times New Roman" w:hAnsi="Times New Roman"/>
          <w:sz w:val="18"/>
          <w:szCs w:val="18"/>
          <w:color w:val="auto"/>
        </w:rPr>
        <w:t>. Cost of sales decreased by $97 million, or 3%, to $2,717 million. The decrease was primarily driven by lower material and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 well as lower volume, partially offset by higher logistics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decreased by $1 million to $429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Expense, Net. </w:t>
      </w:r>
      <w:r>
        <w:rPr>
          <w:rFonts w:ascii="Times New Roman" w:cs="Times New Roman" w:eastAsia="Times New Roman" w:hAnsi="Times New Roman"/>
          <w:sz w:val="18"/>
          <w:szCs w:val="18"/>
          <w:color w:val="auto"/>
        </w:rPr>
        <w:t>Other expense, net was zero in each of the twelve months ended December 31, 2024 and 2023.</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w:t>
      </w:r>
      <w:r>
        <w:rPr>
          <w:rFonts w:ascii="Times New Roman" w:cs="Times New Roman" w:eastAsia="Times New Roman" w:hAnsi="Times New Roman"/>
          <w:sz w:val="18"/>
          <w:szCs w:val="18"/>
          <w:color w:val="auto"/>
        </w:rPr>
        <w:t>. Interest expense, net decreased by $21 million, or 18%, to $98 million. The decrease was primarily due to a lower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on our external debt facilities as a result of voluntary principal payments made on our term loan facility.</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effective tax rate declined by 2.2%, from 24.1% for the year ended December 31, 2023, to 21.9%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The decrease was primarily due to the recognition of a discrete tax benefit for the remeasurement of deferred tax liabilities.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Adjusted EBITDA increased by $42 million, or 7%, to $678 million. The increase in Adjusted EBITDA was primarily due to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and manufacturing costs, partially offset by higher logistics costs and the impact of lower net revenues.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300" w:type="dxa"/>
            <w:vAlign w:val="bottom"/>
            <w:tcBorders>
              <w:top w:val="single" w:sz="8" w:color="auto"/>
              <w:bottom w:val="single" w:sz="8" w:color="CCEEFF"/>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Borders>
              <w:top w:val="single" w:sz="8" w:color="auto"/>
              <w:bottom w:val="single" w:sz="8" w:color="CCEEFF"/>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Non-retail net revenues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48"/>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1,247</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1,273</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80" w:type="dxa"/>
            <w:vAlign w:val="bottom"/>
            <w:tcBorders>
              <w:top w:val="single" w:sz="8" w:color="CCEEFF"/>
            </w:tcBorders>
            <w:vMerge w:val="continue"/>
          </w:tcPr>
          <w:p>
            <w:pPr>
              <w:spacing w:after="0"/>
              <w:rPr>
                <w:sz w:val="17"/>
                <w:szCs w:val="17"/>
                <w:color w:val="auto"/>
              </w:rPr>
            </w:pPr>
          </w:p>
        </w:tc>
        <w:tc>
          <w:tcPr>
            <w:tcW w:w="320" w:type="dxa"/>
            <w:vAlign w:val="bottom"/>
            <w:tcBorders>
              <w:top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222</w:t>
            </w:r>
          </w:p>
        </w:tc>
        <w:tc>
          <w:tcPr>
            <w:tcW w:w="260" w:type="dxa"/>
            <w:vAlign w:val="bottom"/>
          </w:tcPr>
          <w:p>
            <w:pPr>
              <w:spacing w:after="0"/>
              <w:rPr>
                <w:sz w:val="17"/>
                <w:szCs w:val="17"/>
                <w:color w:val="auto"/>
              </w:rPr>
            </w:pPr>
          </w:p>
        </w:tc>
        <w:tc>
          <w:tcPr>
            <w:tcW w:w="26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184</w:t>
            </w:r>
          </w:p>
        </w:tc>
        <w:tc>
          <w:tcPr>
            <w:tcW w:w="260" w:type="dxa"/>
            <w:vAlign w:val="bottom"/>
          </w:tcPr>
          <w:p>
            <w:pPr>
              <w:spacing w:after="0"/>
              <w:rPr>
                <w:sz w:val="17"/>
                <w:szCs w:val="17"/>
                <w:color w:val="auto"/>
              </w:rPr>
            </w:pPr>
          </w:p>
        </w:tc>
        <w:tc>
          <w:tcPr>
            <w:tcW w:w="280" w:type="dxa"/>
            <w:vAlign w:val="bottom"/>
            <w:tcBorders>
              <w:top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17"/>
                <w:szCs w:val="17"/>
                <w:color w:val="auto"/>
              </w:rPr>
            </w:pPr>
          </w:p>
        </w:tc>
        <w:tc>
          <w:tcPr>
            <w:tcW w:w="13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14 %</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Reynolds Cooking &amp; Baking total segment net revenues decreased by $26 million, or 2%, to $1,247 million.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revenues was primarily due to lower non-retail volume.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Reynolds Cooking &amp; Baking Adjusted EBITDA increased by $38 million, or 21%, to $222 million. The increase in Adjusted EBITDA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driven by lower material and manufacturing costs.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8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Total Segment Net Revenues</w:t>
      </w:r>
      <w:r>
        <w:rPr>
          <w:rFonts w:ascii="Times New Roman" w:cs="Times New Roman" w:eastAsia="Times New Roman" w:hAnsi="Times New Roman"/>
          <w:sz w:val="18"/>
          <w:szCs w:val="18"/>
          <w:color w:val="auto"/>
        </w:rPr>
        <w:t>. Hefty Waste &amp; Storage total segment net revenues increased by $17 million, to $959 million. The increase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higher volume and timing of promotional activities.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Waste &amp; Storage Adjusted EBITDA increased by $11 million, or 4%, to $272 million. The increase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lower material and manufacturing costs and the benefit of higher net revenues, partially offset by higher logistics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bottom w:val="single" w:sz="8" w:color="CCEEFF"/>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19"/>
                <w:szCs w:val="19"/>
                <w:color w:val="auto"/>
              </w:rPr>
            </w:pPr>
          </w:p>
        </w:tc>
        <w:tc>
          <w:tcPr>
            <w:tcW w:w="1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Hefty Tableware total segment net revenues decreased by $49 million, or 5%, to $918 million. The decrease in net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primarily due to lower foam volume driven by foam-related consumer behavior and regulatory pressure, as well as lower pricing.</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w:t>
      </w:r>
      <w:r>
        <w:rPr>
          <w:rFonts w:ascii="Times New Roman" w:cs="Times New Roman" w:eastAsia="Times New Roman" w:hAnsi="Times New Roman"/>
          <w:sz w:val="18"/>
          <w:szCs w:val="18"/>
          <w:color w:val="auto"/>
        </w:rPr>
        <w:t>Hefty Tableware Adjusted EBITDA decreased by $27 million, or 16%, to $147 million. The decrease in Adjusted EBITDA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driven by the impact of lower net revenues.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for %)</w:t>
            </w: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 Margin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Total Segment Net Revenues. </w:t>
      </w:r>
      <w:r>
        <w:rPr>
          <w:rFonts w:ascii="Times New Roman" w:cs="Times New Roman" w:eastAsia="Times New Roman" w:hAnsi="Times New Roman"/>
          <w:sz w:val="18"/>
          <w:szCs w:val="18"/>
          <w:color w:val="auto"/>
        </w:rPr>
        <w:t>Presto Products total segment net revenues increased by $3 million, or 1%, to $596 million. The increase in net revenues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due to the timing of the pass through of higher commodity costs.</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Presto Products Adjusted EBITDA increased by $18 million, or 16%, to $130 million. The increase in Adjusted EBITDA was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lower material and manufacturing costs and the benefit of product portfolio optimization.</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Reynolds Parchment Paper and disposable aluminum pans. Our tableware products generally have higher sales in the second and fourth quarters of the year, primarily due to outdoor summertime and holiday uses of disposable plates, cups, bowls and cutlery.</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principal sources of liquidity are existing cash and cash equivalents, cash generated from operating activities, including proceeds from factored receivables, and available borrowings under the Revolving Facility.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our cash flows for the years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4"/>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0" w:type="dxa"/>
            <w:vAlign w:val="bottom"/>
          </w:tcPr>
          <w:p>
            <w:pPr>
              <w:spacing w:after="0"/>
              <w:rPr>
                <w:sz w:val="1"/>
                <w:szCs w:val="1"/>
                <w:color w:val="auto"/>
              </w:rPr>
            </w:pPr>
          </w:p>
        </w:tc>
      </w:tr>
      <w:tr>
        <w:trPr>
          <w:trHeight w:val="23"/>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and cash equivalents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operating activities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decreased by $155 million, or 24%, to $489 million. The decrease was primarily driven by the normalization of inventory levels following significant reductions implemented in the year ended December 31, 2023. This was partially offset by other working capital optimization initiatives and improved earnings.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investing activities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increased by $10 million, or 9%, to $120 million due to an increase in capital spend.</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financing activities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by $111 million, or 24%, to $346 million. We made voluntarily principal payments of $150 million during the year ended December 31, 2024 compared to voluntary principal payments of $250 million during the year ended December 31, 2023.</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2020, we entered into the External Debt Facilities which consists of a $2,475 million Term Loan Facility and a Revolving Facility that provided for additional borrowing capacity of up to $250 million, reduced by amounts used for letters of credit. In February 2023, we amended the External Debt Facilities (“Amendment No. 1”) which replaced the benchmark from the London Interbank Offered Rate (“LIBOR”) to the Secured Overnight Financing Rate (“SOFR”). Additionally, in November 2023, we further amended the External Debt Facilities (“Amendment No. 2”) to extend the maturity date of the Revolving Facility by one year. In October 2024, we further amended our External Debt Facilities (“Amendment No. 3”) to replace the undrawn $250 million revolving facility maturing in February 2026 with an undrawn $700 million revolving facility maturing in October 2029. Other than the foregoing, the material terms of the External Debt Facilities, as amended by Amendment No. 1, Amendment No. 2 and Amendment No. 3 (“Amended External Debt Facilities”) remain unchanged.</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outstanding balance under the Term Loan Facility was $1,695 million. As of December 31, 2024, we had no outstanding borrowings under the Revolving Facility, and we had $6 million of letters of credit outstanding, which reduces the borrowing capacity under the Revolving Facility.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borrower under the Amended External Debt Facilities is Reynolds Consumer Products LLC (the “Borrower”). The Revolving Facility includes a sub-facility for letters of credit. In addition, the Amended External Debt Facilities provide that the Borrower has the right at any time, subject to customary conditions, to request incremental term loans or incremental revolving credit commitments in amounts and on terms set forth therein. The lenders under the Amended External Debt Facilities are not under any obligation to provide any such incremental loans or commitments, and any such addition of or increase in loans is subject to certain customary conditions precedent and other provisions.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and fees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rate plus an applicable margin of 1.75%.</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remained unchanged, and our election to use practical expedients under Accounting Standards Update (“ASU”) 2020-04, </w:t>
      </w:r>
      <w:r>
        <w:rPr>
          <w:rFonts w:ascii="Times New Roman" w:cs="Times New Roman" w:eastAsia="Times New Roman" w:hAnsi="Times New Roman"/>
          <w:sz w:val="18"/>
          <w:szCs w:val="18"/>
          <w:i w:val="1"/>
          <w:iCs w:val="1"/>
          <w:color w:val="auto"/>
        </w:rPr>
        <w:t>Reference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Reform (Topic 848): Facilitation of the Effects of Reference Rate Reform on Financial Reporting</w:t>
      </w:r>
      <w:r>
        <w:rPr>
          <w:rFonts w:ascii="Times New Roman" w:cs="Times New Roman" w:eastAsia="Times New Roman" w:hAnsi="Times New Roman"/>
          <w:sz w:val="18"/>
          <w:szCs w:val="18"/>
          <w:color w:val="auto"/>
        </w:rPr>
        <w:t>, and ASU 2021-01,</w:t>
      </w:r>
      <w:r>
        <w:rPr>
          <w:rFonts w:ascii="Times New Roman" w:cs="Times New Roman" w:eastAsia="Times New Roman" w:hAnsi="Times New Roman"/>
          <w:sz w:val="18"/>
          <w:szCs w:val="18"/>
          <w:i w:val="1"/>
          <w:iCs w:val="1"/>
          <w:color w:val="auto"/>
        </w:rPr>
        <w:t xml:space="preserve"> Reference Rate Reform (Topic 848): Scope</w:t>
      </w:r>
      <w:r>
        <w:rPr>
          <w:rFonts w:ascii="Times New Roman" w:cs="Times New Roman" w:eastAsia="Times New Roman" w:hAnsi="Times New Roman"/>
          <w:sz w:val="18"/>
          <w:szCs w:val="18"/>
          <w:color w:val="auto"/>
        </w:rPr>
        <w:t>, resulted in no material impacts on the consolidated financial statements. The aggregate notional amount of our interest rate swaps still in effect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was $1,150 million, and the SOFR is fixed at an annual rate of 0.40% to 3.40% (for an annual effective interest rate of 2.15% to 5.15%, including margin). These interest rate swaps hedge a portion of the interest rate exposure resulting from our Term Loan Facility for periods ranging from one to two years.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Prepayments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contains customary mandatory prepayments, including with respect to excess cash flow, asset sale proceeds and proceeds from certain incurrences of indebtedness.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Borrower may voluntarily repay outstanding loans under the Term Loan Facility at any time without premium or penalty, other than customary breakage costs with respect to SOFR based loans. During the years ended December 31, 2024 and 2023, we made voluntary principal payments of $150 million and $250 million, respectively, related to the Term Loan Facility, which were not subject to a prepayment premium. Subsequent to December 31, 2024, we made a voluntary principal payment of $50 million related to our Term Loan Facility.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and maturity</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 Loan Facility matures in February 2027. As a result of previous voluntary principal repayments, we have no further quarterly amortization payments due on the Term Loan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amended, the Revolving Facility matures in October 2029.</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security</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are unconditionally guaranteed by Reynolds Consumer Products Inc. (“RCPI”), the Borrower (with respect to hedge agreements and cash management arrangements not entered into by the Borrower) and certain of RCPI’s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obligations under the Amended External Debt Facilities and certain hedge agreements and cash management arrangements provided by any lender party to the Amended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RCPI, the Borrower or a subsidiary guarantor, including the equity interests of the Borrower (limited to 65% of voting stock in the case of first-tier non-U.S. subsidiaries of RCPI, the Borrower or any subsidiary guarantor) and (ii) perfected first-priority security interests in substantially all tangible and intangible personal property of RCPI, the Borrower and the subsidiary guarantors (subject to certain other exclusions).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Certain covenants and events of default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Amended External Debt Facilities contain a number of covenants that, among other things, restrict, subject to certain exceptions, our ability and the ability of the restricted subsidiaries of RCPI to:</w:t>
      </w:r>
    </w:p>
    <w:p>
      <w:pPr>
        <w:spacing w:after="0" w:line="54" w:lineRule="exact"/>
        <w:rPr>
          <w:sz w:val="20"/>
          <w:szCs w:val="20"/>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and guarantee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mergers or consolidations;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or repurchase capital stock;</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 redeem or repurchase certain indebtedness;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and advances;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affiliates;</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which limit the ability of our restricted subsidiaries to incur restrictions on their ability to make distributions; and</w:t>
      </w:r>
    </w:p>
    <w:p>
      <w:pPr>
        <w:spacing w:after="0" w:line="11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currently in compliance with the covenants contained in our Amended External Debt Facilities.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Factoring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factoring agreement with JP Morgan Chase Bank, N.A. to sell certain accounts receivable up to $95 million. We had no outstanding balance owed under the factoring arrangement as of December 31, 2024 and 2023.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consolidated balance sheet and associated payments are included as an operating cash flow in the consolidated statement of cash flows. As of December 31, 2024 and 2023, the amount of obligations outstanding that we have confirmed as valid under the SCF were $12 million and $19 million,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cash dividends totaling $0.92 per share were declared and paid. On January 30, 2025, a quarterly cash dividend of $0.23 per share was declared and is to be paid on February 28, 2025. We expect to continue paying cash dividends on a quarterly basis; however, future dividends are at the discretion of our Board of Directors and will depend upon our earnings, capital requirements, financial condition, contractual limitations (including under the Amended External Debt Facilities) and other factors.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projected cash position, cash flows from operations, including proceeds from factored receivables, and available borrowings under the Revolving Facility are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3"/>
                <w:szCs w:val="13"/>
                <w:color w:val="auto"/>
              </w:rPr>
            </w:pPr>
          </w:p>
        </w:tc>
        <w:tc>
          <w:tcPr>
            <w:tcW w:w="11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3"/>
                <w:szCs w:val="13"/>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140" w:type="dxa"/>
            <w:vAlign w:val="bottom"/>
          </w:tcPr>
          <w:p>
            <w:pPr>
              <w:spacing w:after="0"/>
              <w:rPr>
                <w:sz w:val="13"/>
                <w:szCs w:val="13"/>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One to three</w:t>
            </w:r>
          </w:p>
        </w:tc>
        <w:tc>
          <w:tcPr>
            <w:tcW w:w="16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to five</w:t>
            </w:r>
          </w:p>
        </w:tc>
        <w:tc>
          <w:tcPr>
            <w:tcW w:w="140" w:type="dxa"/>
            <w:vAlign w:val="bottom"/>
          </w:tcPr>
          <w:p>
            <w:pPr>
              <w:spacing w:after="0"/>
              <w:rPr>
                <w:sz w:val="13"/>
                <w:szCs w:val="13"/>
                <w:color w:val="auto"/>
              </w:rPr>
            </w:pPr>
          </w:p>
        </w:tc>
        <w:tc>
          <w:tcPr>
            <w:tcW w:w="10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Greater than</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one year</w:t>
            </w:r>
          </w:p>
        </w:tc>
        <w:tc>
          <w:tcPr>
            <w:tcW w:w="14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6"/>
                <w:szCs w:val="16"/>
                <w:color w:val="auto"/>
              </w:rPr>
            </w:pPr>
          </w:p>
        </w:tc>
        <w:tc>
          <w:tcPr>
            <w:tcW w:w="10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five years</w:t>
            </w: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Long-term debt </w:t>
            </w:r>
            <w:r>
              <w:rPr>
                <w:rFonts w:ascii="Times New Roman" w:cs="Times New Roman" w:eastAsia="Times New Roman" w:hAnsi="Times New Roman"/>
                <w:sz w:val="23"/>
                <w:szCs w:val="23"/>
                <w:color w:val="auto"/>
                <w:vertAlign w:val="superscript"/>
              </w:rPr>
              <w:t>(1)</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2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liabilities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Unconditional capital expenditure obligations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Postretirement benefit plan obligations</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2,127</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652"/>
        <w:spacing w:after="0" w:line="282"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obligations for long-term debt consist of the principal amounts and interest obligations. The interest rate on the floating rate debt balances has been assumed to be the same as the rate in effect as of December 31, 2024.</w:t>
      </w:r>
    </w:p>
    <w:p>
      <w:pPr>
        <w:spacing w:after="0" w:line="5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lease liabilities include $17 million in commitments related to operating leases executed that have not yet commenced.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2024, our liabilities for uncertain tax positions and defined benefit pension obligations totaled $12 million. The ultimate timing of these liabilities cannot be determined; therefore, we have excluded these amounts from the contractual obligations table above.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material off-balance sheet obligations.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methods, estimates and judgments we use in applying our most critical accounting policies have a significant impact on the results we report in our consolidated financial statements. Critical accounting estimates are those that involve a significant level of estimation uncertainty and have had or are reasonably likely to have a material impact on our financial condition and results of operations. Specific areas requiring the application of management’s estimates and judgments include, among others, assumptions pertaining to valuation assumptions of goodwill and intangible assets, useful lives of long-lived assets and sales incentives. Accordingly, a different financial presentation could result depending on the judgments, estimates or assumptions that are used. A summary of our significant accounting policies and use of estimates is contained in Note 2 - Summary of Significant Accounting Policies of our consolidated financial statements included elsewhere in this Annual Report on Form 10-K.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accounting estimates and assumptions described below involve significant subjectivity and judgment, and changes to such estimates or assumptions could have a material impact on our financial condition or operating results. Therefore, we consider an understanding of the variability and judgment required in making these estimates and assumptions to be critical in fully understanding and evaluating our reported financial results.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Recognition-Sales Incentives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5%, and 4% of total net revenues for the years ended December 31, 2024, 2023 and 2022, respectively. As of December 31, 2024 and 2023, we had accruals of $36 million and $40 million, respectively, reflected on our consolidated balance sheets in Accrued and other current liabilities related to sales incentive programs.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Indefinite-Lived Intangible Assets and Long-Lived Assets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2024, 2023 and 2022.</w:t>
      </w:r>
    </w:p>
    <w:p>
      <w:pPr>
        <w:spacing w:after="0" w:line="28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Goodwill</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reporting units for goodwill impairment testing purposes are Reynolds Cooking &amp; Baking, Hefty Waste &amp; Storage, Hefty Tableware and Presto Products. No instances of impairment were identified during the fiscal year 2024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or if we voluntarily elect,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2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Indefinite-Lived Intangible Assets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We have the option to first assess qualitative factors such as the maturity of the trade name, the magnitude of the excess fair value over carrying value from the prior year’s impairment testing, as well as new events and circumstances impacting the trade name. If the result of a qualitative test indicates a potential for impairment, or if we voluntarily elect, a quantitative test is performed.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w:t>
      </w:r>
    </w:p>
    <w:p>
      <w:pPr>
        <w:spacing w:after="0" w:line="3" w:lineRule="exact"/>
        <w:rPr>
          <w:sz w:val="20"/>
          <w:szCs w:val="20"/>
          <w:color w:val="auto"/>
        </w:rPr>
      </w:pPr>
    </w:p>
    <w:p>
      <w:pPr>
        <w:jc w:val="both"/>
        <w:ind w:firstLine="8"/>
        <w:spacing w:after="0" w:line="253" w:lineRule="auto"/>
        <w:tabs>
          <w:tab w:leader="none" w:pos="2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future branded revenue from the use of the asset; (ii) 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2024 annual impairment review. Each of our indefinite-lived intangible assets had fair values that significantly exceeded recorded carrying values.</w:t>
      </w:r>
    </w:p>
    <w:p>
      <w:pPr>
        <w:spacing w:after="0" w:line="29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Long-Lived Assets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accounting guidance that we have recently adopted, as well as accounting guidance that has been recently issued but not yet adopted by us, is included in Note 2 - Summary of Significant Accounting Policies of our consolidated financial statements included elsewhere in this Annual Report on Form 10-K.</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subject to risks from adverse fluctuations in interest rates and commodity prices. Our objective in managing our exposure to market risk is to limit the impact on earnings and cash flow.</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significant variable rate debt commitments outstanding as of December 31, 2024, which accrue interest at the SOFR rate plus an applicable margin of 1.75%. These on-balance sheet financial instruments expose us to interest rate risk.</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which fixed the LIBOR of our External Debt Facilities. In February 2023, we amended our interest rate swaps to replace the interest rate benchmark from the LIBOR to SOFR. Other than the foregoing, the material terms of the interest rate swap agreements remained unchanged, and our election to use practical expedients under ASUs 2020-04 and 2021-01 resulted in no material impacts on the consolidated financial statements. The aggregate notional amount of our interest rate swaps still in effect as of December 31, 2024 was $1,150 million, and the SOFR is fixed at an annual rate of 0.40% to 3.40% (for an annual effective interest rate of 2.15% to 5.15%, including margin). These interest rate swaps hedge a portion of the interest rate exposure resulting from our Term Loan Facility for periods ranging from one to two years. We classify these instruments as cash flow hedges. Our average variable rate for the remaining notional amount of $1,150 million is a one-month SOFR plus an applicable margin of 1.75%. The fair value of our interest rate swaps included on our consolidated balance sheets as of December 31, 2024 was $16 million. Refer to Note 8 – Financial Instruments for further detail.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Pay fixed / receive</w:t>
            </w: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4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variable notional (in</w:t>
            </w:r>
          </w:p>
        </w:tc>
        <w:tc>
          <w:tcPr>
            <w:tcW w:w="80" w:type="dxa"/>
            <w:vAlign w:val="bottom"/>
          </w:tcPr>
          <w:p>
            <w:pPr>
              <w:spacing w:after="0"/>
              <w:rPr>
                <w:sz w:val="12"/>
                <w:szCs w:val="12"/>
                <w:color w:val="auto"/>
              </w:rPr>
            </w:pPr>
          </w:p>
        </w:tc>
        <w:tc>
          <w:tcPr>
            <w:tcW w:w="154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 xml:space="preserve">Average pay rate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78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1.75% applicable margin on the one-month SOFR.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unhedged outstanding borrowings under the Term Loan Facility as of December 31, 2024, a 100-basis point increase (decrease) in the interest rates under the Term Loan Facility would result in a $5 million increase (decrease) in interest expense, per annum, on our borrowings.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Risk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commodity and other price risk principally from the purchase of resin, aluminum, natural gas, electricity, carton board and diesel. In some instances, we use contracts of varying durations along with strategic pricing mechanisms to manage volatility for a portion of our commodity costs, but derivative instruments are not currently being used to manage these risks.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7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9"/>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238)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Income for the years ended December 31, 2024, 2023 and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104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 for the years ended December 31, 2024, 2023 and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371"/>
        </w:trPr>
        <w:tc>
          <w:tcPr>
            <w:tcW w:w="20" w:type="dxa"/>
            <w:vAlign w:val="bottom"/>
          </w:tcPr>
          <w:p>
            <w:pPr>
              <w:spacing w:after="0"/>
              <w:rPr>
                <w:sz w:val="24"/>
                <w:szCs w:val="24"/>
                <w:color w:val="auto"/>
              </w:rPr>
            </w:pPr>
          </w:p>
        </w:tc>
        <w:tc>
          <w:tcPr>
            <w:tcW w:w="46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3120" w:type="dxa"/>
            <w:vAlign w:val="bottom"/>
            <w:tcBorders>
              <w:top w:val="single" w:sz="8" w:color="0000FF"/>
            </w:tcBorders>
            <w:gridSpan w:val="4"/>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372"/>
        </w:trPr>
        <w:tc>
          <w:tcPr>
            <w:tcW w:w="20" w:type="dxa"/>
            <w:vAlign w:val="bottom"/>
          </w:tcPr>
          <w:p>
            <w:pPr>
              <w:spacing w:after="0"/>
              <w:rPr>
                <w:sz w:val="24"/>
                <w:szCs w:val="24"/>
                <w:color w:val="auto"/>
              </w:rPr>
            </w:pPr>
          </w:p>
        </w:tc>
        <w:tc>
          <w:tcPr>
            <w:tcW w:w="76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 for the years ended December 31, 2024, 2023 and 2022</w:t>
            </w:r>
          </w:p>
        </w:tc>
        <w:tc>
          <w:tcPr>
            <w:tcW w:w="288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71"/>
        </w:trPr>
        <w:tc>
          <w:tcPr>
            <w:tcW w:w="20" w:type="dxa"/>
            <w:vAlign w:val="bottom"/>
          </w:tcPr>
          <w:p>
            <w:pPr>
              <w:spacing w:after="0"/>
              <w:rPr>
                <w:sz w:val="24"/>
                <w:szCs w:val="24"/>
                <w:color w:val="auto"/>
              </w:rPr>
            </w:pPr>
          </w:p>
        </w:tc>
        <w:tc>
          <w:tcPr>
            <w:tcW w:w="69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2024, 2023 and 2022</w:t>
            </w:r>
          </w:p>
        </w:tc>
        <w:tc>
          <w:tcPr>
            <w:tcW w:w="35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372"/>
        </w:trPr>
        <w:tc>
          <w:tcPr>
            <w:tcW w:w="20" w:type="dxa"/>
            <w:vAlign w:val="bottom"/>
          </w:tcPr>
          <w:p>
            <w:pPr>
              <w:spacing w:after="0"/>
              <w:rPr>
                <w:sz w:val="24"/>
                <w:szCs w:val="24"/>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706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520"/>
        </w:trPr>
        <w:tc>
          <w:tcPr>
            <w:tcW w:w="66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color w:val="auto"/>
              </w:rPr>
              <w:t>44</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color w:val="383336"/>
        </w:rPr>
        <w:t>Board of Directors and Stockholders of Reynolds Consumer Products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Opinions on the Financial Statements and Internal Control over Financial Reporting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Reynolds Consumer Products Inc. and its subsidiaries (the “Company”) as of December 31, 2024 and 2023, and the related consolidated statements of income, of comprehensive income, of stockholders’ equity and of cash flows for each of the three years in the period ended December 31, 2024, including the related notes (collectively referred to as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Committee of Sponsoring Organizations of the Treadway Commission (COSO).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w:t>
      </w:r>
      <w:r>
        <w:rPr>
          <w:rFonts w:ascii="Times New Roman" w:cs="Times New Roman" w:eastAsia="Times New Roman" w:hAnsi="Times New Roman"/>
          <w:sz w:val="18"/>
          <w:szCs w:val="18"/>
          <w:color w:val="auto"/>
        </w:rPr>
        <w:t>(2013) issued by the COSO.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Opinions</w:t>
      </w:r>
    </w:p>
    <w:p>
      <w:pPr>
        <w:spacing w:after="0" w:line="2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w:t>
      </w:r>
      <w:r>
        <w:rPr>
          <w:rFonts w:ascii="Times New Roman" w:cs="Times New Roman" w:eastAsia="Times New Roman" w:hAnsi="Times New Roman"/>
          <w:sz w:val="18"/>
          <w:szCs w:val="18"/>
          <w:color w:val="008080"/>
        </w:rPr>
        <w:t>’</w:t>
      </w:r>
      <w:r>
        <w:rPr>
          <w:rFonts w:ascii="Times New Roman" w:cs="Times New Roman" w:eastAsia="Times New Roman" w:hAnsi="Times New Roman"/>
          <w:sz w:val="18"/>
          <w:szCs w:val="18"/>
          <w:color w:val="auto"/>
        </w:rPr>
        <w: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Internal Control over Financial Reporting</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for Certain Contracts with Customers</w:t>
      </w:r>
    </w:p>
    <w:p>
      <w:pPr>
        <w:spacing w:after="0" w:line="1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described in Note 2 to the consolidated financial statements, the Company recorded total net revenues of $3,695 million for the year ended December 31, 2024, of which a portion relates to certain contracts with customers, recorded net of discounts, allowances and trade promotions (collectively referred to as “sales incentives”) recognized throughout the year. Consideration in contracts with customers is variable due to anticipated reductions such as sales incentives. Accordingly, revenues are recorded net of estimated sales incentives recognized throughout the year and as of year-end. The transaction price is estimated based on the amount of consideration to which management believes the Company will be entitled, using an expected value method.</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revenue recognition for certain contracts with customers is a critical audit matter is a high degree of auditor effort in performing procedures related to revenue recognition for certain contracts with customers, recorded net of sales incentives recognized throughout the year.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These procedures also included, among others (i) evaluating certain revenue transactions by testing the issuance and settlement of invoices and credit memos, tracing transactions not settled to a detailed listing of accounts receivable, and testing the completeness and accuracy of data provided by management; (ii) evaluating and recalculating, on a sample basis, certain sales incentives recognized by obtaining and inspecting source documents, such as executed contracts and support for the amount; and (iii) evaluating, on a sample basis, outstanding customer invoice balances as of December 31, 2024 by obtaining and inspecting source documents, such as executed contracts, invoices, proof of shipment, and subsequent cash receipts.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2015.</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Related party net revenues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(3,041)</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776</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512</w:t>
            </w:r>
          </w:p>
        </w:tc>
        <w:tc>
          <w:tcPr>
            <w:tcW w:w="2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70"/>
        </w:trPr>
        <w:tc>
          <w:tcPr>
            <w:tcW w:w="67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r>
      <w:tr>
        <w:trPr>
          <w:trHeight w:val="234"/>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w:t>
            </w:r>
          </w:p>
        </w:tc>
      </w:tr>
    </w:tbl>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 plans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instruments</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income taxes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1,041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539</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r>
      <w:tr>
        <w:trPr>
          <w:trHeight w:val="229"/>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8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2,731</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2,797</w:t>
            </w:r>
          </w:p>
        </w:tc>
      </w:tr>
      <w:tr>
        <w:trPr>
          <w:trHeight w:val="23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75"/>
        </w:trPr>
        <w:tc>
          <w:tcPr>
            <w:tcW w:w="828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$0.001 par value; 2,000 shares authorized; 210.2 shares issued and</w:t>
            </w: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82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outstanding</w:t>
            </w:r>
          </w:p>
        </w:tc>
        <w:tc>
          <w:tcPr>
            <w:tcW w:w="86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w:t>
            </w:r>
          </w:p>
        </w:tc>
      </w:tr>
      <w:tr>
        <w:trPr>
          <w:trHeight w:val="230"/>
        </w:trPr>
        <w:tc>
          <w:tcPr>
            <w:tcW w:w="8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2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r>
      <w:tr>
        <w:trPr>
          <w:trHeight w:val="223"/>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for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2"/>
                <w:szCs w:val="12"/>
                <w:color w:val="auto"/>
              </w:rPr>
            </w:pPr>
          </w:p>
        </w:tc>
        <w:tc>
          <w:tcPr>
            <w:tcW w:w="9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80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12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7"/>
                <w:szCs w:val="17"/>
                <w:color w:val="auto"/>
              </w:rPr>
            </w:pPr>
          </w:p>
        </w:tc>
        <w:tc>
          <w:tcPr>
            <w:tcW w:w="8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1,756</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1,385</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c>
          <w:tcPr>
            <w:tcW w:w="100" w:type="dxa"/>
            <w:vAlign w:val="bottom"/>
          </w:tcPr>
          <w:p>
            <w:pPr>
              <w:spacing w:after="0"/>
              <w:rPr>
                <w:sz w:val="19"/>
                <w:szCs w:val="19"/>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comprehensive income, net of income taxes</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1,983</w:t>
            </w:r>
          </w:p>
        </w:tc>
        <w:tc>
          <w:tcPr>
            <w:tcW w:w="0" w:type="dxa"/>
            <w:vAlign w:val="bottom"/>
          </w:tcPr>
          <w:p>
            <w:pPr>
              <w:spacing w:after="0"/>
              <w:rPr>
                <w:sz w:val="1"/>
                <w:szCs w:val="1"/>
                <w:color w:val="auto"/>
              </w:rPr>
            </w:pPr>
          </w:p>
        </w:tc>
      </w:tr>
      <w:tr>
        <w:trPr>
          <w:trHeight w:val="229"/>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loss, net of income taxes</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($0.92 per share declared and paid)</w:t>
            </w:r>
          </w:p>
        </w:tc>
        <w:tc>
          <w:tcPr>
            <w:tcW w:w="1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5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694</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2,142</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operating cash flows: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Related party receivables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Related party payables</w:t>
            </w:r>
          </w:p>
        </w:tc>
        <w:tc>
          <w:tcPr>
            <w:tcW w:w="88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taxes payable / receivable</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2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5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 of business</w:t>
            </w:r>
          </w:p>
        </w:tc>
        <w:tc>
          <w:tcPr>
            <w:tcW w:w="880" w:type="dxa"/>
            <w:vAlign w:val="bottom"/>
          </w:tcPr>
          <w:p>
            <w:pPr>
              <w:spacing w:after="0"/>
              <w:rPr>
                <w:sz w:val="21"/>
                <w:szCs w:val="21"/>
                <w:color w:val="auto"/>
              </w:rPr>
            </w:pPr>
          </w:p>
        </w:tc>
        <w:tc>
          <w:tcPr>
            <w:tcW w:w="7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7"/>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880" w:type="dxa"/>
            <w:vAlign w:val="bottom"/>
            <w:tcBorders>
              <w:top w:val="single" w:sz="8" w:color="auto"/>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financing activities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8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(217)</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50"/>
        </w:trPr>
        <w:tc>
          <w:tcPr>
            <w:tcW w:w="6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5"/>
        </w:trPr>
        <w:tc>
          <w:tcPr>
            <w:tcW w:w="67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Balance as of end of the year</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64"/>
        </w:trPr>
        <w:tc>
          <w:tcPr>
            <w:tcW w:w="6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23"/>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w:t>
            </w:r>
          </w:p>
        </w:tc>
        <w:tc>
          <w:tcPr>
            <w:tcW w:w="8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50"/>
        </w:trPr>
        <w:tc>
          <w:tcPr>
            <w:tcW w:w="6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 long-term debt, net of interest rate swaps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63"/>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taxes</w:t>
            </w:r>
          </w:p>
        </w:tc>
        <w:tc>
          <w:tcPr>
            <w:tcW w:w="88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non-cash investing and financing activities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7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Leases for details of non-cash additions to lease right-of-use assets, net as a result of changes in lease liabilities.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Reynolds Consumer Products Inc. and its subsidiaries (“we”, “us” or “our”) produce and sell products that people use in their homes for cooking, serving, cleanup and storage.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8"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We have prepared the accompanying audited consolidated financial statements in accordance with United States generally accepted accounting principles (“GAAP”).</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Consolidation: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wholly-owned subsidiaries. All intercompany transactions and balances have been eliminated in consolidation.</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GAAP, which requires us to make estimates and assumptions that affect a number of amounts in our consolidated financial statements. Significant accounting policy elections, estimates and assumptions include, among others, valuation assumptions of goodwill and intangible assets, useful lives of long-lived assets, sales incentives, income taxes and benefit plan assumptions.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stockholders’ equity within accumulated other comprehensive income and transaction gains and losses in other expense, net in our consolidated statements of income.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2024 and 2023 were $10 million and $12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The allowance for doubtful accounts was not material as of December 31, 2024 and 2023.</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party to a factoring agreement with JP Morgan Chase Bank N.A. to sell certain accounts receivable up to $95 million. We had no outstanding balance owed under the factoring arrangement as of December 31, 2024 and 2023. Transactions under this agreement are accounted for as sales of accounts receivable, and the receivables sold are removed from the consolidated balance sheet at the time of the sales transaction. We classify proceeds received from the sales of accounts receivable as an operating cash flow in the consolidated statement of cash flows. We record the discount as other expense, net in the consolidated statement of income.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consolidated statements of income.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consolidated statements of income. There were no impairments of long-lived assets in any of the years presented.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For operating leases, following initial recognition, lease liability balances are amortized using the effective interest method, while the related operating lease ROU assets are adjusted by the difference between the fixed lease expense recognized under a straight-line method and the interest expense associated with the effective interest method in the period.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leases contain non-lease components, for example common 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 All operating lease cash payments are recorded within cash flows from operating activities in the consolidated statements of cash flows. Principal cash payments on finance leases are recorded within cash flows from financing activities, while interest payments associated with finance leases are recorded within cash flows from operating activities in the consolidated statements of cash flows. Our lease agreements do not include significant restrictions, covenants or residual value guarantees.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and Indefinite-Lived Intangible Assets: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Depending on factors such as prior-year test results, current year developments, current risk evaluations and other practical considerations, we may elect to perform quantitative testing instead.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Supply Chain Financing: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2023, we initiated a voluntary Supply Chain Finance program (the “SCF”) with a global financial institution (the “SCF Bank”). Under the SCF, qualifying suppliers may elect to sell their receivables from us to the SCF Bank. These participating suppliers negotiate their receivables sales arrangements directly with the SCF Bank. We are not party to those agreements, nor do we provide any security or other forms of guarantees to the SCF Bank. The participation in the program is at the sole discretion of the supplier, we have no economic interest in a supplier’s decision to enter into the agreement and have no direct financial relationship with the SCF Bank, as it relates to the SCF. Once a qualifying supplier elects to participate in the SCF and reaches an agreement with the SCF Bank, they elect which individual invoices they sell to the SCF Bank.</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terms of our payment obligations are not impacted by a supplier’s participation in the SCF and as such, the SCF has no impact on our balance sheets, cash flows or liquidity. Our payment terms with our suppliers for similar services and materials within individual markets are consistent between suppliers that elect to participate in the SCF and those that do not participate.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outstanding amounts related to suppliers participating in the SCF are recorded within accounts payable in the consolidated balance sheet and associated payments are included as an operating cash flow in the consolidated statement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outstanding obligations confirmed as valid under our SCF for the year ended December 31, 2024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obligations outstanding at the beginning of the year</w:t>
            </w:r>
          </w:p>
        </w:tc>
        <w:tc>
          <w:tcPr>
            <w:tcW w:w="4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ind w:left="938"/>
              <w:spacing w:after="0"/>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5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Invoices confirmed during the year</w:t>
            </w:r>
          </w:p>
        </w:tc>
        <w:tc>
          <w:tcPr>
            <w:tcW w:w="4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center"/>
              <w:ind w:left="938"/>
              <w:spacing w:after="0"/>
              <w:rPr>
                <w:sz w:val="20"/>
                <w:szCs w:val="20"/>
                <w:color w:val="auto"/>
              </w:rPr>
            </w:pPr>
            <w:r>
              <w:rPr>
                <w:rFonts w:ascii="Times New Roman" w:cs="Times New Roman" w:eastAsia="Times New Roman" w:hAnsi="Times New Roman"/>
                <w:sz w:val="18"/>
                <w:szCs w:val="18"/>
                <w:color w:val="auto"/>
                <w:w w:val="99"/>
              </w:rPr>
              <w:t>60</w:t>
            </w:r>
          </w:p>
        </w:tc>
        <w:tc>
          <w:tcPr>
            <w:tcW w:w="0" w:type="dxa"/>
            <w:vAlign w:val="bottom"/>
          </w:tcPr>
          <w:p>
            <w:pPr>
              <w:spacing w:after="0"/>
              <w:rPr>
                <w:sz w:val="1"/>
                <w:szCs w:val="1"/>
                <w:color w:val="auto"/>
              </w:rPr>
            </w:pPr>
          </w:p>
        </w:tc>
      </w:tr>
      <w:tr>
        <w:trPr>
          <w:trHeight w:val="26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Confirmed invoices paid during the year</w:t>
            </w:r>
          </w:p>
        </w:tc>
        <w:tc>
          <w:tcPr>
            <w:tcW w:w="47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center"/>
              <w:ind w:left="938"/>
              <w:spacing w:after="0"/>
              <w:rPr>
                <w:sz w:val="20"/>
                <w:szCs w:val="20"/>
                <w:color w:val="auto"/>
              </w:rPr>
            </w:pPr>
            <w:r>
              <w:rPr>
                <w:rFonts w:ascii="Times New Roman" w:cs="Times New Roman" w:eastAsia="Times New Roman" w:hAnsi="Times New Roman"/>
                <w:sz w:val="18"/>
                <w:szCs w:val="18"/>
                <w:color w:val="auto"/>
                <w:w w:val="99"/>
              </w:rPr>
              <w:t>(67)</w:t>
            </w:r>
          </w:p>
        </w:tc>
        <w:tc>
          <w:tcPr>
            <w:tcW w:w="0" w:type="dxa"/>
            <w:vAlign w:val="bottom"/>
          </w:tcPr>
          <w:p>
            <w:pPr>
              <w:spacing w:after="0"/>
              <w:rPr>
                <w:sz w:val="1"/>
                <w:szCs w:val="1"/>
                <w:color w:val="auto"/>
              </w:rPr>
            </w:pPr>
          </w:p>
        </w:tc>
      </w:tr>
      <w:tr>
        <w:trPr>
          <w:trHeight w:val="244"/>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Confirmed obligations outstanding at the end of the year</w:t>
            </w:r>
          </w:p>
        </w:tc>
        <w:tc>
          <w:tcPr>
            <w:tcW w:w="4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jc w:val="center"/>
              <w:ind w:left="938"/>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4700" w:type="dxa"/>
            <w:vAlign w:val="bottom"/>
            <w:vMerge w:val="restart"/>
          </w:tcPr>
          <w:p>
            <w:pPr>
              <w:jc w:val="right"/>
              <w:ind w:right="3930"/>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504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4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recognized throughout the year and as of year-end.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Advertising and Research and Development: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consolidated balance sheets and all marketing and advertising costs are recorded as an expense in the year incurred. Advertising expense was $78 million, $79 million and $59 million in the years ended December 31, 2024, 2023 and 2022, respectively. We expense product research and development costs as incurred. Research and development expense was $45 million, $44 million and $38 million in the years ended December 31, 2024, 2023 and 2022, respectively. We record marketing and advertising as well as research and development expenses in selling, general and administrative expenses.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expense is measured at the grant date based on the fair value of the award and is recognized as expense over the period in which the award vests in accordance with applicable guidance under Accounting Standards Codification (“ASC”) 718, Compensation—Stock Compensation. We have granted restricted stock units (“RSUs”) to certain members of management and to certain members of our Board of Directors that have a service-based vesting condition. In addition, we have granted performance stock units (“PSUs”) to certain members of management that have a performance-based vesting condition. We account for forfeitures of outstanding but unvested grants in the period they occur.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manage interest rate risk by using interest rate derivative instruments. Interest rate swaps (pay fixed, receive variable) are entered into as cash flow hedges to manage a portion of the interest rate risk associated with our floating-rate borrowings.</w:t>
      </w:r>
    </w:p>
    <w:p>
      <w:pPr>
        <w:spacing w:after="0" w:line="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record interest rate derivative instruments at fair value (Level 2) and on a net basis by counterparty based on our master netting arrangements. The fair value of our interest rate derivatives is determined using a discounted cash flow method based on market-based swap yield curves, taking into account current interest rates. The instruments are classified in our consolidated balance sheets in other assets or other liabilities, as applicable. Cash flows from interest rate derivative instruments are classified as operating activities in our consolidated statements of cash flows based on the nature of the derivative instrument. We have elected to use hedge accounting for our interest rate derivative instruments. Accordingly, the effective portion of the gain or loss on the open hedging instrument is recorded in other comprehensive income and is reclassified into earnings as interest expense, net when settled. We terminate derivative instruments if the underlying asset or liability matures or is repaid, or if we determine the underlying forecasted transaction is no longer probable of occurring.</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the tax benefits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 and Disclosures:</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54" w:lineRule="exact"/>
        <w:rPr>
          <w:sz w:val="20"/>
          <w:szCs w:val="20"/>
          <w:color w:val="auto"/>
        </w:rPr>
      </w:pPr>
    </w:p>
    <w:p>
      <w:pPr>
        <w:ind w:left="440" w:hanging="31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440" w:hanging="316"/>
        <w:spacing w:after="0" w:line="266" w:lineRule="auto"/>
        <w:tabs>
          <w:tab w:leader="none" w:pos="4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7" w:lineRule="exact"/>
        <w:rPr>
          <w:rFonts w:ascii="Times New Roman" w:cs="Times New Roman" w:eastAsia="Times New Roman" w:hAnsi="Times New Roman"/>
          <w:sz w:val="18"/>
          <w:szCs w:val="18"/>
          <w:color w:val="auto"/>
        </w:rPr>
      </w:pPr>
    </w:p>
    <w:p>
      <w:pPr>
        <w:ind w:left="440" w:hanging="316"/>
        <w:spacing w:after="0"/>
        <w:tabs>
          <w:tab w:leader="none" w:pos="4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in which little or no market data exists, therefore requiring an entity to develop its own assumptions.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assets and liabilities measured at fair value on a recurring basis are presented in Note 8 - Financial Instruments. We had no assets or liabilities measured at fair value on a non-recurring basis in any of the years presented.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2024 and 2023 due to the short-term nature of these instruments.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Guidance: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2020, the Financial Accounting Standards Board (“FASB”) issued Accounting Standards Update (“ASU”) 2020-04, </w:t>
      </w:r>
      <w:r>
        <w:rPr>
          <w:rFonts w:ascii="Times New Roman" w:cs="Times New Roman" w:eastAsia="Times New Roman" w:hAnsi="Times New Roman"/>
          <w:sz w:val="18"/>
          <w:szCs w:val="18"/>
          <w:i w:val="1"/>
          <w:iCs w:val="1"/>
          <w:color w:val="auto"/>
        </w:rPr>
        <w:t>Reference Rate Reform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848): Facilitation of the Effects of Reference Rate Reform on Financial Reporting</w:t>
      </w:r>
      <w:r>
        <w:rPr>
          <w:rFonts w:ascii="Times New Roman" w:cs="Times New Roman" w:eastAsia="Times New Roman" w:hAnsi="Times New Roman"/>
          <w:sz w:val="18"/>
          <w:szCs w:val="18"/>
          <w:color w:val="auto"/>
        </w:rPr>
        <w:t xml:space="preserve">, and subsequently in January 2021, the FASB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xml:space="preserve">, both of which provide optional expedients to applying the guidance on contract modifications, hedge accounting, and other transactions, to simplify the accounting for transitioning from the London Interbank Offered Rate (“LIBOR”), and other interbank offered rates expected to be discontinued, to alternative reference rates. Each of these ASUs were effective upon its issuance and could be applied prospectively through December 31, 2022. In December 2022, the FASB issued ASU 2022-06, </w:t>
      </w:r>
      <w:r>
        <w:rPr>
          <w:rFonts w:ascii="Times New Roman" w:cs="Times New Roman" w:eastAsia="Times New Roman" w:hAnsi="Times New Roman"/>
          <w:sz w:val="18"/>
          <w:szCs w:val="18"/>
          <w:i w:val="1"/>
          <w:iCs w:val="1"/>
          <w:color w:val="auto"/>
        </w:rPr>
        <w:t>Reference Rate Reform (Topic 848): Deferral of the Sunset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Date of Topic 848</w:t>
      </w:r>
      <w:r>
        <w:rPr>
          <w:rFonts w:ascii="Times New Roman" w:cs="Times New Roman" w:eastAsia="Times New Roman" w:hAnsi="Times New Roman"/>
          <w:sz w:val="18"/>
          <w:szCs w:val="18"/>
          <w:color w:val="auto"/>
        </w:rPr>
        <w:t>, which amended the sunset date of the guidance in Topic 848 to December 31, 2024 from December 31, 2022. We adopted the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of January 1, 2023. As a result of the planned phase out of the LIBOR as a reference rate and adoption of ASU 2020-04 and ASU 2021-01, in February 2023 we amended our external debt facilities and related interest rate swaps to replace the interest rate benchmark from LIBOR to the Secured Overnight Financing Rate (“SOFR”), and applied practical expedients under the guidance. The adoption of these ASUs did not have a material impact on our consolidated financial statements.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2022, FASB issued ASU 2022-04, </w:t>
      </w:r>
      <w:r>
        <w:rPr>
          <w:rFonts w:ascii="Times New Roman" w:cs="Times New Roman" w:eastAsia="Times New Roman" w:hAnsi="Times New Roman"/>
          <w:sz w:val="18"/>
          <w:szCs w:val="18"/>
          <w:i w:val="1"/>
          <w:iCs w:val="1"/>
          <w:color w:val="auto"/>
        </w:rPr>
        <w:t>Liabilities - Supplier Finance Programs (Subtopic 405-50): Disclosure of Supplier Finance Program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Obligations</w:t>
      </w:r>
      <w:r>
        <w:rPr>
          <w:rFonts w:ascii="Times New Roman" w:cs="Times New Roman" w:eastAsia="Times New Roman" w:hAnsi="Times New Roman"/>
          <w:sz w:val="18"/>
          <w:szCs w:val="18"/>
          <w:color w:val="auto"/>
        </w:rPr>
        <w:t>. These amendments require disclosure of the key terms of outstanding supplier finance programs and a rollforward of the related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amendments were effective for fiscal years beginning after December 31, 2022, except for the amendment on rollforward information, which is effective for fiscal years beginning after December 31, 2023. We adopted the standard as of January 1, 2023. The adoption relates to disclosure only and does not have an impact on the amounts recognized in our consolidated financial statements.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FASB issued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which enhances disclosures about significant segment expenses by requiring disclosure of incremental segment information on an annual and interim basis. This ASU is effective for fiscal years beginning after December 15, 2023, and interim periods within fiscal years beginning after December 15, 2024, with early adoption permitted. We adopted the standard as of January 1, 2024, with no material impact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Guidance: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which enhances disclosures within the income tax rate reconciliation and information disclosed related to income taxes paid, and requires disaggregation of certain financial statement captions between domestic, foreign, federal and state. This ASU is effective for annual periods beginning after December 15, 2024, with early adoption permitted. We are currently assessing the impact of this standard on our consolidated financial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March 2024, the SEC adopted final rules under SEC Release No. 33-11275, </w:t>
      </w:r>
      <w:r>
        <w:rPr>
          <w:rFonts w:ascii="Times New Roman" w:cs="Times New Roman" w:eastAsia="Times New Roman" w:hAnsi="Times New Roman"/>
          <w:sz w:val="18"/>
          <w:szCs w:val="18"/>
          <w:i w:val="1"/>
          <w:iCs w:val="1"/>
          <w:color w:val="auto"/>
        </w:rPr>
        <w:t>The Enhancement and Standardization of Climate-Related Disclosures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Investors</w:t>
      </w:r>
      <w:r>
        <w:rPr>
          <w:rFonts w:ascii="Times New Roman" w:cs="Times New Roman" w:eastAsia="Times New Roman" w:hAnsi="Times New Roman"/>
          <w:sz w:val="18"/>
          <w:szCs w:val="18"/>
          <w:color w:val="auto"/>
        </w:rPr>
        <w:t>, which will require public companies to include climate-related disclosures in their annual reports and registration statements. The final rules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among other matters, information about climate-related risks that have materially impacted, or are reasonably likely to have a material impact on, a registrant, including on its strategy, results of operations, or financial condition. In addition, under the final rules, certain disclosures related to severe weather events and other natural conditions will be required in the audited financial statements. The disclosure requirements related to financial statements are expected to be effective for our Annual Report on Form 10-K for the fiscal year ended December 31, 2025. We are currently assessing the impact of these rules on our consolidated financial statements and related disclosures.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which will require additional disclosure about specific expense categories included in the income statement. Annual disclosure requirements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 for us in our Annual Report on Form 10-K for the fiscal year ending December 31, 2026, and quarterly disclosure requirements will be effective for us in the first quarter of 2027, with early adoption permitted. We are currently assessing the impact of this standard on our consolidated financial statements and related disclosures.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Property, Plant and Equipment, Net</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5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expense was $98 million, $93 million and $86 million for the years ended December 31, 2024, 2023 and 2022, respectively, of which $89 million, $82 million and $76 million, respectively, was recognized in cost of sales and $9 million, $11 million and $10 million, respectively, was recognized in selling, general and administrative expenses.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Goodwill and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by reportable segment was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200" w:type="dxa"/>
            <w:vAlign w:val="bottom"/>
          </w:tcPr>
          <w:p>
            <w:pPr>
              <w:spacing w:after="0"/>
              <w:rPr>
                <w:sz w:val="16"/>
                <w:szCs w:val="16"/>
                <w:color w:val="auto"/>
              </w:rPr>
            </w:pPr>
          </w:p>
        </w:tc>
        <w:tc>
          <w:tcPr>
            <w:tcW w:w="12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Hefty Waste</w:t>
            </w:r>
          </w:p>
        </w:tc>
        <w:tc>
          <w:tcPr>
            <w:tcW w:w="220" w:type="dxa"/>
            <w:vAlign w:val="bottom"/>
          </w:tcPr>
          <w:p>
            <w:pPr>
              <w:spacing w:after="0"/>
              <w:rPr>
                <w:sz w:val="16"/>
                <w:szCs w:val="16"/>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260" w:type="dxa"/>
            <w:vAlign w:val="bottom"/>
          </w:tcPr>
          <w:p>
            <w:pPr>
              <w:spacing w:after="0"/>
              <w:rPr>
                <w:sz w:val="16"/>
                <w:szCs w:val="16"/>
                <w:color w:val="auto"/>
              </w:rPr>
            </w:pPr>
          </w:p>
        </w:tc>
        <w:tc>
          <w:tcPr>
            <w:tcW w:w="12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Cooking &amp;</w:t>
            </w:r>
          </w:p>
        </w:tc>
        <w:tc>
          <w:tcPr>
            <w:tcW w:w="20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Baking</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&amp; Storage</w:t>
            </w:r>
          </w:p>
        </w:tc>
        <w:tc>
          <w:tcPr>
            <w:tcW w:w="2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320" w:type="dxa"/>
            <w:vAlign w:val="bottom"/>
          </w:tcPr>
          <w:p>
            <w:pPr>
              <w:spacing w:after="0"/>
              <w:rPr>
                <w:sz w:val="16"/>
                <w:szCs w:val="16"/>
                <w:color w:val="auto"/>
              </w:rPr>
            </w:pPr>
          </w:p>
        </w:tc>
        <w:tc>
          <w:tcPr>
            <w:tcW w:w="10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1,879</w:t>
            </w:r>
          </w:p>
        </w:tc>
        <w:tc>
          <w:tcPr>
            <w:tcW w:w="0" w:type="dxa"/>
            <w:vAlign w:val="bottom"/>
          </w:tcPr>
          <w:p>
            <w:pPr>
              <w:spacing w:after="0"/>
              <w:rPr>
                <w:sz w:val="1"/>
                <w:szCs w:val="1"/>
                <w:color w:val="auto"/>
              </w:rPr>
            </w:pPr>
          </w:p>
        </w:tc>
      </w:tr>
      <w:tr>
        <w:trPr>
          <w:trHeight w:val="256"/>
        </w:trPr>
        <w:tc>
          <w:tcPr>
            <w:tcW w:w="394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Acquisition of business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2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c>
          <w:tcPr>
            <w:tcW w:w="0" w:type="dxa"/>
            <w:vAlign w:val="bottom"/>
          </w:tcPr>
          <w:p>
            <w:pPr>
              <w:spacing w:after="0"/>
              <w:rPr>
                <w:sz w:val="1"/>
                <w:szCs w:val="1"/>
                <w:color w:val="auto"/>
              </w:rPr>
            </w:pPr>
          </w:p>
        </w:tc>
      </w:tr>
      <w:tr>
        <w:trPr>
          <w:trHeight w:val="250"/>
        </w:trPr>
        <w:tc>
          <w:tcPr>
            <w:tcW w:w="3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Movements</w:t>
            </w:r>
          </w:p>
        </w:tc>
        <w:tc>
          <w:tcPr>
            <w:tcW w:w="2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5"/>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794</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4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8"/>
        <w:spacing w:after="0" w:line="282" w:lineRule="auto"/>
        <w:tabs>
          <w:tab w:leader="none" w:pos="2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 ended December 31, 2023, we recognized $16 million of goodwill associated with the acquisition of Atacama Manufacturing Inc. The acquisition did not have a material impact on our financial statements.</w:t>
      </w:r>
    </w:p>
    <w:p>
      <w:pPr>
        <w:sectPr>
          <w:pgSz w:w="11900" w:h="16838" w:orient="portrait"/>
          <w:cols w:equalWidth="0" w:num="1">
            <w:col w:w="11240"/>
          </w:cols>
          <w:pgMar w:left="320" w:top="121" w:right="339" w:bottom="1440" w:gutter="0" w:footer="0" w:header="0"/>
        </w:sectPr>
      </w:pP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760" w:type="dxa"/>
            <w:vAlign w:val="bottom"/>
            <w:gridSpan w:val="6"/>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5"/>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0"/>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Net</w:t>
            </w:r>
          </w:p>
        </w:tc>
        <w:tc>
          <w:tcPr>
            <w:tcW w:w="300" w:type="dxa"/>
            <w:vAlign w:val="bottom"/>
          </w:tcPr>
          <w:p>
            <w:pPr>
              <w:spacing w:after="0"/>
              <w:rPr>
                <w:sz w:val="16"/>
                <w:szCs w:val="16"/>
                <w:color w:val="auto"/>
              </w:rPr>
            </w:pPr>
          </w:p>
        </w:tc>
        <w:tc>
          <w:tcPr>
            <w:tcW w:w="7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6"/>
                <w:szCs w:val="16"/>
                <w:color w:val="auto"/>
              </w:rPr>
            </w:pPr>
          </w:p>
        </w:tc>
        <w:tc>
          <w:tcPr>
            <w:tcW w:w="86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3"/>
        </w:trPr>
        <w:tc>
          <w:tcPr>
            <w:tcW w:w="37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3"/>
        </w:trPr>
        <w:tc>
          <w:tcPr>
            <w:tcW w:w="3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4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finite-lived intangible assets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605</w:t>
            </w:r>
          </w:p>
        </w:tc>
        <w:tc>
          <w:tcPr>
            <w:tcW w:w="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w:t>
            </w:r>
          </w:p>
        </w:tc>
      </w:tr>
      <w:tr>
        <w:trPr>
          <w:trHeight w:val="26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Indefinite-lived intangible assets</w:t>
            </w: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5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r>
      <w:tr>
        <w:trPr>
          <w:trHeight w:val="2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1,001</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$29 million, $30 million and $31 million for the years ended December 31, 2024, 2023 and 2022, respectively, and has been recognized in selling, general and administrative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annual amortization for intangible assets over the next five calendar years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2028</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2029</w:t>
            </w:r>
          </w:p>
        </w:tc>
      </w:tr>
      <w:tr>
        <w:trPr>
          <w:trHeight w:val="23"/>
        </w:trPr>
        <w:tc>
          <w:tcPr>
            <w:tcW w:w="5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annual amortization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500"/>
        </w:trPr>
        <w:tc>
          <w:tcPr>
            <w:tcW w:w="5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356"/>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86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1,695</w:t>
            </w:r>
          </w:p>
        </w:tc>
        <w:tc>
          <w:tcPr>
            <w:tcW w:w="240" w:type="dxa"/>
            <w:vAlign w:val="bottom"/>
            <w:shd w:val="clear" w:color="auto" w:fill="CFF0FC"/>
          </w:tcPr>
          <w:p>
            <w:pPr>
              <w:spacing w:after="0"/>
              <w:rPr>
                <w:sz w:val="22"/>
                <w:szCs w:val="22"/>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1,845</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financing transaction costs</w:t>
            </w:r>
          </w:p>
        </w:tc>
        <w:tc>
          <w:tcPr>
            <w:tcW w:w="860" w:type="dxa"/>
            <w:vAlign w:val="bottom"/>
          </w:tcPr>
          <w:p>
            <w:pPr>
              <w:spacing w:after="0"/>
              <w:rPr>
                <w:sz w:val="21"/>
                <w:szCs w:val="21"/>
                <w:color w:val="auto"/>
              </w:rPr>
            </w:pPr>
          </w:p>
        </w:tc>
        <w:tc>
          <w:tcPr>
            <w:tcW w:w="5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5"/>
              </w:rPr>
              <w:t>(8)</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3"/>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Original issue discounts</w:t>
            </w:r>
          </w:p>
        </w:tc>
        <w:tc>
          <w:tcPr>
            <w:tcW w:w="86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5"/>
              </w:rPr>
              <w:t>(1)</w:t>
            </w:r>
          </w:p>
        </w:tc>
        <w:tc>
          <w:tcPr>
            <w:tcW w:w="240" w:type="dxa"/>
            <w:vAlign w:val="bottom"/>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1,686</w:t>
            </w:r>
          </w:p>
        </w:tc>
        <w:tc>
          <w:tcPr>
            <w:tcW w:w="240" w:type="dxa"/>
            <w:vAlign w:val="bottom"/>
          </w:tcPr>
          <w:p>
            <w:pPr>
              <w:spacing w:after="0"/>
              <w:rPr>
                <w:sz w:val="21"/>
                <w:szCs w:val="21"/>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1,832</w:t>
            </w:r>
          </w:p>
        </w:tc>
      </w:tr>
      <w:tr>
        <w:trPr>
          <w:trHeight w:val="27"/>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External Debt Facilities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February 2020, we entered into new external debt facilities (“External Debt Facilities”), which consisted of (i) a $2,475 million senior secured term loan facility (“Term Loan Facility”); and (ii) a $250 million senior secured revolving credit facility (“Revolving Facility”). In February 2023, we amended the External Debt Facilities (“Amendment No. 1”) which replaced the interest rate benchmark from LIBOR to the SOFR. Additionally, in November 2023, we further amended the External Debt Facilities (“Amendment No. 2”) to extend the maturity of the Revolving Facility by one year. In October 2024, we further amended our External Debt Facilities (“Amendment No. 3”) to replace the undrawn $250 million revolving facility maturing in February 2026 with an undrawn $700 million revolving facility maturing in October 2029. Other than the foregoing, the material terms of the External Debt Facilities, as amended by Amendment No. 1, Amendment No. 2 and Amendment No. 3 (“Amended External Debt Facilities”) remained unchanged, and our election to use practical expedients under ASU 2020-04 and ASU 2021-01, as described in Note 2 - Summary of Significant Accounting Policies, resulted in no material impacts on our consolidated financial statements.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Amended External Debt Facilities bear interest at a rate per annum equal to, at our option, either a base rate plus an applicable margin of 0.75% or a SOFR plus an applicable margin of 1.75%. We have entered into a series of interest rate swaps to hedge a portion of the interest rate exposure resulting from these borrowings. Refer to Note 8 – Financial Instruments for further details.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Amended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event of default occurs, the lenders under the Amended External Debt Facilities are entitled to take various actions, including the acceleration of amounts due under the Amended External Debt Facilities and all actions permitted to be taken by secured creditors.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Term Loan Facility matures in February 2027. As a result of voluntary principal repayments, the Term Loan Facility has no remaining quarterly amortization payments due. During the years ended December 31, 2024 and 2023, we made voluntary principal repayments of $150 million and $250 million, respectively.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Facility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we amended the External Debt Facilities to extend the maturity date of the Revolving Facility by one year. In October 2024, we further amended the External Debt Facilities to replace the undrawn $250 million revolving facility maturing in February 2026 with an undrawn $700 million revolving facility maturing in October 2029. The Revolving Facility includes a sub-facility for letters of credit. As of December 31, 2024, we had no outstanding borrowings under the Revolving Facility, and we had $6 million of letters of credit outstanding, which reduces the borrowing capacity under the Revolving Facility.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Our Long-Term Debt</w:t>
      </w:r>
    </w:p>
    <w:p>
      <w:pPr>
        <w:spacing w:after="0" w:line="11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fair value of our long-term debt as of December 31, 2024, which is a Level 2 fair value measurement, approximates the carrying value due to the variable market interest rate and the stability of our credit profile.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Term Loan Facility</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transaction costs</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 (benefit) expense</w:t>
            </w: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5"/>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 net</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Scheduled Maturities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schedule of required future repayments on our debt outstanding as of December 31, 2024:</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
        </w:trPr>
        <w:tc>
          <w:tcPr>
            <w:tcW w:w="3580" w:type="dxa"/>
            <w:vAlign w:val="bottom"/>
            <w:tcBorders>
              <w:bottom w:val="single" w:sz="8" w:color="CCEEFF"/>
            </w:tcBorders>
          </w:tcPr>
          <w:p>
            <w:pPr>
              <w:spacing w:after="0"/>
              <w:rPr>
                <w:sz w:val="2"/>
                <w:szCs w:val="2"/>
                <w:color w:val="auto"/>
              </w:rPr>
            </w:pPr>
          </w:p>
        </w:tc>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9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6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980" w:type="dxa"/>
            <w:vAlign w:val="bottom"/>
            <w:vMerge w:val="restart"/>
          </w:tcPr>
          <w:p>
            <w:pPr>
              <w:jc w:val="right"/>
              <w:ind w:right="3750"/>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Borders>
              <w:top w:val="single" w:sz="8" w:color="auto"/>
              <w:bottom w:val="single" w:sz="8" w:color="auto"/>
            </w:tcBorders>
          </w:tcPr>
          <w:p>
            <w:pPr>
              <w:spacing w:after="0"/>
              <w:rPr>
                <w:sz w:val="2"/>
                <w:szCs w:val="2"/>
                <w:color w:val="auto"/>
              </w:rPr>
            </w:pPr>
          </w:p>
        </w:tc>
        <w:tc>
          <w:tcPr>
            <w:tcW w:w="138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3580" w:type="dxa"/>
            <w:vAlign w:val="bottom"/>
          </w:tcPr>
          <w:p>
            <w:pPr>
              <w:spacing w:after="0"/>
              <w:rPr>
                <w:sz w:val="24"/>
                <w:szCs w:val="24"/>
                <w:color w:val="auto"/>
              </w:rPr>
            </w:pPr>
          </w:p>
        </w:tc>
        <w:tc>
          <w:tcPr>
            <w:tcW w:w="59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580" w:type="dxa"/>
            <w:vAlign w:val="bottom"/>
            <w:tcBorders>
              <w:bottom w:val="single" w:sz="8" w:color="9A9A9A"/>
            </w:tcBorders>
          </w:tcPr>
          <w:p>
            <w:pPr>
              <w:spacing w:after="0"/>
              <w:rPr>
                <w:sz w:val="8"/>
                <w:szCs w:val="8"/>
                <w:color w:val="auto"/>
              </w:rPr>
            </w:pPr>
          </w:p>
        </w:tc>
        <w:tc>
          <w:tcPr>
            <w:tcW w:w="59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lease certain buildings and plant and equipment. Our leases have reasonably assured remaining lease terms of up to 12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of lease inception.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consolidated balance sheets and we recognize lease expense for these leases on a straight-line basis over the lease term.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2"/>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5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costs</w:t>
            </w:r>
          </w:p>
        </w:tc>
        <w:tc>
          <w:tcPr>
            <w:tcW w:w="960" w:type="dxa"/>
            <w:vAlign w:val="bottom"/>
          </w:tcPr>
          <w:p>
            <w:pPr>
              <w:spacing w:after="0"/>
              <w:rPr>
                <w:sz w:val="21"/>
                <w:szCs w:val="21"/>
                <w:color w:val="auto"/>
              </w:rPr>
            </w:pPr>
          </w:p>
        </w:tc>
        <w:tc>
          <w:tcPr>
            <w:tcW w:w="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costs</w:t>
            </w:r>
          </w:p>
        </w:tc>
        <w:tc>
          <w:tcPr>
            <w:tcW w:w="9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costs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24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7"/>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Lease costs related to the amortization of finance lease assets and interest on finance lease liabilities were not material for the years ended December 31, 2024, 2023 and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lease payments under non-cancellable leases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6"/>
                <w:szCs w:val="16"/>
                <w:color w:val="auto"/>
              </w:rPr>
            </w:pPr>
          </w:p>
        </w:tc>
        <w:tc>
          <w:tcPr>
            <w:tcW w:w="1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400" w:type="dxa"/>
            <w:vAlign w:val="bottom"/>
          </w:tcPr>
          <w:p>
            <w:pPr>
              <w:spacing w:after="0"/>
              <w:rPr>
                <w:sz w:val="16"/>
                <w:szCs w:val="16"/>
                <w:color w:val="auto"/>
              </w:rPr>
            </w:pPr>
          </w:p>
        </w:tc>
        <w:tc>
          <w:tcPr>
            <w:tcW w:w="134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6"/>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5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undiscounted lease payments</w:t>
            </w:r>
          </w:p>
        </w:tc>
        <w:tc>
          <w:tcPr>
            <w:tcW w:w="22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24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r>
      <w:tr>
        <w:trPr>
          <w:trHeight w:val="25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7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Present value of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2024, we had an additional $17 million in commitments related to operating leases executed that have not yet commenced. The leases are expected to commence during 2025.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liabilities and ROU assets included in our consolidated balance sheets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31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2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23"/>
        </w:trPr>
        <w:tc>
          <w:tcPr>
            <w:tcW w:w="31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5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23"/>
        </w:trPr>
        <w:tc>
          <w:tcPr>
            <w:tcW w:w="31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Balance Sheet Classification</w:t>
            </w:r>
          </w:p>
        </w:tc>
        <w:tc>
          <w:tcPr>
            <w:tcW w:w="11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tcBorders>
              <w:bottom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2"/>
                <w:szCs w:val="22"/>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50"/>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44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4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7"/>
        </w:trPr>
        <w:tc>
          <w:tcPr>
            <w:tcW w:w="3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4420" w:type="dxa"/>
            <w:vAlign w:val="bottom"/>
            <w:tcBorders>
              <w:bottom w:val="single" w:sz="8" w:color="CCEEFF"/>
            </w:tcBorders>
          </w:tcPr>
          <w:p>
            <w:pPr>
              <w:ind w:left="900"/>
              <w:spacing w:after="0"/>
              <w:rPr>
                <w:sz w:val="20"/>
                <w:szCs w:val="20"/>
                <w:color w:val="auto"/>
              </w:rPr>
            </w:pPr>
            <w:r>
              <w:rPr>
                <w:rFonts w:ascii="Times New Roman" w:cs="Times New Roman" w:eastAsia="Times New Roman" w:hAnsi="Times New Roman"/>
                <w:sz w:val="18"/>
                <w:szCs w:val="18"/>
                <w:color w:val="auto"/>
              </w:rPr>
              <w:t>Other liabilities</w:t>
            </w:r>
          </w:p>
        </w:tc>
        <w:tc>
          <w:tcPr>
            <w:tcW w:w="11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During the years ended December 31, 2024 and 2023, new leases and lease modifications resulted in the recognition of operating ROU assets and corresponding operating lease liabilities totaling $53 million and $6 million, respectively. During the year ended December 31, 2023, new leases resulted in the recognition of finance lease ROU assets and corresponding finance lease liabilities totaling $6 million. New leases and lease modifications resulting in the recognition of finance lease ROU assets and corresponding finance lease liabilities were not material during the year ended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cash flows from operating activities in the consolidated statements of cash flows reflected $21 million, $18 million and $17 million, respectively, of payments for operating lease liabilities. Payments for finance lease liabilities in the years ended December 31, 2024, 2023 and 2022 were not material.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rates were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60" w:type="dxa"/>
            <w:vAlign w:val="bottom"/>
          </w:tcPr>
          <w:p>
            <w:pPr>
              <w:spacing w:after="0"/>
              <w:rPr>
                <w:sz w:val="16"/>
                <w:szCs w:val="16"/>
                <w:color w:val="auto"/>
              </w:rPr>
            </w:pPr>
          </w:p>
        </w:tc>
        <w:tc>
          <w:tcPr>
            <w:tcW w:w="4080" w:type="dxa"/>
            <w:vAlign w:val="bottom"/>
            <w:gridSpan w:val="5"/>
          </w:tcPr>
          <w:p>
            <w:pPr>
              <w:jc w:val="right"/>
              <w:ind w:right="14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r>
      <w:tr>
        <w:trPr>
          <w:trHeight w:val="23"/>
        </w:trPr>
        <w:tc>
          <w:tcPr>
            <w:tcW w:w="7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gridSpan w:val="2"/>
          </w:tcPr>
          <w:p>
            <w:pPr>
              <w:spacing w:after="0"/>
              <w:rPr>
                <w:sz w:val="2"/>
                <w:szCs w:val="2"/>
                <w:color w:val="auto"/>
              </w:rPr>
            </w:pPr>
          </w:p>
        </w:tc>
      </w:tr>
      <w:tr>
        <w:trPr>
          <w:trHeight w:val="190"/>
        </w:trPr>
        <w:tc>
          <w:tcPr>
            <w:tcW w:w="7160" w:type="dxa"/>
            <w:vAlign w:val="bottom"/>
            <w:tcBorders>
              <w:bottom w:val="single" w:sz="8" w:color="CCEEFF"/>
            </w:tcBorders>
          </w:tcPr>
          <w:p>
            <w:pPr>
              <w:spacing w:after="0"/>
              <w:rPr>
                <w:sz w:val="16"/>
                <w:szCs w:val="16"/>
                <w:color w:val="auto"/>
              </w:rPr>
            </w:pPr>
          </w:p>
        </w:tc>
        <w:tc>
          <w:tcPr>
            <w:tcW w:w="142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74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320" w:type="dxa"/>
            <w:vAlign w:val="bottom"/>
            <w:tcBorders>
              <w:bottom w:val="single" w:sz="8" w:color="CCEEFF"/>
            </w:tcBorders>
          </w:tcPr>
          <w:p>
            <w:pPr>
              <w:spacing w:after="0"/>
              <w:rPr>
                <w:sz w:val="16"/>
                <w:szCs w:val="16"/>
                <w:color w:val="auto"/>
              </w:rPr>
            </w:pPr>
          </w:p>
        </w:tc>
      </w:tr>
      <w:tr>
        <w:trPr>
          <w:trHeight w:val="256"/>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4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5.06</w:t>
            </w:r>
          </w:p>
        </w:tc>
        <w:tc>
          <w:tcPr>
            <w:tcW w:w="28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320" w:type="dxa"/>
            <w:vAlign w:val="bottom"/>
            <w:shd w:val="clear" w:color="auto" w:fill="CCEEFF"/>
          </w:tcPr>
          <w:p>
            <w:pPr>
              <w:spacing w:after="0"/>
              <w:rPr>
                <w:sz w:val="22"/>
                <w:szCs w:val="22"/>
                <w:color w:val="auto"/>
              </w:rPr>
            </w:pPr>
          </w:p>
        </w:tc>
      </w:tr>
      <w:tr>
        <w:trPr>
          <w:trHeight w:val="260"/>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4.95 %</w:t>
            </w:r>
          </w:p>
        </w:tc>
        <w:tc>
          <w:tcPr>
            <w:tcW w:w="2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xml:space="preserve">5.53 </w:t>
            </w:r>
            <w:r>
              <w:rPr>
                <w:rFonts w:ascii="Arial" w:cs="Arial" w:eastAsia="Arial" w:hAnsi="Arial"/>
                <w:sz w:val="18"/>
                <w:szCs w:val="18"/>
                <w:color w:val="auto"/>
              </w:rPr>
              <w:t>%</w:t>
            </w:r>
          </w:p>
        </w:tc>
      </w:tr>
    </w:tbl>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Derivatives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2020 and 2022, we entered into a series of interest rate swaps to fix the LIBOR of our External Debt Facilities. In February 2023, we amended our interest rate swaps to replace the interest rate benchmark from LIBOR to SOFR. Other than the foregoing, the material terms of the interest rate swap agreements remain unchanged, and our election to use practical expedients under ASUs 2020-04 and 2021-01, as described in Note 2 - Summary of Significant Accounting Policies, resulted in no material impacts on our consolidated financial statements. The aggregate notional amount of the interest rate swaps still in effect as of December 31, 2024 was $1,150 million, and the SOFR is fixed at an annual rate of 0.40% to 3.40% (for an annual effective interest rate of 2.15% to 5.15%, including margin).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swaps outstanding as of December 31, 2024 hedge a portion of the interest rate exposure resulting from our Term Loan Facility for periods ranging from one to two years. We classified these instruments as cash flow hedges.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30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notional amounts, the annual rates, the weighted average annual effective rates, and the fair value of our interest rate derivatives: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3"/>
                <w:szCs w:val="13"/>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1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Rate</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3"/>
                <w:szCs w:val="13"/>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 - Other</w:t>
            </w:r>
          </w:p>
        </w:tc>
        <w:tc>
          <w:tcPr>
            <w:tcW w:w="1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 Other Assets</w:t>
            </w:r>
          </w:p>
        </w:tc>
        <w:tc>
          <w:tcPr>
            <w:tcW w:w="0" w:type="dxa"/>
            <w:vAlign w:val="bottom"/>
          </w:tcPr>
          <w:p>
            <w:pPr>
              <w:spacing w:after="0"/>
              <w:rPr>
                <w:sz w:val="1"/>
                <w:szCs w:val="1"/>
                <w:color w:val="auto"/>
              </w:rPr>
            </w:pPr>
          </w:p>
        </w:tc>
      </w:tr>
      <w:tr>
        <w:trPr>
          <w:trHeight w:val="109"/>
        </w:trPr>
        <w:tc>
          <w:tcPr>
            <w:tcW w:w="26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Annual Effective Rate</w:t>
            </w:r>
          </w:p>
        </w:tc>
        <w:tc>
          <w:tcPr>
            <w:tcW w:w="160" w:type="dxa"/>
            <w:vAlign w:val="bottom"/>
          </w:tcPr>
          <w:p>
            <w:pPr>
              <w:spacing w:after="0"/>
              <w:rPr>
                <w:sz w:val="9"/>
                <w:szCs w:val="9"/>
                <w:color w:val="auto"/>
              </w:rPr>
            </w:pPr>
          </w:p>
        </w:tc>
        <w:tc>
          <w:tcPr>
            <w:tcW w:w="15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58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2.15% to 5.15%</w:t>
            </w:r>
          </w:p>
        </w:tc>
        <w:tc>
          <w:tcPr>
            <w:tcW w:w="14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tcPr>
          <w:p>
            <w:pPr>
              <w:spacing w:after="0"/>
              <w:rPr>
                <w:sz w:val="20"/>
                <w:szCs w:val="20"/>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2.15% to 5.15%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Benefit Plans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 defined benefit plan for certain of our employees, which is non-contributory and eligible employees are fully vested after five years of service.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the liability of the defined benefit plan on our consolidated balance sheets as of December 31, 2024 and 2023 was not material.</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offer defined contribution plans to eligible employees in the United States as well as employees in certain other countries. Our expense relating to defined contribution plans was $32 million, $29 million and $27 million for the years ended December 31, 2024, 2023 and 2022,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Postretirement Benefit Plan</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postretirement benefit obligation as of January 1</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6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gains</w:t>
            </w:r>
          </w:p>
        </w:tc>
        <w:tc>
          <w:tcPr>
            <w:tcW w:w="8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postretirement benefit obligation as of December 31</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7"/>
        </w:trPr>
        <w:tc>
          <w:tcPr>
            <w:tcW w:w="8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accrued benefit obligation was included in our consolidated balance sheets as follows:</w:t>
            </w: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7"/>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92"/>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5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postretirement benefit obligation</w:t>
            </w:r>
          </w:p>
        </w:tc>
        <w:tc>
          <w:tcPr>
            <w:tcW w:w="8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75"/>
        </w:trPr>
        <w:tc>
          <w:tcPr>
            <w:tcW w:w="8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2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64</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82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our accrued benefit obligation has been recorded in accumulated other comprehensive income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left="157"/>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8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140" w:type="dxa"/>
            <w:vAlign w:val="bottom"/>
          </w:tcPr>
          <w:p>
            <w:pPr>
              <w:spacing w:after="0"/>
              <w:rPr>
                <w:sz w:val="16"/>
                <w:szCs w:val="16"/>
                <w:color w:val="auto"/>
              </w:rPr>
            </w:pPr>
          </w:p>
        </w:tc>
        <w:tc>
          <w:tcPr>
            <w:tcW w:w="102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Pr>
          <w:p>
            <w:pPr>
              <w:spacing w:after="0"/>
              <w:rPr>
                <w:sz w:val="16"/>
                <w:szCs w:val="16"/>
                <w:color w:val="auto"/>
              </w:rPr>
            </w:pPr>
          </w:p>
        </w:tc>
        <w:tc>
          <w:tcPr>
            <w:tcW w:w="130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Changes</w:t>
            </w:r>
          </w:p>
        </w:tc>
        <w:tc>
          <w:tcPr>
            <w:tcW w:w="860" w:type="dxa"/>
            <w:vAlign w:val="bottom"/>
          </w:tcPr>
          <w:p>
            <w:pPr>
              <w:jc w:val="center"/>
              <w:ind w:lef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25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actuarial gain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center"/>
              <w:ind w:left="600"/>
              <w:spacing w:after="0"/>
              <w:rPr>
                <w:sz w:val="20"/>
                <w:szCs w:val="20"/>
                <w:color w:val="auto"/>
              </w:rPr>
            </w:pPr>
            <w:r>
              <w:rPr>
                <w:rFonts w:ascii="Times New Roman" w:cs="Times New Roman" w:eastAsia="Times New Roman" w:hAnsi="Times New Roman"/>
                <w:sz w:val="18"/>
                <w:szCs w:val="18"/>
                <w:color w:val="auto"/>
                <w:w w:val="99"/>
              </w:rPr>
              <w:t>44</w:t>
            </w:r>
          </w:p>
        </w:tc>
        <w:tc>
          <w:tcPr>
            <w:tcW w:w="120" w:type="dxa"/>
            <w:vAlign w:val="bottom"/>
            <w:shd w:val="clear" w:color="auto" w:fill="CFF0FC"/>
          </w:tcPr>
          <w:p>
            <w:pPr>
              <w:spacing w:after="0"/>
              <w:rPr>
                <w:sz w:val="22"/>
                <w:szCs w:val="22"/>
                <w:color w:val="auto"/>
              </w:rPr>
            </w:pPr>
          </w:p>
        </w:tc>
        <w:tc>
          <w:tcPr>
            <w:tcW w:w="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22"/>
                <w:szCs w:val="22"/>
                <w:color w:val="auto"/>
              </w:rPr>
            </w:pP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40</w:t>
            </w:r>
          </w:p>
        </w:tc>
      </w:tr>
      <w:tr>
        <w:trPr>
          <w:trHeight w:val="250"/>
        </w:trPr>
        <w:tc>
          <w:tcPr>
            <w:tcW w:w="49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jc w:val="center"/>
              <w:ind w:left="560"/>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Borders>
              <w:bottom w:val="single" w:sz="8" w:color="CFF0FC"/>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88"/>
              </w:rPr>
              <w:t>1</w:t>
            </w:r>
          </w:p>
        </w:tc>
        <w:tc>
          <w:tcPr>
            <w:tcW w:w="140" w:type="dxa"/>
            <w:vAlign w:val="bottom"/>
            <w:tcBorders>
              <w:bottom w:val="single" w:sz="8" w:color="CFF0FC"/>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(9)</w:t>
            </w:r>
          </w:p>
        </w:tc>
      </w:tr>
      <w:tr>
        <w:trPr>
          <w:trHeight w:val="275"/>
        </w:trPr>
        <w:tc>
          <w:tcPr>
            <w:tcW w:w="4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b w:val="1"/>
                <w:bCs w:val="1"/>
                <w:color w:val="auto"/>
              </w:rPr>
              <w:t>23</w:t>
            </w: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auto"/>
            </w:tcBorders>
            <w:gridSpan w:val="2"/>
            <w:shd w:val="clear" w:color="auto" w:fill="CFF0FC"/>
          </w:tcPr>
          <w:p>
            <w:pPr>
              <w:jc w:val="center"/>
              <w:ind w:left="600"/>
              <w:spacing w:after="0"/>
              <w:rPr>
                <w:sz w:val="20"/>
                <w:szCs w:val="20"/>
                <w:color w:val="auto"/>
              </w:rPr>
            </w:pPr>
            <w:r>
              <w:rPr>
                <w:rFonts w:ascii="Times New Roman" w:cs="Times New Roman" w:eastAsia="Times New Roman" w:hAnsi="Times New Roman"/>
                <w:sz w:val="18"/>
                <w:szCs w:val="18"/>
                <w:b w:val="1"/>
                <w:bCs w:val="1"/>
                <w:color w:val="auto"/>
                <w:w w:val="99"/>
              </w:rPr>
              <w:t>34</w:t>
            </w:r>
          </w:p>
        </w:tc>
        <w:tc>
          <w:tcPr>
            <w:tcW w:w="120" w:type="dxa"/>
            <w:vAlign w:val="bottom"/>
            <w:tcBorders>
              <w:bottom w:val="single" w:sz="8" w:color="CFF0FC"/>
            </w:tcBorders>
            <w:shd w:val="clear" w:color="auto" w:fill="CFF0FC"/>
          </w:tcPr>
          <w:p>
            <w:pPr>
              <w:spacing w:after="0"/>
              <w:rPr>
                <w:sz w:val="23"/>
                <w:szCs w:val="23"/>
                <w:color w:val="auto"/>
              </w:rPr>
            </w:pPr>
          </w:p>
        </w:tc>
        <w:tc>
          <w:tcPr>
            <w:tcW w:w="5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(3)</w:t>
            </w:r>
          </w:p>
        </w:tc>
        <w:tc>
          <w:tcPr>
            <w:tcW w:w="1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0"/>
        </w:trPr>
        <w:tc>
          <w:tcPr>
            <w:tcW w:w="49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gridSpan w:val="2"/>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320" w:type="dxa"/>
            <w:vAlign w:val="bottom"/>
            <w:tcBorders>
              <w:top w:val="single" w:sz="8" w:color="CFF0FC"/>
              <w:bottom w:val="single" w:sz="8" w:color="auto"/>
            </w:tcBorders>
          </w:tcPr>
          <w:p>
            <w:pPr>
              <w:spacing w:after="0" w:line="20" w:lineRule="exact"/>
              <w:rPr>
                <w:sz w:val="1"/>
                <w:szCs w:val="1"/>
                <w:color w:val="auto"/>
              </w:rPr>
            </w:pPr>
          </w:p>
        </w:tc>
        <w:tc>
          <w:tcPr>
            <w:tcW w:w="70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260" w:type="dxa"/>
            <w:vAlign w:val="bottom"/>
            <w:tcBorders>
              <w:top w:val="single" w:sz="8" w:color="CFF0FC"/>
              <w:bottom w:val="single" w:sz="8" w:color="auto"/>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280" w:type="dxa"/>
            <w:vAlign w:val="bottom"/>
            <w:tcBorders>
              <w:top w:val="single" w:sz="8" w:color="CFF0FC"/>
              <w:bottom w:val="single" w:sz="8" w:color="auto"/>
            </w:tcBorders>
          </w:tcPr>
          <w:p>
            <w:pPr>
              <w:spacing w:after="0" w:line="20" w:lineRule="exact"/>
              <w:rPr>
                <w:sz w:val="1"/>
                <w:szCs w:val="1"/>
                <w:color w:val="auto"/>
              </w:rPr>
            </w:pPr>
          </w:p>
        </w:tc>
      </w:tr>
      <w:tr>
        <w:trPr>
          <w:trHeight w:val="507"/>
        </w:trPr>
        <w:tc>
          <w:tcPr>
            <w:tcW w:w="7660" w:type="dxa"/>
            <w:vAlign w:val="bottom"/>
            <w:gridSpan w:val="8"/>
          </w:tcPr>
          <w:p>
            <w:pPr>
              <w:spacing w:after="0"/>
              <w:rPr>
                <w:sz w:val="20"/>
                <w:szCs w:val="20"/>
                <w:color w:val="auto"/>
              </w:rPr>
            </w:pPr>
            <w:r>
              <w:rPr>
                <w:rFonts w:ascii="Times New Roman" w:cs="Times New Roman" w:eastAsia="Times New Roman" w:hAnsi="Times New Roman"/>
                <w:sz w:val="18"/>
                <w:szCs w:val="18"/>
                <w:color w:val="auto"/>
                <w:w w:val="99"/>
              </w:rPr>
              <w:t>We used the following weighted-average assumptions to determine our postretirement benefit obligations:</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22"/>
        </w:trPr>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
        </w:trPr>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90"/>
        </w:trPr>
        <w:tc>
          <w:tcPr>
            <w:tcW w:w="49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CCEEFF"/>
            </w:tcBorders>
          </w:tcPr>
          <w:p>
            <w:pPr>
              <w:spacing w:after="0"/>
              <w:rPr>
                <w:sz w:val="16"/>
                <w:szCs w:val="16"/>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8.50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8.00</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2035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4"/>
              </w:rPr>
              <w:t>2033</w:t>
            </w:r>
          </w:p>
        </w:tc>
        <w:tc>
          <w:tcPr>
            <w:tcW w:w="280" w:type="dxa"/>
            <w:vAlign w:val="bottom"/>
          </w:tcPr>
          <w:p>
            <w:pPr>
              <w:spacing w:after="0"/>
              <w:rPr>
                <w:sz w:val="21"/>
                <w:szCs w:val="2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long-term expectations. We also review our participation rates based on historical actual and expected trends on an annual basis.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Postretirement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net periodic pension and postretirement benefit cost for each of the years ended December 31, 2024, 2023 and 2022 was not material.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weighted-average assumptions to determine our net periodic postretirement health care cost:</w:t>
      </w:r>
    </w:p>
    <w:p>
      <w:pPr>
        <w:spacing w:after="0" w:line="259"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33655</wp:posOffset>
            </wp:positionV>
            <wp:extent cx="29400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40" w:type="dxa"/>
            <w:vAlign w:val="bottom"/>
            <w:gridSpan w:val="2"/>
          </w:tcPr>
          <w:p>
            <w:pPr>
              <w:ind w:left="68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r>
      <w:tr>
        <w:trPr>
          <w:trHeight w:val="23"/>
        </w:trPr>
        <w:tc>
          <w:tcPr>
            <w:tcW w:w="6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r>
      <w:tr>
        <w:trPr>
          <w:trHeight w:val="25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9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4.95 %</w:t>
            </w:r>
          </w:p>
        </w:tc>
        <w:tc>
          <w:tcPr>
            <w:tcW w:w="9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5.18 %</w:t>
            </w:r>
          </w:p>
        </w:tc>
        <w:tc>
          <w:tcPr>
            <w:tcW w:w="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2.90 %</w:t>
            </w:r>
          </w:p>
        </w:tc>
      </w:tr>
      <w:tr>
        <w:trPr>
          <w:trHeight w:val="257"/>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8.00 %</w:t>
            </w:r>
          </w:p>
        </w:tc>
        <w:tc>
          <w:tcPr>
            <w:tcW w:w="90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7.00 %</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6.60 %</w:t>
            </w:r>
          </w:p>
        </w:tc>
      </w:tr>
      <w:tr>
        <w:trPr>
          <w:trHeight w:val="256"/>
        </w:trPr>
        <w:tc>
          <w:tcPr>
            <w:tcW w:w="7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Ultimate trend rate</w:t>
            </w:r>
          </w:p>
        </w:tc>
        <w:tc>
          <w:tcPr>
            <w:tcW w:w="7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4.50 %</w:t>
            </w:r>
          </w:p>
        </w:tc>
        <w:tc>
          <w:tcPr>
            <w:tcW w:w="9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4.50 %</w:t>
            </w:r>
          </w:p>
        </w:tc>
        <w:tc>
          <w:tcPr>
            <w:tcW w:w="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4.50 %</w:t>
            </w:r>
          </w:p>
        </w:tc>
      </w:tr>
      <w:tr>
        <w:trPr>
          <w:trHeight w:val="243"/>
        </w:trPr>
        <w:tc>
          <w:tcPr>
            <w:tcW w:w="7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2033</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2032</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tcPr>
          <w:p>
            <w:pPr>
              <w:spacing w:after="0"/>
              <w:rPr>
                <w:sz w:val="21"/>
                <w:szCs w:val="21"/>
                <w:color w:val="auto"/>
              </w:rPr>
            </w:pPr>
          </w:p>
        </w:tc>
      </w:tr>
      <w:tr>
        <w:trPr>
          <w:trHeight w:val="540"/>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Future Benefit Payments:</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24"/>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contributions for the next fiscal year equal the estimated benefit payments of $2 million.</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2"/>
        </w:trPr>
        <w:tc>
          <w:tcPr>
            <w:tcW w:w="88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Our estimated future benefit payments for our postretirement benefit plan as of December 31, 2024 were as follows: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435"/>
        </w:trPr>
        <w:tc>
          <w:tcPr>
            <w:tcW w:w="6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634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460" w:type="dxa"/>
            <w:vAlign w:val="bottom"/>
            <w:tcBorders>
              <w:bottom w:val="single" w:sz="8" w:color="CFF0FC"/>
            </w:tcBorders>
          </w:tcPr>
          <w:p>
            <w:pPr>
              <w:spacing w:after="0"/>
              <w:rPr>
                <w:sz w:val="2"/>
                <w:szCs w:val="2"/>
                <w:color w:val="auto"/>
              </w:rPr>
            </w:pPr>
          </w:p>
        </w:tc>
        <w:tc>
          <w:tcPr>
            <w:tcW w:w="280" w:type="dxa"/>
            <w:vAlign w:val="bottom"/>
            <w:tcBorders>
              <w:bottom w:val="single" w:sz="8" w:color="CFF0FC"/>
            </w:tcBorders>
          </w:tcPr>
          <w:p>
            <w:pPr>
              <w:spacing w:after="0"/>
              <w:rPr>
                <w:sz w:val="2"/>
                <w:szCs w:val="2"/>
                <w:color w:val="auto"/>
              </w:rPr>
            </w:pPr>
          </w:p>
        </w:tc>
        <w:tc>
          <w:tcPr>
            <w:tcW w:w="900" w:type="dxa"/>
            <w:vAlign w:val="bottom"/>
            <w:tcBorders>
              <w:bottom w:val="single" w:sz="8" w:color="CFF0FC"/>
            </w:tcBorders>
          </w:tcPr>
          <w:p>
            <w:pPr>
              <w:spacing w:after="0"/>
              <w:rPr>
                <w:sz w:val="2"/>
                <w:szCs w:val="2"/>
                <w:color w:val="auto"/>
              </w:rPr>
            </w:pPr>
          </w:p>
        </w:tc>
        <w:tc>
          <w:tcPr>
            <w:tcW w:w="680" w:type="dxa"/>
            <w:vAlign w:val="bottom"/>
            <w:tcBorders>
              <w:bottom w:val="single" w:sz="8" w:color="CFF0FC"/>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250"/>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980" w:type="dxa"/>
            <w:vAlign w:val="bottom"/>
            <w:gridSpan w:val="4"/>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6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2030-2034</w:t>
            </w: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equity incentive plan was established in 2020 for purposes of granting stock-based compensation awards to certain members of our senior management, our non-executive directors and to certain employees, to incentivize their performance and align their interests with ours. We have granted RSUs to certain employees and non-employee directors that have a service-based vesting condition. In addition, we have granted PSUs to certain members of management that have a performance-based vesting condition. We account for forfeitures of outstanding but unvested grants in the period they occur. A maximum of 10.5 million shares of common stock were initially available for issuance under equity incentive awards granted pursuant to the plan. In the year ended December 31, 2024, 0.3 million RSUs and 0.3 million PSUs were granted.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activity for RSUs and PSUs for the year ended December 31, 2024 is as follows (in millions, except for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Grant-Date Fair</w:t>
            </w:r>
          </w:p>
        </w:tc>
      </w:tr>
      <w:tr>
        <w:trPr>
          <w:trHeight w:val="190"/>
        </w:trPr>
        <w:tc>
          <w:tcPr>
            <w:tcW w:w="8280" w:type="dxa"/>
            <w:vAlign w:val="bottom"/>
          </w:tcPr>
          <w:p>
            <w:pPr>
              <w:spacing w:after="0"/>
              <w:rPr>
                <w:sz w:val="16"/>
                <w:szCs w:val="16"/>
                <w:color w:val="auto"/>
              </w:rPr>
            </w:pPr>
          </w:p>
        </w:tc>
        <w:tc>
          <w:tcPr>
            <w:tcW w:w="9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23"/>
        </w:trPr>
        <w:tc>
          <w:tcPr>
            <w:tcW w:w="82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2023</w:t>
            </w: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92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63"/>
        </w:trPr>
        <w:tc>
          <w:tcPr>
            <w:tcW w:w="9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 performance adjustment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r>
      <w:tr>
        <w:trPr>
          <w:trHeight w:val="25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Unvested, at December 31, 2024</w:t>
            </w:r>
          </w:p>
        </w:tc>
        <w:tc>
          <w:tcPr>
            <w:tcW w:w="94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28.52</w:t>
            </w:r>
          </w:p>
        </w:tc>
      </w:tr>
      <w:tr>
        <w:trPr>
          <w:trHeight w:val="21"/>
        </w:trPr>
        <w:tc>
          <w:tcPr>
            <w:tcW w:w="8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RSUs as of December 31, 2024, was $5 million, which is expected to be recognized over a weighted average period of 1.23 years.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Unrecognized compensation expense relating to unvested PSUs as of December 31, 2024, was $6 million, which is expected to be recognized over a weighted average period of 1.63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stock-based compensation awards, representing 1.3 million shares and 0.8 million shares outstanding at December 31, 2024 and 2023, respectively. Stock-based compensation expense was $19 million, $14 million and $5 million for the years ended December 31, 2024, 2023 and 2022,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Accrued and Other Current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49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personnel costs</w:t>
            </w:r>
          </w:p>
        </w:tc>
        <w:tc>
          <w:tcPr>
            <w:tcW w:w="496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5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 allowances</w:t>
            </w:r>
          </w:p>
        </w:tc>
        <w:tc>
          <w:tcPr>
            <w:tcW w:w="4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6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100" w:type="dxa"/>
            <w:vAlign w:val="bottom"/>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4"/>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w:t>
            </w:r>
          </w:p>
        </w:tc>
        <w:tc>
          <w:tcPr>
            <w:tcW w:w="49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24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4100" w:type="dxa"/>
            <w:vAlign w:val="bottom"/>
            <w:vMerge w:val="restart"/>
          </w:tcPr>
          <w:p>
            <w:pPr>
              <w:jc w:val="right"/>
              <w:ind w:right="2475"/>
              <w:spacing w:after="0"/>
              <w:rPr>
                <w:sz w:val="20"/>
                <w:szCs w:val="20"/>
                <w:color w:val="auto"/>
              </w:rPr>
            </w:pPr>
            <w:r>
              <w:rPr>
                <w:rFonts w:ascii="Times New Roman" w:cs="Times New Roman" w:eastAsia="Times New Roman" w:hAnsi="Times New Roman"/>
                <w:sz w:val="18"/>
                <w:szCs w:val="18"/>
                <w:color w:val="auto"/>
              </w:rPr>
              <w:t>66</w:t>
            </w:r>
          </w:p>
        </w:tc>
        <w:tc>
          <w:tcPr>
            <w:tcW w:w="86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4180" w:type="dxa"/>
            <w:vAlign w:val="bottom"/>
          </w:tcPr>
          <w:p>
            <w:pPr>
              <w:spacing w:after="0"/>
              <w:rPr>
                <w:sz w:val="24"/>
                <w:szCs w:val="24"/>
                <w:color w:val="auto"/>
              </w:rPr>
            </w:pPr>
          </w:p>
        </w:tc>
        <w:tc>
          <w:tcPr>
            <w:tcW w:w="41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180" w:type="dxa"/>
            <w:vAlign w:val="bottom"/>
            <w:tcBorders>
              <w:bottom w:val="single" w:sz="8" w:color="9A9A9A"/>
            </w:tcBorders>
          </w:tcPr>
          <w:p>
            <w:pPr>
              <w:spacing w:after="0"/>
              <w:rPr>
                <w:sz w:val="8"/>
                <w:szCs w:val="8"/>
                <w:color w:val="auto"/>
              </w:rPr>
            </w:pPr>
          </w:p>
        </w:tc>
        <w:tc>
          <w:tcPr>
            <w:tcW w:w="41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Other Expense,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 consisted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96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700" w:type="dxa"/>
            <w:vAlign w:val="bottom"/>
            <w:shd w:val="clear" w:color="auto" w:fill="CCEEFF"/>
          </w:tcPr>
          <w:p>
            <w:pPr>
              <w:ind w:left="20"/>
              <w:spacing w:after="0" w:line="270" w:lineRule="exact"/>
              <w:rPr>
                <w:sz w:val="20"/>
                <w:szCs w:val="20"/>
                <w:color w:val="auto"/>
              </w:rPr>
            </w:pPr>
            <w:r>
              <w:rPr>
                <w:rFonts w:ascii="Times New Roman" w:cs="Times New Roman" w:eastAsia="Times New Roman" w:hAnsi="Times New Roman"/>
                <w:sz w:val="18"/>
                <w:szCs w:val="18"/>
                <w:color w:val="auto"/>
              </w:rPr>
              <w:t xml:space="preserve">IPO and separation-related costs </w:t>
            </w:r>
            <w:r>
              <w:rPr>
                <w:rFonts w:ascii="Times New Roman" w:cs="Times New Roman" w:eastAsia="Times New Roman" w:hAnsi="Times New Roman"/>
                <w:sz w:val="28"/>
                <w:szCs w:val="28"/>
                <w:color w:val="auto"/>
                <w:vertAlign w:val="superscript"/>
              </w:rPr>
              <w:t>(1)</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5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costs related to our separation to operate as a stand-alone public company and the IPO process.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from time to time party to litigation, legal proceedings and tax examinations arising from our operations. Most of these matters involve allegations of damages against us related to employment matters, consumer complaints, advertising/labeling claims, personal injury claims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as of December 31, 2024,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our balances of each component of accumulated other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Employee Benefit Plans</w:t>
            </w:r>
          </w:p>
        </w:tc>
        <w:tc>
          <w:tcPr>
            <w:tcW w:w="16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Derivative Instruments</w:t>
            </w:r>
          </w:p>
        </w:tc>
        <w:tc>
          <w:tcPr>
            <w:tcW w:w="14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20" w:type="dxa"/>
            <w:vAlign w:val="bottom"/>
            <w:tcBorders>
              <w:bottom w:val="single" w:sz="8" w:color="auto"/>
            </w:tcBorders>
            <w:gridSpan w:val="3"/>
            <w:vMerge w:val="continue"/>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96"/>
        </w:trPr>
        <w:tc>
          <w:tcPr>
            <w:tcW w:w="5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8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arising during the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arising during the period</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gain arising during the period</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to earnings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deferred taxes</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513"/>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International</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Significant components of income tax expense were as follows:</w:t>
            </w: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7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0" w:type="dxa"/>
            <w:vAlign w:val="bottom"/>
            <w:gridSpan w:val="6"/>
          </w:tcPr>
          <w:p>
            <w:pPr>
              <w:jc w:val="center"/>
              <w:ind w:left="13"/>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00" w:type="dxa"/>
            <w:vAlign w:val="bottom"/>
          </w:tcPr>
          <w:p>
            <w:pPr>
              <w:spacing w:after="0"/>
              <w:rPr>
                <w:sz w:val="16"/>
                <w:szCs w:val="16"/>
                <w:color w:val="auto"/>
              </w:rPr>
            </w:pPr>
          </w:p>
        </w:tc>
        <w:tc>
          <w:tcPr>
            <w:tcW w:w="9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income tax expense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income tax (benefit) expense</w:t>
            </w:r>
          </w:p>
        </w:tc>
        <w:tc>
          <w:tcPr>
            <w:tcW w:w="92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computed at the U.S. Federal statutory income tax rate of 21% for 2024, 2023 and 2022, to our income tax expense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income tax expense at the statutory rate</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State income tax expense</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Change in tax rates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Return to provision adjustments</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hanging="392"/>
        <w:spacing w:after="0"/>
        <w:tabs>
          <w:tab w:leader="none" w:pos="4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due to a discrete tax benefit for the remeasurement of deferred tax liabilities due to a change in our state tax rates after apportionment.</w:t>
      </w:r>
    </w:p>
    <w:p>
      <w:pPr>
        <w:spacing w:after="0" w:line="21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Tax Assets and Liabilities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income taxes result from temporary differences between the amount of assets and liabilities recognized for financial reporting and tax purposes.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net deferred income tax liability were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16"/>
                <w:szCs w:val="16"/>
                <w:color w:val="auto"/>
              </w:rPr>
            </w:pPr>
          </w:p>
        </w:tc>
      </w:tr>
      <w:tr>
        <w:trPr>
          <w:trHeight w:val="23"/>
        </w:trPr>
        <w:tc>
          <w:tcPr>
            <w:tcW w:w="82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28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8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4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benefits</w:t>
            </w:r>
          </w:p>
        </w:tc>
        <w:tc>
          <w:tcPr>
            <w:tcW w:w="86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obligations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Tax losses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after valuation allowance</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right-of-use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instruments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r>
      <w:tr>
        <w:trPr>
          <w:trHeight w:val="22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w:t>
            </w:r>
          </w:p>
        </w:tc>
      </w:tr>
      <w:tr>
        <w:trPr>
          <w:trHeight w:val="20"/>
        </w:trPr>
        <w:tc>
          <w:tcPr>
            <w:tcW w:w="8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related to our gross unrecognized tax benefits: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6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9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beginning of the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associated with tax positions taken during the current year</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associated with tax positions taken in prior years</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Ending unrecognized tax benefits</w:t>
            </w:r>
          </w:p>
        </w:tc>
        <w:tc>
          <w:tcPr>
            <w:tcW w:w="96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0"/>
        </w:trPr>
        <w:tc>
          <w:tcPr>
            <w:tcW w:w="6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year we file income tax returns in the various federal, state, local and foreign income taxing jurisdictions in which we operate. Canada is the only foreign jurisdiction in which we operate.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who has been identified as our Chief Operating Decision Maker (“CODM”), has evaluated how he views and measures our performance. In applying the criteria set forth in the standards for reporting information about segments in financial statements,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Reynolds Cooking &amp; Baking</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Reynolds Cooking &amp; Baking segment produces branded and store brand aluminum foil, disposable aluminum pans, parchment paper, freezer paper, wax paper, butcher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Waste &amp; Storage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Waste &amp; Storage segment produces both branded and store brand trash and food storage bags. Our branded products are sold under the Hefty Ultra Strong and Hefty Strong brands for trash bags, and as the Hefty and Baggies brands for our food storage bags.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Hefty Tableware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Hefty Tableware segment sells both branded and store brand disposable and compostable plates, bowls, platters, cups and cutlery. Our Hefty branded products include dishes and party cups.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Presto Products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by Segment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present segment adjusted EBITDA (“Adjusted EBITDA”) as this is the financial measure by which management and our CODM evaluates the performance of each segment and allocates resources (including employees, property and financial or capital resources) for each segment, predominantly in the annual budgeting and forecasting process. The CODM considers budget-to-actual variances on a monthly basis when making decisions about allocating capital and personnel to the segments.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EBITDA represents each segment’s earnings before interest, tax, depreciation and amortization and may be further adjusted to exclude IPO and separation-related costs, as well as certain other non-recurring items, if applicable.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accounting policies applied by our segments are the same as those described in Note 2 - Summary of Significant Accounting Policies. Transactions between segments are at negotiated prices.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3"/>
                <w:szCs w:val="13"/>
                <w:color w:val="auto"/>
              </w:rPr>
            </w:pPr>
          </w:p>
        </w:tc>
        <w:tc>
          <w:tcPr>
            <w:tcW w:w="8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4,873</w:t>
            </w:r>
          </w:p>
        </w:tc>
        <w:tc>
          <w:tcPr>
            <w:tcW w:w="0" w:type="dxa"/>
            <w:vAlign w:val="bottom"/>
          </w:tcPr>
          <w:p>
            <w:pPr>
              <w:spacing w:after="0"/>
              <w:rPr>
                <w:sz w:val="1"/>
                <w:szCs w:val="1"/>
                <w:color w:val="auto"/>
              </w:rPr>
            </w:pPr>
          </w:p>
        </w:tc>
      </w:tr>
      <w:tr>
        <w:trPr>
          <w:trHeight w:val="542"/>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15"/>
                <w:szCs w:val="15"/>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15"/>
                <w:szCs w:val="15"/>
                <w:color w:val="auto"/>
              </w:rPr>
            </w:pPr>
          </w:p>
        </w:tc>
        <w:tc>
          <w:tcPr>
            <w:tcW w:w="86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18"/>
                <w:szCs w:val="18"/>
                <w:b w:val="1"/>
                <w:b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4,780</w:t>
            </w:r>
          </w:p>
        </w:tc>
        <w:tc>
          <w:tcPr>
            <w:tcW w:w="0" w:type="dxa"/>
            <w:vAlign w:val="bottom"/>
          </w:tcPr>
          <w:p>
            <w:pPr>
              <w:spacing w:after="0"/>
              <w:rPr>
                <w:sz w:val="1"/>
                <w:szCs w:val="1"/>
                <w:color w:val="auto"/>
              </w:rPr>
            </w:pPr>
          </w:p>
        </w:tc>
      </w:tr>
      <w:tr>
        <w:trPr>
          <w:trHeight w:val="475"/>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Reynolds</w:t>
            </w:r>
          </w:p>
        </w:tc>
        <w:tc>
          <w:tcPr>
            <w:tcW w:w="160" w:type="dxa"/>
            <w:vAlign w:val="bottom"/>
          </w:tcPr>
          <w:p>
            <w:pPr>
              <w:spacing w:after="0"/>
              <w:rPr>
                <w:sz w:val="24"/>
                <w:szCs w:val="2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20" w:type="dxa"/>
            <w:vAlign w:val="bottom"/>
          </w:tcPr>
          <w:p>
            <w:pPr>
              <w:spacing w:after="0"/>
              <w:rPr>
                <w:sz w:val="24"/>
                <w:szCs w:val="24"/>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Hefty</w:t>
            </w:r>
          </w:p>
        </w:tc>
        <w:tc>
          <w:tcPr>
            <w:tcW w:w="140" w:type="dxa"/>
            <w:vAlign w:val="bottom"/>
          </w:tcPr>
          <w:p>
            <w:pPr>
              <w:spacing w:after="0"/>
              <w:rPr>
                <w:sz w:val="24"/>
                <w:szCs w:val="24"/>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Presto</w:t>
            </w:r>
          </w:p>
        </w:tc>
        <w:tc>
          <w:tcPr>
            <w:tcW w:w="180" w:type="dxa"/>
            <w:vAlign w:val="bottom"/>
          </w:tcPr>
          <w:p>
            <w:pPr>
              <w:spacing w:after="0"/>
              <w:rPr>
                <w:sz w:val="24"/>
                <w:szCs w:val="24"/>
                <w:color w:val="auto"/>
              </w:rPr>
            </w:pPr>
          </w:p>
        </w:tc>
        <w:tc>
          <w:tcPr>
            <w:tcW w:w="860" w:type="dxa"/>
            <w:vAlign w:val="bottom"/>
            <w:vMerge w:val="restart"/>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Cooking</w:t>
            </w: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Waste &amp;</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Unallocated</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2"/>
                <w:szCs w:val="12"/>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3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&amp; Baking</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Storage</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Tableware</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Products</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3,818</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net revenues</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3,837</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30"/>
        </w:trPr>
        <w:tc>
          <w:tcPr>
            <w:tcW w:w="3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left="540" w:right="20" w:hanging="51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ROU assets, goodwill, intangible assets, related party receivables and other assets.</w:t>
      </w:r>
    </w:p>
    <w:p>
      <w:pPr>
        <w:spacing w:after="0" w:line="28" w:lineRule="exact"/>
        <w:rPr>
          <w:rFonts w:ascii="Times New Roman" w:cs="Times New Roman" w:eastAsia="Times New Roman" w:hAnsi="Times New Roman"/>
          <w:sz w:val="18"/>
          <w:szCs w:val="18"/>
          <w:color w:val="auto"/>
        </w:rPr>
      </w:pPr>
    </w:p>
    <w:p>
      <w:pPr>
        <w:jc w:val="both"/>
        <w:ind w:left="540" w:right="20" w:hanging="51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included in Segment Adjusted EBITDA primarily include cost of sales (including material, manufacturing and logistics costs), salaries and benefits, advertising expenses and professional fees. The CODM allocates resources and assesses performance on a consolidated level for these other segment items.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segment Adjusted EBITDA to consolidated GAAP income before income taxes: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80" w:type="dxa"/>
            <w:vAlign w:val="bottom"/>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 unallocated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23"/>
        </w:trPr>
        <w:tc>
          <w:tcPr>
            <w:tcW w:w="6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to reconcile to GAAP income before income taxes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IPO and separation-related costs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6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GAAP income before income taxes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338</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Information in Relation to Products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6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Net revenues by product line are as follows: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6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80" w:type="dxa"/>
            <w:vAlign w:val="bottom"/>
            <w:gridSpan w:val="6"/>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6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880" w:type="dxa"/>
            <w:vAlign w:val="bottom"/>
            <w:shd w:val="clear" w:color="auto" w:fill="CCEEFF"/>
          </w:tcPr>
          <w:p>
            <w:pPr>
              <w:ind w:left="20"/>
              <w:spacing w:after="0" w:line="235" w:lineRule="exact"/>
              <w:rPr>
                <w:sz w:val="20"/>
                <w:szCs w:val="20"/>
                <w:color w:val="auto"/>
              </w:rPr>
            </w:pPr>
            <w:r>
              <w:rPr>
                <w:rFonts w:ascii="Times New Roman" w:cs="Times New Roman" w:eastAsia="Times New Roman" w:hAnsi="Times New Roman"/>
                <w:sz w:val="18"/>
                <w:szCs w:val="18"/>
                <w:color w:val="auto"/>
              </w:rPr>
              <w:t>Waste and storage products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0" w:type="dxa"/>
            <w:vAlign w:val="bottom"/>
          </w:tcPr>
          <w:p>
            <w:pPr>
              <w:spacing w:after="0"/>
              <w:rPr>
                <w:sz w:val="1"/>
                <w:szCs w:val="1"/>
                <w:color w:val="auto"/>
              </w:rPr>
            </w:pP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Cooking products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0" w:type="dxa"/>
            <w:vAlign w:val="bottom"/>
          </w:tcPr>
          <w:p>
            <w:pPr>
              <w:spacing w:after="0"/>
              <w:rPr>
                <w:sz w:val="1"/>
                <w:szCs w:val="1"/>
                <w:color w:val="auto"/>
              </w:rPr>
            </w:pP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Tableware products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6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8"/>
        </w:trPr>
        <w:tc>
          <w:tcPr>
            <w:tcW w:w="6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c>
          <w:tcPr>
            <w:tcW w:w="0" w:type="dxa"/>
            <w:vAlign w:val="bottom"/>
          </w:tcPr>
          <w:p>
            <w:pPr>
              <w:spacing w:after="0"/>
              <w:rPr>
                <w:sz w:val="1"/>
                <w:szCs w:val="1"/>
                <w:color w:val="auto"/>
              </w:rPr>
            </w:pPr>
          </w:p>
        </w:tc>
      </w:tr>
      <w:tr>
        <w:trPr>
          <w:trHeight w:val="20"/>
        </w:trPr>
        <w:tc>
          <w:tcPr>
            <w:tcW w:w="6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40" w:hanging="632"/>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Waste and storage products are comprised of our Hefty Waste &amp; Storage and Presto Products segments.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Data</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Geographic data for net revenues (recognized based on location of our business operations) and long-lived assets (representing property, plant and equipment)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86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96"/>
        </w:trPr>
        <w:tc>
          <w:tcPr>
            <w:tcW w:w="6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3,742</w:t>
            </w:r>
          </w:p>
        </w:tc>
      </w:tr>
      <w:tr>
        <w:trPr>
          <w:trHeight w:val="230"/>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3,756</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3,817</w:t>
            </w:r>
          </w:p>
        </w:tc>
      </w:tr>
      <w:tr>
        <w:trPr>
          <w:trHeight w:val="20"/>
        </w:trPr>
        <w:tc>
          <w:tcPr>
            <w:tcW w:w="6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510"/>
        </w:trPr>
        <w:tc>
          <w:tcPr>
            <w:tcW w:w="6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60" w:type="dxa"/>
            <w:vAlign w:val="bottom"/>
          </w:tcPr>
          <w:p>
            <w:pPr>
              <w:spacing w:after="0"/>
              <w:rPr>
                <w:sz w:val="24"/>
                <w:szCs w:val="24"/>
                <w:color w:val="auto"/>
              </w:rPr>
            </w:pPr>
          </w:p>
        </w:tc>
      </w:tr>
      <w:tr>
        <w:trPr>
          <w:trHeight w:val="24"/>
        </w:trPr>
        <w:tc>
          <w:tcPr>
            <w:tcW w:w="6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67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7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7"/>
                <w:szCs w:val="17"/>
                <w:color w:val="auto"/>
              </w:rPr>
            </w:pPr>
          </w:p>
        </w:tc>
      </w:tr>
      <w:tr>
        <w:trPr>
          <w:trHeight w:val="23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8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w:t>
            </w:r>
          </w:p>
        </w:tc>
        <w:tc>
          <w:tcPr>
            <w:tcW w:w="2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w:t>
            </w:r>
          </w:p>
        </w:tc>
      </w:tr>
      <w:tr>
        <w:trPr>
          <w:trHeight w:val="20"/>
        </w:trPr>
        <w:tc>
          <w:tcPr>
            <w:tcW w:w="6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Reynolds Consumer Products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Entity-wide Disclosures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revenues from our largest customer and its affiliates were 48% of total net revenues for each of the years ended December 31, 2024, 2023 and 2022. The net revenues from our largest customer were recognized across all of our segments. No other customers accounted for 10% or more of our total net revenues in any of the years presented.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Packaging Finance Limited (“PFL”) owns the majority of our outstanding common stock and owns the majority of the outstanding common stock of Pactiv Evergreen Inc. and its subsidiaries (“PEI Group”). We sell and purchase various goods and services with PEI Group under contractual arrangements that expire over a variety of periods through December 31, 2027. During the years ended December 31, 2024 and 2023, we amended these contractual arrangements with PEI Group, which, among other things, extended the expiration date for certain arrangements. Transactions between us and PEI Group are described below.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Related Party Transactions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2024, 2023 and 2022, revenues from products sold to PEI Group were $77 million, $83 million and $101 million, respectively. For the years ended December 31, 2024, 2023 and 2022, products purchased from PEI Group were $332 million, $381 million and $399 million, respectively. For the years ended December 31, 2024, 2023 and 2022, PEI Group charged us freight and warehousing costs of $28 million, $37 million and $54 million, respectively, which were included in cost of sales. The resulting related party receivables and payables are settled regularly with PEI Group in the normal course of business.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$143 million of dividends were paid to PFL during the years ended December 31, 2024, 2023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30, 2025, our Board of Directors approved a cash dividend of $0.23 per common share to be paid on February 28, 2025 to shareholders of record on February 14,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to December 31, 2024, we made a voluntary principal payment of $50 million related to our Term Loan Facility.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described above, there have been no events subsequent to December 31, 2024 which would require accrual or disclosure in these consolidated financial statements.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 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time periods specified in the SEC’s rules and forms, and that such information is accumulated and communicated to management, including the Chief Executive Officer and Chief Financial Officer, as appropriate to allow timely decisions regarding required disclosure. We, under the supervision of and with the participation of our management, including our Chief Executive Officer and Chief Financial Officer, have evaluated the effectiveness of our disclosure controls and procedures. Based on that evaluation, our Chief Executive Officer and Chief Financial Officer concluded that our disclosure controls and procedures were effective as of December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Management is responsible for establishing and maintaining adequate internal control over financial reporting, as defined in Rules 13a-15(f) and 15d-15(f) </w:t>
      </w:r>
      <w:r>
        <w:rPr>
          <w:rFonts w:ascii="Times New Roman" w:cs="Times New Roman" w:eastAsia="Times New Roman" w:hAnsi="Times New Roman"/>
          <w:sz w:val="18"/>
          <w:szCs w:val="18"/>
          <w:color w:val="000000"/>
        </w:rPr>
        <w:t>under the Exchange Act. Our internal control over financial reporting is a process designed under the supervision of the Chief Executive Officer and Chief Financial Officer to provide reasonable assurance regarding the reliability of financial reporting and the preparation of our financial statements for external purposes in accordance with accounting principles generally accepted in the United States of America.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under all potential conditions. Therefore, effective internal control over financial reporting provides only reasonable, and not absolute, assurance with respect to the preparation and presentation of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our internal control over financial reporting as of December 31, 2024 using the criteria set forth in the Internal Control Integrated Framework (2013) issued by the Committee of Sponsoring Organizations of the Treadway Commission (COSO). As a result of that evaluation, management concluded that our internal control over financial reporting was effective as of December 31, 2024.</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PricewaterhouseCoopers LLP, has audited the effectiveness of our internal control over financial reporting as of December 31, 2024, as stated in its report which appears in Item 8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fiscal quarter ended December 31, 2024 that has materially affected, or is reasonably likely to materially affect, our internal control over financial reporting.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quarter ended December 31, 2024, none of our directors or officers (as defined in Rule 16a-1(f) of the Exchange Act) adopted or terminated any contract, instruction or written plan for the purchase or sale of our securities that was intended to satisfy the affirmative defense conditions of Rule 10b5-1(c) of the Exchange Act or any non-Rule 10b5-1 trading arrangement (as identified in Item 408(c) of Regulation S-K).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10 will appear in the Company’s Proxy Statement for its 2025 Annual Meeting of Stockholders (the “2025 Proxy Statement”) under the captions “Proposal 1: Election of Directors,” “Executive Compensation - Executive Officers,” and “Corporate Governance” and is incorporated herein by reference.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will appear in the Company’s 2025 Proxy Statement under the captions “Director Compensation,” “Executive Compensation” and “Certain Relationships and Related Person Transactions” and is incorporated herein by reference.</w:t>
      </w:r>
    </w:p>
    <w:p>
      <w:pPr>
        <w:spacing w:after="0" w:line="158"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will appear in the Company’s 2025 Proxy Statement under the captions “Executive Compensation” and “Security Ownership of Certain Beneficial Owners and Management”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will appear in the Company’s 2025 Proxy Statement under the captions “Certain Relationships and Related Person Transactions” and “Corporate Governance” and is incorporated herein by reference.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14 will appear in the Company’s 2025 Proxy Statement under the caption “Proposal 3: Ratification of Appointment of Independent Registered Public Accounting Firm” and is incorporated herein by reference.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340" w:right="2880" w:firstLine="2568"/>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15. EXHIBITS AND FINANCIAL STATEMENT SCHEDULES </w:t>
      </w:r>
      <w:r>
        <w:rPr>
          <w:rFonts w:ascii="Times New Roman" w:cs="Times New Roman" w:eastAsia="Times New Roman" w:hAnsi="Times New Roman"/>
          <w:sz w:val="18"/>
          <w:szCs w:val="18"/>
          <w:color w:val="auto"/>
        </w:rPr>
        <w:t>(a) The following documents are filed as part of this Annual Report on Form 10-K:</w:t>
      </w:r>
    </w:p>
    <w:p>
      <w:pPr>
        <w:spacing w:after="0" w:line="4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are filed as part of this Annual Report on Form 10-K under Part II, Item 8:</w:t>
      </w:r>
    </w:p>
    <w:p>
      <w:pPr>
        <w:spacing w:after="0" w:line="26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3880" w:type="dxa"/>
            <w:vAlign w:val="bottom"/>
            <w:gridSpan w:val="5"/>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7"/>
        </w:trPr>
        <w:tc>
          <w:tcPr>
            <w:tcW w:w="6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Income for the Years Ended December 31, 2024, 2023 and 2022</w:t>
            </w:r>
          </w:p>
        </w:tc>
        <w:tc>
          <w:tcPr>
            <w:tcW w:w="2760" w:type="dxa"/>
            <w:vAlign w:val="bottom"/>
            <w:gridSpan w:val="4"/>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7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Years Ended December 31, 2024, 2023 and 2022</w:t>
            </w:r>
          </w:p>
        </w:tc>
        <w:tc>
          <w:tcPr>
            <w:tcW w:w="15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7"/>
        </w:trPr>
        <w:tc>
          <w:tcPr>
            <w:tcW w:w="4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2024 and 2023</w:t>
            </w:r>
          </w:p>
        </w:tc>
        <w:tc>
          <w:tcPr>
            <w:tcW w:w="4760" w:type="dxa"/>
            <w:vAlign w:val="bottom"/>
            <w:gridSpan w:val="6"/>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6"/>
        </w:trPr>
        <w:tc>
          <w:tcPr>
            <w:tcW w:w="94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2024, 2023 and 2022</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6"/>
        </w:trPr>
        <w:tc>
          <w:tcPr>
            <w:tcW w:w="7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780" w:type="dxa"/>
            <w:vAlign w:val="bottom"/>
            <w:gridSpan w:val="2"/>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7"/>
        </w:trPr>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20"/>
                <w:szCs w:val="20"/>
                <w:color w:val="auto"/>
              </w:rPr>
            </w:pPr>
          </w:p>
        </w:tc>
        <w:tc>
          <w:tcPr>
            <w:tcW w:w="2460" w:type="dxa"/>
            <w:vAlign w:val="bottom"/>
            <w:gridSpan w:val="3"/>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bl>
    <w:p>
      <w:pPr>
        <w:spacing w:after="0" w:line="333"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“Index to Exhibits” immediately preceding the signature page of this Annual Report on Form 10-K.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380" w:type="dxa"/>
            <w:vAlign w:val="bottom"/>
            <w:gridSpan w:val="6"/>
          </w:tcPr>
          <w:p>
            <w:pPr>
              <w:ind w:left="28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436"/>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20" w:type="dxa"/>
            <w:vAlign w:val="bottom"/>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5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7"/>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Amended and Restated Certificate of Incorporation, conformed version that includes all amendments through April 25, 2024</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4"/>
          </w:tcPr>
          <w:p>
            <w:pPr>
              <w:spacing w:after="0" w:line="182"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(incorporated herein by reference to Exhibit 3.3 to the Company’s Quarterly Report on Form 10-Q filed with the SEC on August 7,</w:t>
              </w:r>
            </w:hyperlink>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EE"/>
                <w:w w:val="95"/>
              </w:rPr>
            </w:pPr>
            <w:hyperlink r:id="rId122">
              <w:r>
                <w:rPr>
                  <w:rFonts w:ascii="Times New Roman" w:cs="Times New Roman" w:eastAsia="Times New Roman" w:hAnsi="Times New Roman"/>
                  <w:sz w:val="18"/>
                  <w:szCs w:val="18"/>
                  <w:color w:val="0000EE"/>
                  <w:w w:val="95"/>
                </w:rPr>
                <w:t>2024)</w:t>
              </w:r>
            </w:hyperlink>
          </w:p>
        </w:tc>
        <w:tc>
          <w:tcPr>
            <w:tcW w:w="36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7"/>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Amended and Restated By-Laws (incorporated herein by reference to Exhibit 3.2 to the Company’s Current Report on Form 8-K (File</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tcBorders>
              <w:top w:val="single" w:sz="8" w:color="0000EE"/>
            </w:tcBorders>
            <w:gridSpan w:val="6"/>
          </w:tcPr>
          <w:p>
            <w:pPr>
              <w:spacing w:after="0" w:line="182"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No. 001-39205) filed with the SEC on February 4, 2020)</w:t>
              </w:r>
            </w:hyperlink>
          </w:p>
        </w:tc>
        <w:tc>
          <w:tcPr>
            <w:tcW w:w="20" w:type="dxa"/>
            <w:vAlign w:val="bottom"/>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80" w:type="dxa"/>
            <w:vAlign w:val="bottom"/>
            <w:gridSpan w:val="2"/>
            <w:shd w:val="clear" w:color="auto" w:fill="0000EE"/>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gridSpan w:val="7"/>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Description of Securities Registered under Section 12 of the Securities Exchange Act of 1934 (incorporated herein by reference to</w:t>
              </w:r>
            </w:hyperlink>
          </w:p>
        </w:tc>
      </w:tr>
      <w:tr>
        <w:trPr>
          <w:trHeight w:val="183"/>
        </w:trPr>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60" w:type="dxa"/>
            <w:vAlign w:val="bottom"/>
            <w:tcBorders>
              <w:top w:val="single" w:sz="8" w:color="0000EE"/>
            </w:tcBorders>
            <w:gridSpan w:val="5"/>
          </w:tcPr>
          <w:p>
            <w:pPr>
              <w:spacing w:after="0" w:line="182"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Exhibit 4.1 to the Company’s Annual Report on Form 10-K filed with the SEC on February 12, 2021)</w:t>
              </w:r>
            </w:hyperlink>
          </w:p>
        </w:tc>
        <w:tc>
          <w:tcPr>
            <w:tcW w:w="40" w:type="dxa"/>
            <w:vAlign w:val="bottom"/>
            <w:gridSpan w:val="2"/>
          </w:tcPr>
          <w:p>
            <w:pPr>
              <w:spacing w:after="0"/>
              <w:rPr>
                <w:sz w:val="15"/>
                <w:szCs w:val="15"/>
                <w:color w:val="auto"/>
              </w:rPr>
            </w:pPr>
          </w:p>
        </w:tc>
      </w:tr>
      <w:tr>
        <w:trPr>
          <w:trHeight w:val="20"/>
        </w:trPr>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49"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br w:type="column"/>
      </w:r>
    </w:p>
    <w:p>
      <w:pPr>
        <w:ind w:right="280"/>
        <w:spacing w:after="0" w:line="237" w:lineRule="auto"/>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Form of Indenture (incorporated herein by reference to Exhibit 4.1 to the Company’s Registration Statement on Form S-3ASR (File</w:t>
        </w:r>
      </w:hyperlink>
      <w:r>
        <w:rPr>
          <w:rFonts w:ascii="Times New Roman" w:cs="Times New Roman" w:eastAsia="Times New Roman" w:hAnsi="Times New Roman"/>
          <w:sz w:val="18"/>
          <w:szCs w:val="18"/>
          <w:u w:val="single" w:color="auto"/>
          <w:color w:val="0000FF"/>
        </w:rPr>
        <w:t xml:space="preserve"> </w:t>
      </w:r>
      <w:hyperlink r:id="rId125">
        <w:r>
          <w:rPr>
            <w:rFonts w:ascii="Times New Roman" w:cs="Times New Roman" w:eastAsia="Times New Roman" w:hAnsi="Times New Roman"/>
            <w:sz w:val="18"/>
            <w:szCs w:val="18"/>
            <w:u w:val="single" w:color="auto"/>
            <w:color w:val="0000FF"/>
          </w:rPr>
          <w:t>No. 333-279197) filed with the SEC on May 8, 2024)</w:t>
        </w:r>
      </w:hyperlink>
    </w:p>
    <w:p>
      <w:pPr>
        <w:spacing w:after="0" w:line="10"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25">
        <w:r>
          <w:rPr>
            <w:rFonts w:ascii="Times New Roman" w:cs="Times New Roman" w:eastAsia="Times New Roman" w:hAnsi="Times New Roman"/>
            <w:sz w:val="18"/>
            <w:szCs w:val="18"/>
            <w:u w:val="single" w:color="auto"/>
            <w:color w:val="0000FF"/>
          </w:rPr>
          <w:t>Form of Debt Security (included in Exhibit 4.2)</w:t>
        </w:r>
      </w:hyperlink>
    </w:p>
    <w:p>
      <w:pPr>
        <w:spacing w:after="0" w:line="63" w:lineRule="exact"/>
        <w:rPr>
          <w:sz w:val="20"/>
          <w:szCs w:val="20"/>
          <w:color w:val="auto"/>
        </w:rPr>
      </w:pPr>
    </w:p>
    <w:p>
      <w:pPr>
        <w:ind w:right="20"/>
        <w:spacing w:after="0" w:line="266" w:lineRule="auto"/>
        <w:rPr>
          <w:rFonts w:ascii="Times New Roman" w:cs="Times New Roman" w:eastAsia="Times New Roman" w:hAnsi="Times New Roman"/>
          <w:sz w:val="18"/>
          <w:szCs w:val="18"/>
          <w:u w:val="single" w:color="auto"/>
          <w:color w:val="0000EE"/>
        </w:rPr>
      </w:pPr>
      <w:hyperlink r:id="rId126">
        <w:r>
          <w:rPr>
            <w:rFonts w:ascii="Times New Roman" w:cs="Times New Roman" w:eastAsia="Times New Roman" w:hAnsi="Times New Roman"/>
            <w:sz w:val="18"/>
            <w:szCs w:val="18"/>
            <w:u w:val="single" w:color="auto"/>
            <w:color w:val="0000EE"/>
          </w:rPr>
          <w:t>Form of Indemnification Agreement (incorporated herein by reference to Exhibit 10.1 to the Company’s Registration Statement on</w:t>
        </w:r>
      </w:hyperlink>
      <w:r>
        <w:rPr>
          <w:rFonts w:ascii="Times New Roman" w:cs="Times New Roman" w:eastAsia="Times New Roman" w:hAnsi="Times New Roman"/>
          <w:sz w:val="18"/>
          <w:szCs w:val="18"/>
          <w:u w:val="single" w:color="auto"/>
          <w:color w:val="0000EE"/>
        </w:rPr>
        <w:t xml:space="preserve"> </w:t>
      </w:r>
      <w:hyperlink r:id="rId126">
        <w:r>
          <w:rPr>
            <w:rFonts w:ascii="Times New Roman" w:cs="Times New Roman" w:eastAsia="Times New Roman" w:hAnsi="Times New Roman"/>
            <w:sz w:val="18"/>
            <w:szCs w:val="18"/>
            <w:u w:val="single" w:color="auto"/>
            <w:color w:val="0000EE"/>
          </w:rPr>
          <w:t>Form S-1 (File No. 333-234731) filed with the SEC on November 15, 2019)</w:t>
        </w:r>
      </w:hyperlink>
    </w:p>
    <w:p>
      <w:pPr>
        <w:spacing w:after="0" w:line="1" w:lineRule="exact"/>
        <w:rPr>
          <w:sz w:val="20"/>
          <w:szCs w:val="20"/>
          <w:color w:val="auto"/>
        </w:rPr>
      </w:pPr>
    </w:p>
    <w:p>
      <w:pPr>
        <w:sectPr>
          <w:pgSz w:w="11900" w:h="16838" w:orient="portrait"/>
          <w:cols w:equalWidth="0" w:num="2">
            <w:col w:w="760" w:space="720"/>
            <w:col w:w="97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9900" w:type="dxa"/>
            <w:vAlign w:val="bottom"/>
            <w:gridSpan w:val="23"/>
          </w:tcPr>
          <w:p>
            <w:pPr>
              <w:spacing w:after="0"/>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Reynolds Consumer Products Inc. Equity Incentive Plan (incorporated herein by reference to Exhibit 99 to the Company’s Registration</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EE"/>
            </w:tcBorders>
            <w:gridSpan w:val="15"/>
          </w:tcPr>
          <w:p>
            <w:pPr>
              <w:spacing w:after="0" w:line="182"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Statement on Form S-8 (File No. 333-236204) filed with the SEC on January 31, 2020)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gridSpan w:val="23"/>
          </w:tcPr>
          <w:p>
            <w:pPr>
              <w:spacing w:after="0"/>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Reynolds Consumer Products Inc. Equity Incentive Plan, as amended and restated effective January 27, 2022 (incorporate herein by</w:t>
              </w:r>
            </w:hyperlink>
          </w:p>
        </w:tc>
      </w:tr>
      <w:tr>
        <w:trPr>
          <w:trHeight w:val="182"/>
        </w:trPr>
        <w:tc>
          <w:tcPr>
            <w:tcW w:w="1480" w:type="dxa"/>
            <w:vAlign w:val="bottom"/>
          </w:tcPr>
          <w:p>
            <w:pPr>
              <w:spacing w:after="0"/>
              <w:rPr>
                <w:sz w:val="15"/>
                <w:szCs w:val="15"/>
                <w:color w:val="auto"/>
              </w:rPr>
            </w:pPr>
          </w:p>
        </w:tc>
        <w:tc>
          <w:tcPr>
            <w:tcW w:w="9860" w:type="dxa"/>
            <w:vAlign w:val="bottom"/>
            <w:tcBorders>
              <w:top w:val="single" w:sz="8" w:color="0000EE"/>
            </w:tcBorders>
            <w:gridSpan w:val="21"/>
          </w:tcPr>
          <w:p>
            <w:pPr>
              <w:spacing w:after="0" w:line="182"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reference to Exhibit 10.3 to the Company’s Annual Report on Form 10-K filed with the SEC on February 9,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4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00" w:type="dxa"/>
            <w:vAlign w:val="bottom"/>
            <w:gridSpan w:val="23"/>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Restricted Stock Unit Award Agreement under the Equity Incentive Plan (incorporated herein by reference to Exhibit 10.6 to</w:t>
              </w:r>
            </w:hyperlink>
          </w:p>
        </w:tc>
      </w:tr>
      <w:tr>
        <w:trPr>
          <w:trHeight w:val="183"/>
        </w:trPr>
        <w:tc>
          <w:tcPr>
            <w:tcW w:w="1480" w:type="dxa"/>
            <w:vAlign w:val="bottom"/>
          </w:tcPr>
          <w:p>
            <w:pPr>
              <w:spacing w:after="0"/>
              <w:rPr>
                <w:sz w:val="15"/>
                <w:szCs w:val="15"/>
                <w:color w:val="auto"/>
              </w:rPr>
            </w:pPr>
          </w:p>
        </w:tc>
        <w:tc>
          <w:tcPr>
            <w:tcW w:w="9780" w:type="dxa"/>
            <w:vAlign w:val="bottom"/>
            <w:tcBorders>
              <w:top w:val="single" w:sz="8" w:color="0000EE"/>
            </w:tcBorders>
            <w:gridSpan w:val="17"/>
          </w:tcPr>
          <w:p>
            <w:pPr>
              <w:spacing w:after="0" w:line="182"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the Company’s Annual Report on Form 10-K filed with the SEC on February 9,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9900" w:type="dxa"/>
            <w:vAlign w:val="bottom"/>
            <w:gridSpan w:val="23"/>
          </w:tcPr>
          <w:p>
            <w:pPr>
              <w:spacing w:after="0"/>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Performance Share Unit Award Agreement under the Equity Incentive Plan (incorporated herein by reference to Exhibit 10.7</w:t>
              </w:r>
            </w:hyperlink>
          </w:p>
        </w:tc>
      </w:tr>
      <w:tr>
        <w:trPr>
          <w:trHeight w:val="183"/>
        </w:trPr>
        <w:tc>
          <w:tcPr>
            <w:tcW w:w="1480" w:type="dxa"/>
            <w:vAlign w:val="bottom"/>
          </w:tcPr>
          <w:p>
            <w:pPr>
              <w:spacing w:after="0"/>
              <w:rPr>
                <w:sz w:val="15"/>
                <w:szCs w:val="15"/>
                <w:color w:val="auto"/>
              </w:rPr>
            </w:pPr>
          </w:p>
        </w:tc>
        <w:tc>
          <w:tcPr>
            <w:tcW w:w="6400" w:type="dxa"/>
            <w:vAlign w:val="bottom"/>
            <w:tcBorders>
              <w:top w:val="single" w:sz="8" w:color="0000EE"/>
              <w:bottom w:val="single" w:sz="8" w:color="0000EE"/>
            </w:tcBorders>
            <w:gridSpan w:val="6"/>
          </w:tcPr>
          <w:p>
            <w:pPr>
              <w:spacing w:after="0" w:line="182" w:lineRule="exact"/>
              <w:rPr>
                <w:rFonts w:ascii="Times New Roman" w:cs="Times New Roman" w:eastAsia="Times New Roman" w:hAnsi="Times New Roman"/>
                <w:sz w:val="18"/>
                <w:szCs w:val="18"/>
                <w:color w:val="0000EE"/>
                <w:w w:val="99"/>
              </w:rPr>
            </w:pPr>
            <w:hyperlink r:id="rId130">
              <w:r>
                <w:rPr>
                  <w:rFonts w:ascii="Times New Roman" w:cs="Times New Roman" w:eastAsia="Times New Roman" w:hAnsi="Times New Roman"/>
                  <w:sz w:val="18"/>
                  <w:szCs w:val="18"/>
                  <w:color w:val="0000EE"/>
                  <w:w w:val="99"/>
                </w:rPr>
                <w:t>to the Company’s Annual Report on Form 10-K filed with the SEC on February 9, 2022)</w:t>
              </w:r>
            </w:hyperlink>
          </w:p>
        </w:tc>
        <w:tc>
          <w:tcPr>
            <w:tcW w:w="3440" w:type="dxa"/>
            <w:vAlign w:val="bottom"/>
            <w:tcBorders>
              <w:top w:val="single" w:sz="8" w:color="0000EE"/>
            </w:tcBorders>
            <w:gridSpan w:val="1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87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of Restricted Stock Unit Award Agreement (for full vesting on death, retirement or enhanced retirement situations)</w:t>
            </w:r>
          </w:p>
        </w:tc>
        <w:tc>
          <w:tcPr>
            <w:tcW w:w="1200" w:type="dxa"/>
            <w:vAlign w:val="bottom"/>
            <w:gridSpan w:val="14"/>
          </w:tcPr>
          <w:p>
            <w:pPr>
              <w:spacing w:after="0"/>
              <w:rPr>
                <w:sz w:val="20"/>
                <w:szCs w:val="20"/>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88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Form of Performance Share Unit Award Agreement (for full vesting on death, retirement or enhanced retirement situations)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4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gridSpan w:val="3"/>
          </w:tcPr>
          <w:p>
            <w:pPr>
              <w:spacing w:after="0"/>
              <w:rPr>
                <w:sz w:val="20"/>
                <w:szCs w:val="20"/>
                <w:color w:val="auto"/>
              </w:rPr>
            </w:pPr>
          </w:p>
        </w:tc>
        <w:tc>
          <w:tcPr>
            <w:tcW w:w="20" w:type="dxa"/>
            <w:vAlign w:val="bottom"/>
          </w:tcPr>
          <w:p>
            <w:pPr>
              <w:spacing w:after="0"/>
              <w:rPr>
                <w:sz w:val="20"/>
                <w:szCs w:val="20"/>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90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Form of Restricted Stock Unit Award Agreement (for no continuous service requirement and full vesting on death situations)</w:t>
            </w:r>
          </w:p>
        </w:tc>
        <w:tc>
          <w:tcPr>
            <w:tcW w:w="900" w:type="dxa"/>
            <w:vAlign w:val="bottom"/>
            <w:gridSpan w:val="11"/>
          </w:tcPr>
          <w:p>
            <w:pPr>
              <w:spacing w:after="0"/>
              <w:rPr>
                <w:sz w:val="21"/>
                <w:szCs w:val="2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(for double-trigger vesting in connection with a change in control situations)</w:t>
            </w:r>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74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2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Form of Performance Share Unit Award Agreement (for double-trigger vesting in connection with a change in control situations)</w:t>
            </w:r>
          </w:p>
        </w:tc>
        <w:tc>
          <w:tcPr>
            <w:tcW w:w="620" w:type="dxa"/>
            <w:vAlign w:val="bottom"/>
            <w:gridSpan w:val="9"/>
          </w:tcPr>
          <w:p>
            <w:pPr>
              <w:spacing w:after="0"/>
              <w:rPr>
                <w:sz w:val="20"/>
                <w:szCs w:val="20"/>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Form of Restricted Stock Unit Award Agreement, as amended November 2024</w:t>
            </w:r>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5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Form of Performance Share Unit Award Agreement, as amended November 2024</w:t>
            </w:r>
          </w:p>
        </w:tc>
        <w:tc>
          <w:tcPr>
            <w:tcW w:w="4020" w:type="dxa"/>
            <w:vAlign w:val="bottom"/>
            <w:gridSpan w:val="20"/>
          </w:tcPr>
          <w:p>
            <w:pPr>
              <w:spacing w:after="0"/>
              <w:rPr>
                <w:sz w:val="20"/>
                <w:szCs w:val="20"/>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gridSpan w:val="23"/>
          </w:tcPr>
          <w:p>
            <w:pPr>
              <w:spacing w:after="0"/>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Employment Agreement, dated July 8, 2019, between Reynolds Consumer Products LLC and Lance Mitchell (including the</w:t>
              </w:r>
            </w:hyperlink>
          </w:p>
        </w:tc>
      </w:tr>
      <w:tr>
        <w:trPr>
          <w:trHeight w:val="183"/>
        </w:trPr>
        <w:tc>
          <w:tcPr>
            <w:tcW w:w="1480" w:type="dxa"/>
            <w:vAlign w:val="bottom"/>
          </w:tcPr>
          <w:p>
            <w:pPr>
              <w:spacing w:after="0"/>
              <w:rPr>
                <w:sz w:val="15"/>
                <w:szCs w:val="15"/>
                <w:color w:val="auto"/>
              </w:rPr>
            </w:pPr>
          </w:p>
        </w:tc>
        <w:tc>
          <w:tcPr>
            <w:tcW w:w="9800" w:type="dxa"/>
            <w:vAlign w:val="bottom"/>
            <w:tcBorders>
              <w:top w:val="single" w:sz="8" w:color="0000EE"/>
              <w:bottom w:val="single" w:sz="8" w:color="0000EE"/>
            </w:tcBorders>
            <w:gridSpan w:val="18"/>
          </w:tcPr>
          <w:p>
            <w:pPr>
              <w:spacing w:after="0" w:line="182"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Restrictive Covenant Agreement attached thereto) (incorporated herein by reference to Exhibit 10.6 to the Company’s Registration</w:t>
              </w:r>
            </w:hyperlink>
          </w:p>
        </w:tc>
        <w:tc>
          <w:tcPr>
            <w:tcW w:w="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Statement on Form S-1 (File No. 333-234731) filed with the SEC on November 15, 2019)</w:t>
              </w:r>
            </w:hyperlink>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gridSpan w:val="23"/>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Transition Letter, dated as of October 24, 2024, by and between Reynolds Consumer Products Inc. and Lance Mitchell (incorporated</w:t>
              </w:r>
            </w:hyperlink>
          </w:p>
        </w:tc>
      </w:tr>
      <w:tr>
        <w:trPr>
          <w:trHeight w:val="183"/>
        </w:trPr>
        <w:tc>
          <w:tcPr>
            <w:tcW w:w="148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32">
              <w:r>
                <w:rPr>
                  <w:rFonts w:ascii="Times New Roman" w:cs="Times New Roman" w:eastAsia="Times New Roman" w:hAnsi="Times New Roman"/>
                  <w:sz w:val="18"/>
                  <w:szCs w:val="18"/>
                  <w:color w:val="0000FF"/>
                  <w:w w:val="99"/>
                </w:rPr>
                <w:t>herein by reference to Exhibit 10.1 to the Company’s Current Report on Form 8-K filed with the SEC on October 30, 2024)</w:t>
              </w:r>
            </w:hyperlink>
          </w:p>
        </w:tc>
        <w:tc>
          <w:tcPr>
            <w:tcW w:w="900" w:type="dxa"/>
            <w:vAlign w:val="bottom"/>
            <w:tcBorders>
              <w:top w:val="single" w:sz="8" w:color="0000FF"/>
            </w:tcBorders>
            <w:gridSpan w:val="7"/>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gridSpan w:val="23"/>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Offer Letter, dated as of September 15, 2023, by and between Reynolds Consumer Products LLC and Scott E. Huckins (incorporated</w:t>
              </w:r>
            </w:hyperlink>
          </w:p>
        </w:tc>
      </w:tr>
      <w:tr>
        <w:trPr>
          <w:trHeight w:val="183"/>
        </w:trPr>
        <w:tc>
          <w:tcPr>
            <w:tcW w:w="1480" w:type="dxa"/>
            <w:vAlign w:val="bottom"/>
          </w:tcPr>
          <w:p>
            <w:pPr>
              <w:spacing w:after="0"/>
              <w:rPr>
                <w:sz w:val="15"/>
                <w:szCs w:val="15"/>
                <w:color w:val="auto"/>
              </w:rPr>
            </w:pPr>
          </w:p>
        </w:tc>
        <w:tc>
          <w:tcPr>
            <w:tcW w:w="8900" w:type="dxa"/>
            <w:vAlign w:val="bottom"/>
            <w:tcBorders>
              <w:top w:val="single" w:sz="8" w:color="0000FF"/>
              <w:bottom w:val="single" w:sz="8" w:color="0000FF"/>
            </w:tcBorders>
            <w:gridSpan w:val="11"/>
          </w:tcPr>
          <w:p>
            <w:pPr>
              <w:spacing w:after="0" w:line="182" w:lineRule="exact"/>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herein by reference to Exhibit 10.1 to the Company’s Current Report on Form 8-K filed with the SEC on October 12, 2023)</w:t>
              </w:r>
            </w:hyperlink>
          </w:p>
        </w:tc>
        <w:tc>
          <w:tcPr>
            <w:tcW w:w="920" w:type="dxa"/>
            <w:vAlign w:val="bottom"/>
            <w:tcBorders>
              <w:top w:val="single" w:sz="8" w:color="0000FF"/>
            </w:tcBorders>
            <w:gridSpan w:val="8"/>
          </w:tcPr>
          <w:p>
            <w:pPr>
              <w:spacing w:after="0"/>
              <w:rPr>
                <w:sz w:val="15"/>
                <w:szCs w:val="15"/>
                <w:color w:val="auto"/>
              </w:rPr>
            </w:pPr>
          </w:p>
        </w:tc>
        <w:tc>
          <w:tcPr>
            <w:tcW w:w="80" w:type="dxa"/>
            <w:vAlign w:val="bottom"/>
            <w:gridSpan w:val="4"/>
          </w:tcPr>
          <w:p>
            <w:pPr>
              <w:spacing w:after="0"/>
              <w:rPr>
                <w:sz w:val="15"/>
                <w:szCs w:val="15"/>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900" w:type="dxa"/>
            <w:vAlign w:val="bottom"/>
            <w:gridSpan w:val="23"/>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Employment Agreement, effective October 23, 2023, by and between Reynolds Consumer Products LLC and Scott E. Huckins</w:t>
              </w:r>
            </w:hyperlink>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(including the Restrictive Covenant Agreement attached thereto) (incorporated herein by reference to Exhibit 10.2 to the Company’s</w:t>
              </w:r>
            </w:hyperlink>
          </w:p>
        </w:tc>
        <w:tc>
          <w:tcPr>
            <w:tcW w:w="60" w:type="dxa"/>
            <w:vAlign w:val="bottom"/>
            <w:tcBorders>
              <w:bottom w:val="single" w:sz="8" w:color="0000FF"/>
            </w:tcBorders>
            <w:gridSpan w:val="3"/>
          </w:tcPr>
          <w:p>
            <w:pPr>
              <w:spacing w:after="0"/>
              <w:rPr>
                <w:sz w:val="15"/>
                <w:szCs w:val="15"/>
                <w:color w:val="auto"/>
              </w:rPr>
            </w:pPr>
          </w:p>
        </w:tc>
        <w:tc>
          <w:tcPr>
            <w:tcW w:w="80" w:type="dxa"/>
            <w:vAlign w:val="bottom"/>
            <w:tcBorders>
              <w:bottom w:val="single" w:sz="8" w:color="0000FF"/>
            </w:tcBorders>
            <w:gridSpan w:val="4"/>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900" w:type="dxa"/>
            <w:vAlign w:val="bottom"/>
            <w:gridSpan w:val="23"/>
          </w:tcPr>
          <w:p>
            <w:pPr>
              <w:spacing w:after="0" w:line="19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Current Report on Form 8-K filed with the SEC on October 12, 2023)</w:t>
              </w:r>
            </w:hyperlink>
          </w:p>
        </w:tc>
      </w:tr>
      <w:tr>
        <w:trPr>
          <w:trHeight w:val="20"/>
        </w:trPr>
        <w:tc>
          <w:tcPr>
            <w:tcW w:w="1480" w:type="dxa"/>
            <w:vAlign w:val="bottom"/>
          </w:tcPr>
          <w:p>
            <w:pPr>
              <w:spacing w:after="0" w:line="20" w:lineRule="exact"/>
              <w:rPr>
                <w:sz w:val="1"/>
                <w:szCs w:val="1"/>
                <w:color w:val="auto"/>
              </w:rPr>
            </w:pPr>
          </w:p>
        </w:tc>
        <w:tc>
          <w:tcPr>
            <w:tcW w:w="5020" w:type="dxa"/>
            <w:vAlign w:val="bottom"/>
            <w:shd w:val="clear" w:color="auto" w:fill="0000FF"/>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1680" w:type="dxa"/>
            <w:vAlign w:val="bottom"/>
            <w:gridSpan w:val="15"/>
          </w:tcPr>
          <w:p>
            <w:pPr>
              <w:spacing w:after="0" w:line="20" w:lineRule="exact"/>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00" w:type="dxa"/>
            <w:vAlign w:val="bottom"/>
            <w:gridSpan w:val="23"/>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Offer Letter, dated October 24, 2024, by and between Reynolds Consumer Products Inc. and Scott E. Huckins (incorporated herein by</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reference to Exhibit 10.2 to the Company’s Current Report on Form 8-K filed with the SEC on October 30, 2024)</w:t>
              </w:r>
            </w:hyperlink>
          </w:p>
        </w:tc>
        <w:tc>
          <w:tcPr>
            <w:tcW w:w="160" w:type="dxa"/>
            <w:vAlign w:val="bottom"/>
            <w:gridSpan w:val="8"/>
          </w:tcPr>
          <w:p>
            <w:pPr>
              <w:spacing w:after="0"/>
              <w:rPr>
                <w:sz w:val="15"/>
                <w:szCs w:val="15"/>
                <w:color w:val="auto"/>
              </w:rPr>
            </w:pPr>
          </w:p>
        </w:tc>
      </w:tr>
      <w:tr>
        <w:trPr>
          <w:trHeight w:val="547"/>
        </w:trPr>
        <w:tc>
          <w:tcPr>
            <w:tcW w:w="1480" w:type="dxa"/>
            <w:vAlign w:val="bottom"/>
          </w:tcPr>
          <w:p>
            <w:pPr>
              <w:spacing w:after="0"/>
              <w:rPr>
                <w:sz w:val="24"/>
                <w:szCs w:val="24"/>
                <w:color w:val="auto"/>
              </w:rPr>
            </w:pPr>
          </w:p>
        </w:tc>
        <w:tc>
          <w:tcPr>
            <w:tcW w:w="5020" w:type="dxa"/>
            <w:vAlign w:val="bottom"/>
            <w:tcBorders>
              <w:top w:val="single" w:sz="8" w:color="0000FF"/>
            </w:tcBorders>
          </w:tcPr>
          <w:p>
            <w:pPr>
              <w:ind w:left="4060"/>
              <w:spacing w:after="0"/>
              <w:rPr>
                <w:sz w:val="20"/>
                <w:szCs w:val="20"/>
                <w:color w:val="auto"/>
              </w:rPr>
            </w:pPr>
            <w:r>
              <w:rPr>
                <w:rFonts w:ascii="Times New Roman" w:cs="Times New Roman" w:eastAsia="Times New Roman" w:hAnsi="Times New Roman"/>
                <w:sz w:val="18"/>
                <w:szCs w:val="18"/>
                <w:color w:val="auto"/>
              </w:rPr>
              <w:t>77</w:t>
            </w:r>
          </w:p>
        </w:tc>
        <w:tc>
          <w:tcPr>
            <w:tcW w:w="6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74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50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20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Amended and Restated Employment Agreement, dated effective January 1, 2025, by and between Reynolds Consumer Products</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tcBorders>
            <w:gridSpan w:val="11"/>
          </w:tcPr>
          <w:p>
            <w:pPr>
              <w:spacing w:after="0" w:line="182"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Holdings LLC and Scott E. Huckins (including the Restrictive Covenant Agreement attached thereto) (incorporated herein by</w:t>
              </w:r>
            </w:hyperlink>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8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reference to Exhibit 10.3 to the Company’s Current Report on Form 8-K filed with the SEC on October 30, 2024)</w:t>
              </w:r>
            </w:hyperlink>
          </w:p>
        </w:tc>
        <w:tc>
          <w:tcPr>
            <w:tcW w:w="1540" w:type="dxa"/>
            <w:vAlign w:val="bottom"/>
            <w:tcBorders>
              <w:top w:val="single" w:sz="8" w:color="0000FF"/>
            </w:tcBorders>
            <w:gridSpan w:val="3"/>
          </w:tcPr>
          <w:p>
            <w:pPr>
              <w:spacing w:after="0"/>
              <w:rPr>
                <w:sz w:val="17"/>
                <w:szCs w:val="17"/>
                <w:color w:val="auto"/>
              </w:rPr>
            </w:pPr>
          </w:p>
        </w:tc>
        <w:tc>
          <w:tcPr>
            <w:tcW w:w="100" w:type="dxa"/>
            <w:vAlign w:val="bottom"/>
            <w:gridSpan w:val="5"/>
          </w:tcPr>
          <w:p>
            <w:pPr>
              <w:spacing w:after="0"/>
              <w:rPr>
                <w:sz w:val="17"/>
                <w:szCs w:val="17"/>
                <w:color w:val="auto"/>
              </w:rPr>
            </w:pPr>
          </w:p>
        </w:tc>
      </w:tr>
      <w:tr>
        <w:trPr>
          <w:trHeight w:val="23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820" w:type="dxa"/>
            <w:vAlign w:val="bottom"/>
            <w:gridSpan w:val="12"/>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Offer Letter, dated October 24, 2024, by and between Reynolds Consumer Products Inc. and Nathan D. Lowe (incorporated herein by</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80" w:type="dxa"/>
            <w:vAlign w:val="bottom"/>
            <w:tcBorders>
              <w:top w:val="single" w:sz="8" w:color="0000FF"/>
              <w:bottom w:val="single" w:sz="8" w:color="0000FF"/>
            </w:tcBorders>
            <w:gridSpan w:val="4"/>
          </w:tcPr>
          <w:p>
            <w:pPr>
              <w:spacing w:after="0" w:line="182"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reference to Exhibit 10.4 to the Company’s Current Report on Form 8-K filed with the SEC on October 30, 2024)</w:t>
              </w:r>
            </w:hyperlink>
          </w:p>
        </w:tc>
        <w:tc>
          <w:tcPr>
            <w:tcW w:w="158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r>
      <w:tr>
        <w:trPr>
          <w:trHeight w:val="250"/>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820" w:type="dxa"/>
            <w:vAlign w:val="bottom"/>
            <w:gridSpan w:val="12"/>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Employment Agreement, dated effective January 1, 2025, by and between Reynolds Consumer Products Holdings LLC and Nathan D.</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8"/>
          </w:tcPr>
          <w:p>
            <w:pPr>
              <w:spacing w:after="0" w:line="182"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Lowe (including the Restrictive Covenant Agreement attached thereto) (incorporated herein by reference to Exhibit 10.5 to the</w:t>
              </w:r>
            </w:hyperlink>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140">
              <w:r>
                <w:rPr>
                  <w:rFonts w:ascii="Times New Roman" w:cs="Times New Roman" w:eastAsia="Times New Roman" w:hAnsi="Times New Roman"/>
                  <w:sz w:val="18"/>
                  <w:szCs w:val="18"/>
                  <w:color w:val="0000FF"/>
                  <w:w w:val="99"/>
                </w:rPr>
                <w:t>Company’s Current Report on Form 8-K filed with the SEC on October 30, 2024)</w:t>
              </w:r>
            </w:hyperlink>
          </w:p>
        </w:tc>
        <w:tc>
          <w:tcPr>
            <w:tcW w:w="3920" w:type="dxa"/>
            <w:vAlign w:val="bottom"/>
            <w:gridSpan w:val="10"/>
          </w:tcPr>
          <w:p>
            <w:pPr>
              <w:spacing w:after="0"/>
              <w:rPr>
                <w:sz w:val="17"/>
                <w:szCs w:val="17"/>
                <w:color w:val="auto"/>
              </w:rPr>
            </w:pPr>
          </w:p>
        </w:tc>
      </w:tr>
      <w:tr>
        <w:trPr>
          <w:trHeight w:val="237"/>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820" w:type="dxa"/>
            <w:vAlign w:val="bottom"/>
            <w:gridSpan w:val="12"/>
          </w:tcPr>
          <w:p>
            <w:pPr>
              <w:spacing w:after="0"/>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Employment Agreement, dated July 29, 2019, between Reynolds Consumer Products LLC and Rachel Bishop (including the</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top w:val="single" w:sz="8" w:color="0000EE"/>
            </w:tcBorders>
            <w:gridSpan w:val="10"/>
          </w:tcPr>
          <w:p>
            <w:pPr>
              <w:spacing w:after="0" w:line="182"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Restrictive Covenant Agreement attached thereto) (incorporated herein by reference to Exhibit 10.29 to the Company’s Registration</w:t>
              </w:r>
            </w:hyperlink>
          </w:p>
        </w:tc>
        <w:tc>
          <w:tcPr>
            <w:tcW w:w="40" w:type="dxa"/>
            <w:vAlign w:val="bottom"/>
            <w:gridSpan w:val="2"/>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2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Statement on Form S-1 (File No. 333-234731) filed with the SEC on January 28, 2020)</w:t>
              </w:r>
            </w:hyperlink>
          </w:p>
        </w:tc>
        <w:tc>
          <w:tcPr>
            <w:tcW w:w="100" w:type="dxa"/>
            <w:vAlign w:val="bottom"/>
            <w:gridSpan w:val="5"/>
          </w:tcPr>
          <w:p>
            <w:pPr>
              <w:spacing w:after="0"/>
              <w:rPr>
                <w:sz w:val="17"/>
                <w:szCs w:val="17"/>
                <w:color w:val="auto"/>
              </w:rPr>
            </w:pPr>
          </w:p>
        </w:tc>
      </w:tr>
      <w:tr>
        <w:trPr>
          <w:trHeight w:val="20"/>
        </w:trPr>
        <w:tc>
          <w:tcPr>
            <w:tcW w:w="14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60" w:type="dxa"/>
            <w:vAlign w:val="bottom"/>
            <w:gridSpan w:val="2"/>
            <w:shd w:val="clear" w:color="auto" w:fill="0000EE"/>
          </w:tcPr>
          <w:p>
            <w:pPr>
              <w:spacing w:after="0" w:line="20" w:lineRule="exact"/>
              <w:rPr>
                <w:sz w:val="1"/>
                <w:szCs w:val="1"/>
                <w:color w:val="auto"/>
              </w:rPr>
            </w:pPr>
          </w:p>
        </w:tc>
        <w:tc>
          <w:tcPr>
            <w:tcW w:w="28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223"/>
        </w:trPr>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08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Amendment to Employment Agreement, dated May 31, 2022, between Reynolds Consumer Products LLC and Rachel Bishop</w:t>
              </w:r>
            </w:hyperlink>
          </w:p>
        </w:tc>
        <w:tc>
          <w:tcPr>
            <w:tcW w:w="740" w:type="dxa"/>
            <w:vAlign w:val="bottom"/>
            <w:gridSpan w:val="7"/>
          </w:tcPr>
          <w:p>
            <w:pPr>
              <w:spacing w:after="0"/>
              <w:rPr>
                <w:sz w:val="19"/>
                <w:szCs w:val="19"/>
                <w:color w:val="auto"/>
              </w:rPr>
            </w:pPr>
          </w:p>
        </w:tc>
      </w:tr>
      <w:tr>
        <w:trPr>
          <w:trHeight w:val="156"/>
        </w:trPr>
        <w:tc>
          <w:tcPr>
            <w:tcW w:w="1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20" w:type="dxa"/>
            <w:vAlign w:val="bottom"/>
            <w:gridSpan w:val="12"/>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(incorporated herein by reference to Exhibit 10.17 to the Company’s Annual Report on Form 10-K filed with the SEC on February 8,</w:t>
              </w:r>
            </w:hyperlink>
          </w:p>
        </w:tc>
      </w:tr>
      <w:tr>
        <w:trPr>
          <w:trHeight w:val="169"/>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42">
              <w:r>
                <w:rPr>
                  <w:rFonts w:ascii="Times New Roman" w:cs="Times New Roman" w:eastAsia="Times New Roman" w:hAnsi="Times New Roman"/>
                  <w:sz w:val="18"/>
                  <w:szCs w:val="18"/>
                  <w:color w:val="0000FF"/>
                  <w:w w:val="95"/>
                </w:rPr>
                <w:t>2023)</w:t>
              </w:r>
            </w:hyperlink>
          </w:p>
        </w:tc>
        <w:tc>
          <w:tcPr>
            <w:tcW w:w="548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900" w:type="dxa"/>
            <w:vAlign w:val="bottom"/>
            <w:tcBorders>
              <w:top w:val="single" w:sz="8" w:color="0000FF"/>
            </w:tcBorders>
          </w:tcPr>
          <w:p>
            <w:pPr>
              <w:spacing w:after="0"/>
              <w:rPr>
                <w:sz w:val="14"/>
                <w:szCs w:val="14"/>
                <w:color w:val="auto"/>
              </w:rPr>
            </w:pPr>
          </w:p>
        </w:tc>
        <w:tc>
          <w:tcPr>
            <w:tcW w:w="90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36"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10.23†</w:t>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10.25†</w:t>
      </w:r>
    </w:p>
    <w:p>
      <w:pPr>
        <w:spacing w:after="0" w:line="20" w:lineRule="exact"/>
        <w:rPr>
          <w:sz w:val="20"/>
          <w:szCs w:val="20"/>
          <w:color w:val="auto"/>
        </w:rPr>
      </w:pPr>
      <w:r>
        <w:rPr>
          <w:sz w:val="20"/>
          <w:szCs w:val="20"/>
          <w:color w:val="auto"/>
        </w:rPr>
        <w:br w:type="column"/>
      </w:r>
    </w:p>
    <w:p>
      <w:pPr>
        <w:jc w:val="both"/>
        <w:ind w:right="20"/>
        <w:spacing w:after="0" w:line="255" w:lineRule="auto"/>
        <w:rPr>
          <w:rFonts w:ascii="Times New Roman" w:cs="Times New Roman" w:eastAsia="Times New Roman" w:hAnsi="Times New Roman"/>
          <w:sz w:val="18"/>
          <w:szCs w:val="18"/>
          <w:u w:val="single" w:color="auto"/>
          <w:color w:val="0000EE"/>
        </w:rPr>
      </w:pPr>
      <w:hyperlink r:id="rId143">
        <w:r>
          <w:rPr>
            <w:rFonts w:ascii="Times New Roman" w:cs="Times New Roman" w:eastAsia="Times New Roman" w:hAnsi="Times New Roman"/>
            <w:sz w:val="18"/>
            <w:szCs w:val="18"/>
            <w:u w:val="single" w:color="auto"/>
            <w:color w:val="0000EE"/>
          </w:rPr>
          <w:t>Employment Agreement, dated July 8, 2019, between Reynolds Consumer Products LLC and Judith Buckner (including the</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Restrictive Covenant Agreement attached thereto) (incorporated herein by reference to Exhibit 10.14 to the Company’s Annual Report</w:t>
        </w:r>
      </w:hyperlink>
      <w:r>
        <w:rPr>
          <w:rFonts w:ascii="Times New Roman" w:cs="Times New Roman" w:eastAsia="Times New Roman" w:hAnsi="Times New Roman"/>
          <w:sz w:val="18"/>
          <w:szCs w:val="18"/>
          <w:u w:val="single" w:color="auto"/>
          <w:color w:val="0000EE"/>
        </w:rPr>
        <w:t xml:space="preserve"> </w:t>
      </w:r>
      <w:hyperlink r:id="rId143">
        <w:r>
          <w:rPr>
            <w:rFonts w:ascii="Times New Roman" w:cs="Times New Roman" w:eastAsia="Times New Roman" w:hAnsi="Times New Roman"/>
            <w:sz w:val="18"/>
            <w:szCs w:val="18"/>
            <w:u w:val="single" w:color="auto"/>
            <w:color w:val="0000EE"/>
          </w:rPr>
          <w:t>on Form 10-K filed with the SEC on February 9, 2022)</w:t>
        </w:r>
      </w:hyperlink>
    </w:p>
    <w:p>
      <w:pPr>
        <w:spacing w:after="0" w:line="2" w:lineRule="exact"/>
        <w:rPr>
          <w:rFonts w:ascii="Times New Roman" w:cs="Times New Roman" w:eastAsia="Times New Roman" w:hAnsi="Times New Roman"/>
          <w:sz w:val="18"/>
          <w:szCs w:val="18"/>
          <w:u w:val="single" w:color="auto"/>
          <w:color w:val="0000EE"/>
        </w:rPr>
      </w:pPr>
    </w:p>
    <w:p>
      <w:pPr>
        <w:ind w:right="180"/>
        <w:spacing w:after="0" w:line="236" w:lineRule="auto"/>
        <w:rPr>
          <w:rFonts w:ascii="Times New Roman" w:cs="Times New Roman" w:eastAsia="Times New Roman" w:hAnsi="Times New Roman"/>
          <w:sz w:val="17"/>
          <w:szCs w:val="17"/>
          <w:u w:val="single" w:color="auto"/>
          <w:color w:val="0000FF"/>
        </w:rPr>
      </w:pPr>
      <w:hyperlink r:id="rId144">
        <w:r>
          <w:rPr>
            <w:rFonts w:ascii="Times New Roman" w:cs="Times New Roman" w:eastAsia="Times New Roman" w:hAnsi="Times New Roman"/>
            <w:sz w:val="17"/>
            <w:szCs w:val="17"/>
            <w:u w:val="single" w:color="auto"/>
            <w:color w:val="0000FF"/>
          </w:rPr>
          <w:t>Amendment to Employment Agreement, dated May 31, 2022, between Reynolds Consumer Products LLC and Judith Buckner</w:t>
        </w:r>
      </w:hyperlink>
      <w:r>
        <w:rPr>
          <w:rFonts w:ascii="Times New Roman" w:cs="Times New Roman" w:eastAsia="Times New Roman" w:hAnsi="Times New Roman"/>
          <w:sz w:val="17"/>
          <w:szCs w:val="17"/>
          <w:u w:val="single" w:color="auto"/>
          <w:color w:val="0000FF"/>
        </w:rPr>
        <w:t xml:space="preserve"> </w:t>
      </w:r>
      <w:hyperlink r:id="rId144">
        <w:r>
          <w:rPr>
            <w:rFonts w:ascii="Times New Roman" w:cs="Times New Roman" w:eastAsia="Times New Roman" w:hAnsi="Times New Roman"/>
            <w:sz w:val="17"/>
            <w:szCs w:val="17"/>
            <w:u w:val="single" w:color="auto"/>
            <w:color w:val="0000FF"/>
          </w:rPr>
          <w:t>(incorporated herein by reference to Exhibit 10.18 to the Company’s Annual Report on Form 10-K filed with the SEC on February 8,</w:t>
        </w:r>
      </w:hyperlink>
    </w:p>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2023)</w:t>
        </w:r>
      </w:hyperlink>
    </w:p>
    <w:p>
      <w:pPr>
        <w:spacing w:after="0" w:line="7" w:lineRule="exact"/>
        <w:rPr>
          <w:sz w:val="20"/>
          <w:szCs w:val="20"/>
          <w:color w:val="auto"/>
        </w:rPr>
      </w:pPr>
    </w:p>
    <w:p>
      <w:pPr>
        <w:ind w:right="80"/>
        <w:spacing w:after="0" w:line="233" w:lineRule="auto"/>
        <w:rPr>
          <w:rFonts w:ascii="Times New Roman" w:cs="Times New Roman" w:eastAsia="Times New Roman" w:hAnsi="Times New Roman"/>
          <w:sz w:val="17"/>
          <w:szCs w:val="17"/>
          <w:u w:val="single" w:color="auto"/>
          <w:color w:val="0000FF"/>
        </w:rPr>
      </w:pPr>
      <w:hyperlink r:id="rId145">
        <w:r>
          <w:rPr>
            <w:rFonts w:ascii="Times New Roman" w:cs="Times New Roman" w:eastAsia="Times New Roman" w:hAnsi="Times New Roman"/>
            <w:sz w:val="17"/>
            <w:szCs w:val="17"/>
            <w:u w:val="single" w:color="auto"/>
            <w:color w:val="0000FF"/>
          </w:rPr>
          <w:t>Employment Agreement, dated February 28, 2022, between Reynolds Consumer Products LLC and Lisa Smith (including the</w:t>
        </w:r>
      </w:hyperlink>
      <w:r>
        <w:rPr>
          <w:rFonts w:ascii="Times New Roman" w:cs="Times New Roman" w:eastAsia="Times New Roman" w:hAnsi="Times New Roman"/>
          <w:sz w:val="17"/>
          <w:szCs w:val="17"/>
          <w:u w:val="single" w:color="auto"/>
          <w:color w:val="0000FF"/>
        </w:rPr>
        <w:t xml:space="preserve"> </w:t>
      </w:r>
      <w:hyperlink r:id="rId145">
        <w:r>
          <w:rPr>
            <w:rFonts w:ascii="Times New Roman" w:cs="Times New Roman" w:eastAsia="Times New Roman" w:hAnsi="Times New Roman"/>
            <w:sz w:val="17"/>
            <w:szCs w:val="17"/>
            <w:u w:val="single" w:color="auto"/>
            <w:color w:val="0000FF"/>
          </w:rPr>
          <w:t>Restrictive Covenant Agreement attached thereto) (incorporated herein by reference to Exhibit 10.14 to the Company’s Annual Report</w:t>
        </w:r>
      </w:hyperlink>
    </w:p>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on Form 10-K filed with the SEC on February 8, 2023)</w:t>
        </w:r>
      </w:hyperlink>
    </w:p>
    <w:p>
      <w:pPr>
        <w:spacing w:after="0" w:line="3" w:lineRule="exact"/>
        <w:rPr>
          <w:sz w:val="20"/>
          <w:szCs w:val="20"/>
          <w:color w:val="auto"/>
        </w:rPr>
      </w:pPr>
    </w:p>
    <w:p>
      <w:pPr>
        <w:sectPr>
          <w:pgSz w:w="11900" w:h="16838" w:orient="portrait"/>
          <w:cols w:equalWidth="0" w:num="2">
            <w:col w:w="760" w:space="720"/>
            <w:col w:w="976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10.26*†</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Employment Agreement, dated February 1, 2022, between Reynolds Consumer Products LLC and Steve Estes (including the</w:t>
            </w:r>
          </w:p>
        </w:tc>
      </w:tr>
      <w:tr>
        <w:trPr>
          <w:trHeight w:val="183"/>
        </w:trPr>
        <w:tc>
          <w:tcPr>
            <w:tcW w:w="1480" w:type="dxa"/>
            <w:vAlign w:val="bottom"/>
          </w:tcPr>
          <w:p>
            <w:pPr>
              <w:spacing w:after="0"/>
              <w:rPr>
                <w:sz w:val="15"/>
                <w:szCs w:val="15"/>
                <w:color w:val="auto"/>
              </w:rPr>
            </w:pPr>
          </w:p>
        </w:tc>
        <w:tc>
          <w:tcPr>
            <w:tcW w:w="982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Restrictive Covenant Agreement attached thereto)</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10.27†</w:t>
            </w:r>
          </w:p>
        </w:tc>
        <w:tc>
          <w:tcPr>
            <w:tcW w:w="9860" w:type="dxa"/>
            <w:vAlign w:val="bottom"/>
            <w:gridSpan w:val="19"/>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Form of Assignment and Assumption Agreement for Employment Agreements, and Form of Assignment and Assumption Agreement</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for Restrictive Covenant Agreement, each by and among Reynolds Consumer Products LLC, Reynolds Consumer Products Holdings</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LLC, and Lance Mitchell, Scott Huckins, Rachel Bishop, Judith Buckner, Lisa Smith and Steve Estes (incorporated herein by</w:t>
              </w:r>
            </w:hyperlink>
          </w:p>
        </w:tc>
      </w:tr>
      <w:tr>
        <w:trPr>
          <w:trHeight w:val="183"/>
        </w:trPr>
        <w:tc>
          <w:tcPr>
            <w:tcW w:w="1480" w:type="dxa"/>
            <w:vAlign w:val="bottom"/>
          </w:tcPr>
          <w:p>
            <w:pPr>
              <w:spacing w:after="0"/>
              <w:rPr>
                <w:sz w:val="15"/>
                <w:szCs w:val="15"/>
                <w:color w:val="auto"/>
              </w:rPr>
            </w:pPr>
          </w:p>
        </w:tc>
        <w:tc>
          <w:tcPr>
            <w:tcW w:w="9780" w:type="dxa"/>
            <w:vAlign w:val="bottom"/>
            <w:tcBorders>
              <w:top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reference to Exhibit 10.1 to the Company’s Quarterly Report on Form 10-Q filed with the SEC on May 8, 2024)</w:t>
              </w:r>
            </w:hyperlink>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48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10.28</w:t>
            </w:r>
          </w:p>
        </w:tc>
        <w:tc>
          <w:tcPr>
            <w:tcW w:w="9860" w:type="dxa"/>
            <w:vAlign w:val="bottom"/>
            <w:gridSpan w:val="19"/>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Master Supply Agreement, dated November 1, 2019, between Reynolds Consumer Products LLC, as Seller, and Pactiv LLC, as Buyer</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(incorporated herein by reference to Exhibit 10.18 to the Company’s Registration Statement on Form S-1 (File No. 333-234731) filed</w:t>
              </w:r>
            </w:hyperlink>
          </w:p>
        </w:tc>
        <w:tc>
          <w:tcPr>
            <w:tcW w:w="100" w:type="dxa"/>
            <w:vAlign w:val="bottom"/>
            <w:tcBorders>
              <w:top w:val="single" w:sz="8" w:color="0000EE"/>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with the SEC on November 15, 2019)</w:t>
              </w:r>
            </w:hyperlink>
          </w:p>
        </w:tc>
      </w:tr>
      <w:tr>
        <w:trPr>
          <w:trHeight w:val="20"/>
        </w:trPr>
        <w:tc>
          <w:tcPr>
            <w:tcW w:w="14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10.29</w:t>
            </w:r>
          </w:p>
        </w:tc>
        <w:tc>
          <w:tcPr>
            <w:tcW w:w="9860" w:type="dxa"/>
            <w:vAlign w:val="bottom"/>
            <w:gridSpan w:val="19"/>
          </w:tcPr>
          <w:p>
            <w:pPr>
              <w:spacing w:after="0"/>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Amendment No. 1, dated January 15, 2022, and Amendment No. 2, dated March 31, 2023, to the Master Supply Agreement between</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Reynolds Consumer Products LLC, as seller, and Pactiv LLC, as buyer (incorporated herein by reference to Exhibit 10.2 to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58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Company’s Quarterly Report on Form 10-Q filed with the SEC on May 10, 2023)</w:t>
              </w:r>
            </w:hyperlink>
          </w:p>
        </w:tc>
        <w:tc>
          <w:tcPr>
            <w:tcW w:w="3980" w:type="dxa"/>
            <w:vAlign w:val="bottom"/>
            <w:gridSpan w:val="13"/>
          </w:tcPr>
          <w:p>
            <w:pPr>
              <w:spacing w:after="0"/>
              <w:rPr>
                <w:sz w:val="17"/>
                <w:szCs w:val="17"/>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9860" w:type="dxa"/>
            <w:vAlign w:val="bottom"/>
            <w:gridSpan w:val="19"/>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Master Supply Agreement, dated November 1, 2019, between Pactiv LLC, as Seller, and Reynolds Consumer Products LLC, as Buyer</w:t>
              </w:r>
            </w:hyperlink>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(incorporated herein by reference to Exhibit 10.19 to the Company’s Registration Statement on Form S-1 (File No. 333-234731) filed</w:t>
              </w:r>
            </w:hyperlink>
          </w:p>
        </w:tc>
        <w:tc>
          <w:tcPr>
            <w:tcW w:w="80" w:type="dxa"/>
            <w:vAlign w:val="bottom"/>
            <w:tcBorders>
              <w:top w:val="single" w:sz="8" w:color="0000EE"/>
            </w:tcBorders>
            <w:gridSpan w:val="4"/>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with the SEC on November 15, 2019)</w:t>
              </w:r>
            </w:hyperlink>
          </w:p>
        </w:tc>
      </w:tr>
      <w:tr>
        <w:trPr>
          <w:trHeight w:val="20"/>
        </w:trPr>
        <w:tc>
          <w:tcPr>
            <w:tcW w:w="14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36"/>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9860" w:type="dxa"/>
            <w:vAlign w:val="bottom"/>
            <w:gridSpan w:val="19"/>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Amendment No. 1, dated January 15, 2022, and Amendment No. 2, dated March 31, 2023, to the Master Supply Agreement between</w:t>
              </w:r>
            </w:hyperlink>
          </w:p>
        </w:tc>
      </w:tr>
      <w:tr>
        <w:trPr>
          <w:trHeight w:val="183"/>
        </w:trPr>
        <w:tc>
          <w:tcPr>
            <w:tcW w:w="1480" w:type="dxa"/>
            <w:vAlign w:val="bottom"/>
          </w:tcPr>
          <w:p>
            <w:pPr>
              <w:spacing w:after="0"/>
              <w:rPr>
                <w:sz w:val="15"/>
                <w:szCs w:val="15"/>
                <w:color w:val="auto"/>
              </w:rPr>
            </w:pPr>
          </w:p>
        </w:tc>
        <w:tc>
          <w:tcPr>
            <w:tcW w:w="9740" w:type="dxa"/>
            <w:vAlign w:val="bottom"/>
            <w:tcBorders>
              <w:top w:val="single" w:sz="8" w:color="0000FF"/>
              <w:bottom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Pactiv LLC, as seller, and Reynolds Consumer Products LLC, as buyer (incorporated herein by reference to Exhibit 10.3 to the</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58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Company’s Quarterly Report on Form 10-Q filed with the SEC on May 10, 2023)</w:t>
              </w:r>
            </w:hyperlink>
          </w:p>
        </w:tc>
        <w:tc>
          <w:tcPr>
            <w:tcW w:w="3980" w:type="dxa"/>
            <w:vAlign w:val="bottom"/>
            <w:gridSpan w:val="13"/>
          </w:tcPr>
          <w:p>
            <w:pPr>
              <w:spacing w:after="0"/>
              <w:rPr>
                <w:sz w:val="17"/>
                <w:szCs w:val="17"/>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98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Amendment No. 3, dated December 3, 2024, to the Master Supply Agreement between Pactiv LLC, as seller, and Reynolds Consumer</w:t>
            </w:r>
          </w:p>
        </w:tc>
      </w:tr>
      <w:tr>
        <w:trPr>
          <w:trHeight w:val="155"/>
        </w:trPr>
        <w:tc>
          <w:tcPr>
            <w:tcW w:w="1480" w:type="dxa"/>
            <w:vAlign w:val="bottom"/>
          </w:tcPr>
          <w:p>
            <w:pPr>
              <w:spacing w:after="0"/>
              <w:rPr>
                <w:sz w:val="13"/>
                <w:szCs w:val="13"/>
                <w:color w:val="auto"/>
              </w:rPr>
            </w:pPr>
          </w:p>
        </w:tc>
        <w:tc>
          <w:tcPr>
            <w:tcW w:w="1700" w:type="dxa"/>
            <w:vAlign w:val="bottom"/>
            <w:tcBorders>
              <w:top w:val="single" w:sz="8" w:color="0000EE"/>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EE"/>
                <w:w w:val="98"/>
              </w:rPr>
              <w:t>Products LLC, as buyer</w:t>
            </w:r>
          </w:p>
        </w:tc>
        <w:tc>
          <w:tcPr>
            <w:tcW w:w="7980" w:type="dxa"/>
            <w:vAlign w:val="bottom"/>
            <w:tcBorders>
              <w:top w:val="single" w:sz="8" w:color="0000EE"/>
            </w:tcBorders>
            <w:gridSpan w:val="9"/>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10.33</w:t>
            </w:r>
          </w:p>
        </w:tc>
        <w:tc>
          <w:tcPr>
            <w:tcW w:w="9860" w:type="dxa"/>
            <w:vAlign w:val="bottom"/>
            <w:gridSpan w:val="19"/>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Warehousing and Freight Services Agreement, dated November 1, 2019, between Pactiv LLC and Reynolds Consumer Products LLC</w:t>
              </w:r>
            </w:hyperlink>
          </w:p>
        </w:tc>
      </w:tr>
      <w:tr>
        <w:trPr>
          <w:trHeight w:val="182"/>
        </w:trPr>
        <w:tc>
          <w:tcPr>
            <w:tcW w:w="1480" w:type="dxa"/>
            <w:vAlign w:val="bottom"/>
          </w:tcPr>
          <w:p>
            <w:pPr>
              <w:spacing w:after="0"/>
              <w:rPr>
                <w:sz w:val="15"/>
                <w:szCs w:val="15"/>
                <w:color w:val="auto"/>
              </w:rPr>
            </w:pPr>
          </w:p>
        </w:tc>
        <w:tc>
          <w:tcPr>
            <w:tcW w:w="972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(incorporated herein by reference to Exhibit 10.20 to the Company’s Registration Statement on Form S-1 (File No. 333-234731) filed</w:t>
              </w:r>
            </w:hyperlink>
          </w:p>
        </w:tc>
        <w:tc>
          <w:tcPr>
            <w:tcW w:w="40" w:type="dxa"/>
            <w:vAlign w:val="bottom"/>
            <w:tcBorders>
              <w:bottom w:val="single" w:sz="8" w:color="0000EE"/>
            </w:tcBorders>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9860" w:type="dxa"/>
            <w:vAlign w:val="bottom"/>
            <w:gridSpan w:val="19"/>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with the SEC on November 15, 2019)</w:t>
              </w:r>
            </w:hyperlink>
          </w:p>
        </w:tc>
      </w:tr>
      <w:tr>
        <w:trPr>
          <w:trHeight w:val="20"/>
        </w:trPr>
        <w:tc>
          <w:tcPr>
            <w:tcW w:w="148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10.34</w:t>
            </w:r>
          </w:p>
        </w:tc>
        <w:tc>
          <w:tcPr>
            <w:tcW w:w="9860" w:type="dxa"/>
            <w:vAlign w:val="bottom"/>
            <w:gridSpan w:val="19"/>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Amendment No. 1, dated November 16, 2021, Amendment No. 2, dated May 12, 2022, and Amendment No. 3, dated April 18, 2024,</w:t>
              </w:r>
            </w:hyperlink>
          </w:p>
        </w:tc>
      </w:tr>
      <w:tr>
        <w:trPr>
          <w:trHeight w:val="155"/>
        </w:trPr>
        <w:tc>
          <w:tcPr>
            <w:tcW w:w="1480" w:type="dxa"/>
            <w:vAlign w:val="bottom"/>
          </w:tcPr>
          <w:p>
            <w:pPr>
              <w:spacing w:after="0"/>
              <w:rPr>
                <w:sz w:val="13"/>
                <w:szCs w:val="13"/>
                <w:color w:val="auto"/>
              </w:rPr>
            </w:pPr>
          </w:p>
        </w:tc>
        <w:tc>
          <w:tcPr>
            <w:tcW w:w="9600" w:type="dxa"/>
            <w:vAlign w:val="bottom"/>
            <w:tcBorders>
              <w:top w:val="single" w:sz="8" w:color="0000EE"/>
              <w:bottom w:val="single" w:sz="8" w:color="0000EE"/>
            </w:tcBorders>
            <w:gridSpan w:val="9"/>
          </w:tcPr>
          <w:p>
            <w:pPr>
              <w:spacing w:after="0" w:line="156" w:lineRule="exact"/>
              <w:rPr>
                <w:rFonts w:ascii="Times New Roman" w:cs="Times New Roman" w:eastAsia="Times New Roman" w:hAnsi="Times New Roman"/>
                <w:sz w:val="18"/>
                <w:szCs w:val="18"/>
                <w:color w:val="0000EE"/>
                <w:w w:val="98"/>
              </w:rPr>
            </w:pPr>
            <w:hyperlink r:id="rId152">
              <w:r>
                <w:rPr>
                  <w:rFonts w:ascii="Times New Roman" w:cs="Times New Roman" w:eastAsia="Times New Roman" w:hAnsi="Times New Roman"/>
                  <w:sz w:val="18"/>
                  <w:szCs w:val="18"/>
                  <w:color w:val="0000EE"/>
                  <w:w w:val="98"/>
                </w:rPr>
                <w:t>to the Warehousing and Freight Services Agreement between Pactiv LLC and Reynolds Consumer Products LLC (incorporated herein</w:t>
              </w:r>
            </w:hyperlink>
          </w:p>
        </w:tc>
        <w:tc>
          <w:tcPr>
            <w:tcW w:w="60" w:type="dxa"/>
            <w:vAlign w:val="bottom"/>
            <w:tcBorders>
              <w:bottom w:val="single" w:sz="8" w:color="0000EE"/>
            </w:tcBorders>
          </w:tcPr>
          <w:p>
            <w:pPr>
              <w:spacing w:after="0"/>
              <w:rPr>
                <w:sz w:val="13"/>
                <w:szCs w:val="13"/>
                <w:color w:val="auto"/>
              </w:rPr>
            </w:pPr>
          </w:p>
        </w:tc>
        <w:tc>
          <w:tcPr>
            <w:tcW w:w="10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9"/>
        </w:trPr>
        <w:tc>
          <w:tcPr>
            <w:tcW w:w="1480" w:type="dxa"/>
            <w:vAlign w:val="bottom"/>
          </w:tcPr>
          <w:p>
            <w:pPr>
              <w:spacing w:after="0"/>
              <w:rPr>
                <w:sz w:val="14"/>
                <w:szCs w:val="14"/>
                <w:color w:val="auto"/>
              </w:rPr>
            </w:pPr>
          </w:p>
        </w:tc>
        <w:tc>
          <w:tcPr>
            <w:tcW w:w="8220" w:type="dxa"/>
            <w:vAlign w:val="bottom"/>
            <w:tcBorders>
              <w:bottom w:val="single" w:sz="8" w:color="0000EE"/>
            </w:tcBorders>
            <w:gridSpan w:val="8"/>
          </w:tcPr>
          <w:p>
            <w:pPr>
              <w:spacing w:after="0" w:line="169" w:lineRule="exact"/>
              <w:rPr>
                <w:rFonts w:ascii="Times New Roman" w:cs="Times New Roman" w:eastAsia="Times New Roman" w:hAnsi="Times New Roman"/>
                <w:sz w:val="18"/>
                <w:szCs w:val="18"/>
                <w:color w:val="0000EE"/>
                <w:w w:val="99"/>
              </w:rPr>
            </w:pPr>
            <w:hyperlink r:id="rId152">
              <w:r>
                <w:rPr>
                  <w:rFonts w:ascii="Times New Roman" w:cs="Times New Roman" w:eastAsia="Times New Roman" w:hAnsi="Times New Roman"/>
                  <w:sz w:val="18"/>
                  <w:szCs w:val="18"/>
                  <w:color w:val="0000EE"/>
                  <w:w w:val="99"/>
                </w:rPr>
                <w:t>by reference to Exhibit 10.1 to Company’s Quarterly Report on Form 10-Q filed with the SEC on August 7, 2024)</w:t>
              </w:r>
            </w:hyperlink>
          </w:p>
        </w:tc>
        <w:tc>
          <w:tcPr>
            <w:tcW w:w="1440" w:type="dxa"/>
            <w:vAlign w:val="bottom"/>
            <w:gridSpan w:val="2"/>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23"/>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10.35</w:t>
            </w:r>
          </w:p>
        </w:tc>
        <w:tc>
          <w:tcPr>
            <w:tcW w:w="9860" w:type="dxa"/>
            <w:vAlign w:val="bottom"/>
            <w:gridSpan w:val="19"/>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Amended and Restated Lease Agreement, dated January 1, 2020, between Pactiv LLC and Reynolds Consumer Products LLC</w:t>
              </w:r>
            </w:hyperlink>
          </w:p>
        </w:tc>
      </w:tr>
      <w:tr>
        <w:trPr>
          <w:trHeight w:val="183"/>
        </w:trPr>
        <w:tc>
          <w:tcPr>
            <w:tcW w:w="1480" w:type="dxa"/>
            <w:vAlign w:val="bottom"/>
          </w:tcPr>
          <w:p>
            <w:pPr>
              <w:spacing w:after="0"/>
              <w:rPr>
                <w:sz w:val="15"/>
                <w:szCs w:val="15"/>
                <w:color w:val="auto"/>
              </w:rPr>
            </w:pPr>
          </w:p>
        </w:tc>
        <w:tc>
          <w:tcPr>
            <w:tcW w:w="976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(incorporated herein by reference to Exhibit 10.23 to the Company’s Registration Statement on Form S-1 filed with the SEC on</w:t>
              </w:r>
            </w:hyperlink>
          </w:p>
        </w:tc>
        <w:tc>
          <w:tcPr>
            <w:tcW w:w="40" w:type="dxa"/>
            <w:vAlign w:val="bottom"/>
            <w:tcBorders>
              <w:bottom w:val="single" w:sz="8" w:color="0000EE"/>
            </w:tcBorders>
            <w:gridSpan w:val="2"/>
          </w:tcPr>
          <w:p>
            <w:pPr>
              <w:spacing w:after="0"/>
              <w:rPr>
                <w:sz w:val="15"/>
                <w:szCs w:val="15"/>
                <w:color w:val="auto"/>
              </w:rPr>
            </w:pPr>
          </w:p>
        </w:tc>
        <w:tc>
          <w:tcPr>
            <w:tcW w:w="60" w:type="dxa"/>
            <w:vAlign w:val="bottom"/>
            <w:tcBorders>
              <w:bottom w:val="single" w:sz="8" w:color="0000EE"/>
            </w:tcBorders>
            <w:gridSpan w:val="3"/>
          </w:tcPr>
          <w:p>
            <w:pPr>
              <w:spacing w:after="0"/>
              <w:rPr>
                <w:sz w:val="15"/>
                <w:szCs w:val="15"/>
                <w:color w:val="auto"/>
              </w:rPr>
            </w:pPr>
          </w:p>
        </w:tc>
      </w:tr>
      <w:tr>
        <w:trPr>
          <w:trHeight w:val="196"/>
        </w:trPr>
        <w:tc>
          <w:tcPr>
            <w:tcW w:w="1480" w:type="dxa"/>
            <w:vAlign w:val="bottom"/>
          </w:tcPr>
          <w:p>
            <w:pPr>
              <w:spacing w:after="0"/>
              <w:rPr>
                <w:sz w:val="17"/>
                <w:szCs w:val="17"/>
                <w:color w:val="auto"/>
              </w:rPr>
            </w:pPr>
          </w:p>
        </w:tc>
        <w:tc>
          <w:tcPr>
            <w:tcW w:w="13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53">
              <w:r>
                <w:rPr>
                  <w:rFonts w:ascii="Times New Roman" w:cs="Times New Roman" w:eastAsia="Times New Roman" w:hAnsi="Times New Roman"/>
                  <w:sz w:val="18"/>
                  <w:szCs w:val="18"/>
                  <w:color w:val="0000EE"/>
                  <w:w w:val="98"/>
                </w:rPr>
                <w:t>January 21, 2020)</w:t>
              </w:r>
            </w:hyperlink>
          </w:p>
        </w:tc>
        <w:tc>
          <w:tcPr>
            <w:tcW w:w="8560" w:type="dxa"/>
            <w:vAlign w:val="bottom"/>
            <w:gridSpan w:val="18"/>
          </w:tcPr>
          <w:p>
            <w:pPr>
              <w:spacing w:after="0"/>
              <w:rPr>
                <w:sz w:val="17"/>
                <w:szCs w:val="17"/>
                <w:color w:val="auto"/>
              </w:rPr>
            </w:pPr>
          </w:p>
        </w:tc>
      </w:tr>
      <w:tr>
        <w:trPr>
          <w:trHeight w:val="237"/>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10.36</w:t>
            </w:r>
          </w:p>
        </w:tc>
        <w:tc>
          <w:tcPr>
            <w:tcW w:w="9860" w:type="dxa"/>
            <w:vAlign w:val="bottom"/>
            <w:gridSpan w:val="19"/>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Tax Matters Agreement, dated February 4, 2020 (incorporated herein by reference to Exhibit 10.3 to the Company’s Current Report on</w:t>
              </w:r>
            </w:hyperlink>
          </w:p>
        </w:tc>
      </w:tr>
      <w:tr>
        <w:trPr>
          <w:trHeight w:val="183"/>
        </w:trPr>
        <w:tc>
          <w:tcPr>
            <w:tcW w:w="1480" w:type="dxa"/>
            <w:vAlign w:val="bottom"/>
          </w:tcPr>
          <w:p>
            <w:pPr>
              <w:spacing w:after="0"/>
              <w:rPr>
                <w:sz w:val="15"/>
                <w:szCs w:val="15"/>
                <w:color w:val="auto"/>
              </w:rPr>
            </w:pPr>
          </w:p>
        </w:tc>
        <w:tc>
          <w:tcPr>
            <w:tcW w:w="3660" w:type="dxa"/>
            <w:vAlign w:val="bottom"/>
            <w:tcBorders>
              <w:top w:val="single" w:sz="8" w:color="0000EE"/>
              <w:bottom w:val="single" w:sz="8" w:color="0000EE"/>
            </w:tcBorders>
            <w:gridSpan w:val="5"/>
          </w:tcPr>
          <w:p>
            <w:pPr>
              <w:spacing w:after="0" w:line="182" w:lineRule="exact"/>
              <w:rPr>
                <w:rFonts w:ascii="Times New Roman" w:cs="Times New Roman" w:eastAsia="Times New Roman" w:hAnsi="Times New Roman"/>
                <w:sz w:val="18"/>
                <w:szCs w:val="18"/>
                <w:color w:val="0000EE"/>
                <w:w w:val="99"/>
              </w:rPr>
            </w:pPr>
            <w:hyperlink r:id="rId154">
              <w:r>
                <w:rPr>
                  <w:rFonts w:ascii="Times New Roman" w:cs="Times New Roman" w:eastAsia="Times New Roman" w:hAnsi="Times New Roman"/>
                  <w:sz w:val="18"/>
                  <w:szCs w:val="18"/>
                  <w:color w:val="0000EE"/>
                  <w:w w:val="99"/>
                </w:rPr>
                <w:t>Form 8-K filed with the SEC on February 4, 2020)</w:t>
              </w:r>
            </w:hyperlink>
          </w:p>
        </w:tc>
        <w:tc>
          <w:tcPr>
            <w:tcW w:w="6140" w:type="dxa"/>
            <w:vAlign w:val="bottom"/>
            <w:tcBorders>
              <w:top w:val="single" w:sz="8" w:color="0000EE"/>
            </w:tcBorders>
            <w:gridSpan w:val="11"/>
          </w:tcPr>
          <w:p>
            <w:pPr>
              <w:spacing w:after="0"/>
              <w:rPr>
                <w:sz w:val="15"/>
                <w:szCs w:val="15"/>
                <w:color w:val="auto"/>
              </w:rPr>
            </w:pPr>
          </w:p>
        </w:tc>
        <w:tc>
          <w:tcPr>
            <w:tcW w:w="60" w:type="dxa"/>
            <w:vAlign w:val="bottom"/>
            <w:gridSpan w:val="3"/>
          </w:tcPr>
          <w:p>
            <w:pPr>
              <w:spacing w:after="0"/>
              <w:rPr>
                <w:sz w:val="15"/>
                <w:szCs w:val="15"/>
                <w:color w:val="auto"/>
              </w:rPr>
            </w:pPr>
          </w:p>
        </w:tc>
      </w:tr>
      <w:tr>
        <w:trPr>
          <w:trHeight w:val="547"/>
        </w:trPr>
        <w:tc>
          <w:tcPr>
            <w:tcW w:w="1480" w:type="dxa"/>
            <w:vAlign w:val="bottom"/>
          </w:tcPr>
          <w:p>
            <w:pPr>
              <w:spacing w:after="0"/>
              <w:rPr>
                <w:sz w:val="24"/>
                <w:szCs w:val="24"/>
                <w:color w:val="auto"/>
              </w:rPr>
            </w:pPr>
          </w:p>
        </w:tc>
        <w:tc>
          <w:tcPr>
            <w:tcW w:w="5880" w:type="dxa"/>
            <w:vAlign w:val="bottom"/>
            <w:gridSpan w:val="6"/>
          </w:tcPr>
          <w:p>
            <w:pPr>
              <w:ind w:left="4060"/>
              <w:spacing w:after="0"/>
              <w:rPr>
                <w:sz w:val="20"/>
                <w:szCs w:val="20"/>
                <w:color w:val="auto"/>
              </w:rPr>
            </w:pPr>
            <w:r>
              <w:rPr>
                <w:rFonts w:ascii="Times New Roman" w:cs="Times New Roman" w:eastAsia="Times New Roman" w:hAnsi="Times New Roman"/>
                <w:sz w:val="18"/>
                <w:szCs w:val="18"/>
                <w:color w:val="auto"/>
              </w:rPr>
              <w:t>78</w:t>
            </w: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8"/>
        </w:trPr>
        <w:tc>
          <w:tcPr>
            <w:tcW w:w="128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8"/>
                <w:szCs w:val="18"/>
                <w:color w:val="auto"/>
              </w:rPr>
              <w:t>10.37</w:t>
            </w:r>
          </w:p>
        </w:tc>
        <w:tc>
          <w:tcPr>
            <w:tcW w:w="200" w:type="dxa"/>
            <w:vAlign w:val="bottom"/>
          </w:tcPr>
          <w:p>
            <w:pPr>
              <w:spacing w:after="0"/>
              <w:rPr>
                <w:sz w:val="24"/>
                <w:szCs w:val="24"/>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Registration Rights Agreement, dated February 4, 2020, between Packaging Finance Limited and Reynolds Consumer Products Inc.</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tcBorders>
              <w:top w:val="single" w:sz="8" w:color="0000EE"/>
              <w:bottom w:val="single" w:sz="8" w:color="0000EE"/>
            </w:tcBorders>
            <w:gridSpan w:val="14"/>
          </w:tcPr>
          <w:p>
            <w:pPr>
              <w:spacing w:after="0" w:line="182" w:lineRule="exact"/>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(incorporated herein by reference to Exhibit 10.1 to the Company’s Current Report on Form 8-K filed with the SEC on February 4,</w:t>
              </w:r>
            </w:hyperlink>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7">
              <w:r>
                <w:rPr>
                  <w:rFonts w:ascii="Times New Roman" w:cs="Times New Roman" w:eastAsia="Times New Roman" w:hAnsi="Times New Roman"/>
                  <w:sz w:val="18"/>
                  <w:szCs w:val="18"/>
                  <w:color w:val="0000EE"/>
                  <w:w w:val="95"/>
                </w:rPr>
                <w:t>2020)</w:t>
              </w:r>
            </w:hyperlink>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10.38</w:t>
            </w:r>
          </w:p>
        </w:tc>
        <w:tc>
          <w:tcPr>
            <w:tcW w:w="200" w:type="dxa"/>
            <w:vAlign w:val="bottom"/>
          </w:tcPr>
          <w:p>
            <w:pPr>
              <w:spacing w:after="0"/>
              <w:rPr>
                <w:sz w:val="20"/>
                <w:szCs w:val="20"/>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Stockholders Agreement dated February 4, 2020, between Packaging Finance Limited and Reynolds Consumer Products Inc.</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60" w:type="dxa"/>
            <w:vAlign w:val="bottom"/>
            <w:tcBorders>
              <w:top w:val="single" w:sz="8" w:color="0000EE"/>
            </w:tcBorders>
            <w:gridSpan w:val="13"/>
          </w:tcPr>
          <w:p>
            <w:pPr>
              <w:spacing w:after="0" w:line="182"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(incorporated herein by reference to Exhibit 10.2 to the Company’s Current Report on Form 8-K filed with the SEC on February 4,</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5"/>
              </w:rPr>
            </w:pPr>
            <w:hyperlink r:id="rId158">
              <w:r>
                <w:rPr>
                  <w:rFonts w:ascii="Times New Roman" w:cs="Times New Roman" w:eastAsia="Times New Roman" w:hAnsi="Times New Roman"/>
                  <w:sz w:val="18"/>
                  <w:szCs w:val="18"/>
                  <w:color w:val="0000EE"/>
                  <w:w w:val="95"/>
                </w:rPr>
                <w:t>2020)</w:t>
              </w:r>
            </w:hyperlink>
          </w:p>
        </w:tc>
        <w:tc>
          <w:tcPr>
            <w:tcW w:w="9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10.39</w:t>
            </w:r>
          </w:p>
        </w:tc>
        <w:tc>
          <w:tcPr>
            <w:tcW w:w="200" w:type="dxa"/>
            <w:vAlign w:val="bottom"/>
          </w:tcPr>
          <w:p>
            <w:pPr>
              <w:spacing w:after="0"/>
              <w:rPr>
                <w:sz w:val="20"/>
                <w:szCs w:val="20"/>
                <w:color w:val="auto"/>
              </w:rPr>
            </w:pPr>
          </w:p>
        </w:tc>
        <w:tc>
          <w:tcPr>
            <w:tcW w:w="9940" w:type="dxa"/>
            <w:vAlign w:val="bottom"/>
            <w:gridSpan w:val="22"/>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Credit Agreement between Reynolds Consumer Products LLC, as borrower, Reynolds Consumer Products Inc., as parent, and certain</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40" w:type="dxa"/>
            <w:vAlign w:val="bottom"/>
            <w:tcBorders>
              <w:top w:val="single" w:sz="8" w:color="0000EE"/>
              <w:bottom w:val="single" w:sz="8" w:color="0000EE"/>
            </w:tcBorders>
            <w:gridSpan w:val="12"/>
          </w:tcPr>
          <w:p>
            <w:pPr>
              <w:spacing w:after="0" w:line="182"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lenders party thereto (incorporated herein by reference to Exhibit 10.4 to the Company’s Current Report on Form 8-K filed with the</w:t>
              </w:r>
            </w:hyperlink>
          </w:p>
        </w:tc>
        <w:tc>
          <w:tcPr>
            <w:tcW w:w="20" w:type="dxa"/>
            <w:vAlign w:val="bottom"/>
            <w:tcBorders>
              <w:bottom w:val="single" w:sz="8" w:color="0000EE"/>
            </w:tcBorders>
          </w:tcPr>
          <w:p>
            <w:pPr>
              <w:spacing w:after="0"/>
              <w:rPr>
                <w:sz w:val="15"/>
                <w:szCs w:val="15"/>
                <w:color w:val="auto"/>
              </w:rPr>
            </w:pPr>
          </w:p>
        </w:tc>
        <w:tc>
          <w:tcPr>
            <w:tcW w:w="4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SEC on February 4, 2020)</w:t>
              </w:r>
            </w:hyperlink>
          </w:p>
        </w:tc>
        <w:tc>
          <w:tcPr>
            <w:tcW w:w="8040" w:type="dxa"/>
            <w:vAlign w:val="bottom"/>
            <w:gridSpan w:val="19"/>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10.40</w:t>
            </w:r>
          </w:p>
        </w:tc>
        <w:tc>
          <w:tcPr>
            <w:tcW w:w="200" w:type="dxa"/>
            <w:vAlign w:val="bottom"/>
          </w:tcPr>
          <w:p>
            <w:pPr>
              <w:spacing w:after="0"/>
              <w:rPr>
                <w:sz w:val="20"/>
                <w:szCs w:val="20"/>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Amendment No. 1, dated February 28, 2023, to the Credit Agreement between Reynolds Consumer Products LLC, as borrower,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20" w:type="dxa"/>
            <w:vAlign w:val="bottom"/>
            <w:tcBorders>
              <w:top w:val="single" w:sz="8" w:color="0000FF"/>
              <w:bottom w:val="single" w:sz="8" w:color="0000FF"/>
            </w:tcBorders>
            <w:gridSpan w:val="16"/>
          </w:tcPr>
          <w:p>
            <w:pPr>
              <w:spacing w:after="0" w:line="182"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Reynolds Consumer Products Inc., as parent, and certain lenders party thereto (incorporated herein by reference to Exhibit 10.1 to the</w:t>
              </w:r>
            </w:hyperlink>
          </w:p>
        </w:tc>
        <w:tc>
          <w:tcPr>
            <w:tcW w:w="40" w:type="dxa"/>
            <w:vAlign w:val="bottom"/>
            <w:tcBorders>
              <w:bottom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60">
              <w:r>
                <w:rPr>
                  <w:rFonts w:ascii="Times New Roman" w:cs="Times New Roman" w:eastAsia="Times New Roman" w:hAnsi="Times New Roman"/>
                  <w:sz w:val="18"/>
                  <w:szCs w:val="18"/>
                  <w:color w:val="0000FF"/>
                  <w:w w:val="99"/>
                </w:rPr>
                <w:t>Company’s Quarterly Report on Form 10-Q filed with the SEC on May 10, 2023)</w:t>
              </w:r>
            </w:hyperlink>
          </w:p>
        </w:tc>
        <w:tc>
          <w:tcPr>
            <w:tcW w:w="4060" w:type="dxa"/>
            <w:vAlign w:val="bottom"/>
            <w:gridSpan w:val="14"/>
          </w:tcPr>
          <w:p>
            <w:pPr>
              <w:spacing w:after="0"/>
              <w:rPr>
                <w:sz w:val="17"/>
                <w:szCs w:val="17"/>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10.41</w:t>
            </w:r>
          </w:p>
        </w:tc>
        <w:tc>
          <w:tcPr>
            <w:tcW w:w="200" w:type="dxa"/>
            <w:vAlign w:val="bottom"/>
          </w:tcPr>
          <w:p>
            <w:pPr>
              <w:spacing w:after="0"/>
              <w:rPr>
                <w:sz w:val="20"/>
                <w:szCs w:val="20"/>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Amendment No. 2, dated as of November 21, 2023, to the Credit Agreement, dated as of February 4, 2020, between Reynolds</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Consumer Products LLC, as borrower, Reynolds Consumer Products Inc., as parent and certain lenders party thereto (incorporated</w:t>
              </w:r>
            </w:hyperlink>
          </w:p>
        </w:tc>
        <w:tc>
          <w:tcPr>
            <w:tcW w:w="6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8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herein by reference to Exhibit 10.1 to the Company’s Current Report on Form 8-K filed with the SEC on November 21, 2023)</w:t>
              </w:r>
            </w:hyperlink>
          </w:p>
        </w:tc>
        <w:tc>
          <w:tcPr>
            <w:tcW w:w="860" w:type="dxa"/>
            <w:vAlign w:val="bottom"/>
            <w:gridSpan w:val="11"/>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10.42</w:t>
            </w:r>
          </w:p>
        </w:tc>
        <w:tc>
          <w:tcPr>
            <w:tcW w:w="200" w:type="dxa"/>
            <w:vAlign w:val="bottom"/>
          </w:tcPr>
          <w:p>
            <w:pPr>
              <w:spacing w:after="0"/>
              <w:rPr>
                <w:sz w:val="20"/>
                <w:szCs w:val="20"/>
                <w:color w:val="auto"/>
              </w:rPr>
            </w:pPr>
          </w:p>
        </w:tc>
        <w:tc>
          <w:tcPr>
            <w:tcW w:w="9940" w:type="dxa"/>
            <w:vAlign w:val="bottom"/>
            <w:gridSpan w:val="22"/>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Amendment No. 3, dated as of October 17, 2024, to the Credit Agreement, dated as of February 4, 2020, between Reynolds Consumer</w:t>
              </w:r>
            </w:hyperlink>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0" w:type="dxa"/>
            <w:vAlign w:val="bottom"/>
            <w:tcBorders>
              <w:top w:val="single" w:sz="8" w:color="0000FF"/>
              <w:bottom w:val="single" w:sz="8" w:color="0000FF"/>
            </w:tcBorders>
            <w:gridSpan w:val="15"/>
          </w:tcPr>
          <w:p>
            <w:pPr>
              <w:spacing w:after="0" w:line="182"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Products LLC, as borrower, Reynolds Consumer Products Inc., as parent, and certain lenders party thereto (incorporated herein by</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reference to Exhibit 10.1 to the Company’s Current Report on Form 8-K filed with the SEC on October 17, 2024)</w:t>
              </w:r>
            </w:hyperlink>
          </w:p>
        </w:tc>
        <w:tc>
          <w:tcPr>
            <w:tcW w:w="1760" w:type="dxa"/>
            <w:vAlign w:val="bottom"/>
            <w:gridSpan w:val="12"/>
          </w:tcPr>
          <w:p>
            <w:pPr>
              <w:spacing w:after="0"/>
              <w:rPr>
                <w:sz w:val="17"/>
                <w:szCs w:val="17"/>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0"/>
                <w:szCs w:val="20"/>
                <w:color w:val="auto"/>
              </w:rPr>
            </w:pPr>
          </w:p>
        </w:tc>
        <w:tc>
          <w:tcPr>
            <w:tcW w:w="6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Reynolds Consumer Products Inc. Insider Trading Policy, as amended April 27, 2023</w:t>
            </w:r>
          </w:p>
        </w:tc>
        <w:tc>
          <w:tcPr>
            <w:tcW w:w="3800" w:type="dxa"/>
            <w:vAlign w:val="bottom"/>
            <w:gridSpan w:val="13"/>
          </w:tcPr>
          <w:p>
            <w:pPr>
              <w:spacing w:after="0"/>
              <w:rPr>
                <w:sz w:val="20"/>
                <w:szCs w:val="20"/>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List of subsidiaries</w:t>
            </w: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0"/>
                <w:szCs w:val="20"/>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Consent of PricewaterhouseCoopers LLP</w:t>
            </w:r>
          </w:p>
        </w:tc>
      </w:tr>
      <w:tr>
        <w:trPr>
          <w:trHeight w:val="20"/>
        </w:trPr>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80" w:type="dxa"/>
            <w:vAlign w:val="bottom"/>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0"/>
                <w:szCs w:val="20"/>
                <w:color w:val="auto"/>
              </w:rPr>
            </w:pPr>
          </w:p>
        </w:tc>
        <w:tc>
          <w:tcPr>
            <w:tcW w:w="5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Power of Attorney (see signature page to this Annual Report on Form 10-K)</w:t>
            </w:r>
          </w:p>
        </w:tc>
        <w:tc>
          <w:tcPr>
            <w:tcW w:w="4440" w:type="dxa"/>
            <w:vAlign w:val="bottom"/>
            <w:gridSpan w:val="15"/>
          </w:tcPr>
          <w:p>
            <w:pPr>
              <w:spacing w:after="0"/>
              <w:rPr>
                <w:sz w:val="20"/>
                <w:szCs w:val="20"/>
                <w:color w:val="auto"/>
              </w:rPr>
            </w:pPr>
          </w:p>
        </w:tc>
      </w:tr>
      <w:tr>
        <w:trPr>
          <w:trHeight w:val="236"/>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0"/>
                <w:szCs w:val="20"/>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Rule 13a-14 of the Securities Exchange Act of 1934, As</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900" w:type="dxa"/>
            <w:vAlign w:val="bottom"/>
            <w:tcBorders>
              <w:top w:val="single" w:sz="8" w:color="0000EE"/>
            </w:tcBorders>
            <w:gridSpan w:val="11"/>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1"/>
                <w:szCs w:val="21"/>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Rule 13a-14 of the Securities Exchange Act of 1934, As</w:t>
            </w:r>
          </w:p>
        </w:tc>
      </w:tr>
      <w:tr>
        <w:trPr>
          <w:trHeight w:val="182"/>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940" w:type="dxa"/>
            <w:vAlign w:val="bottom"/>
            <w:tcBorders>
              <w:top w:val="single" w:sz="8" w:color="0000EE"/>
              <w:bottom w:val="single" w:sz="8" w:color="0000EE"/>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960" w:type="dxa"/>
            <w:vAlign w:val="bottom"/>
            <w:tcBorders>
              <w:top w:val="single" w:sz="8" w:color="0000EE"/>
            </w:tcBorders>
            <w:gridSpan w:val="1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1"/>
                <w:szCs w:val="21"/>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of the Company Pursuant to 18 U.S.C. Section 1350, As Adopted Pursuant to Section 906</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360" w:type="dxa"/>
            <w:vAlign w:val="bottom"/>
            <w:tcBorders>
              <w:top w:val="single" w:sz="8" w:color="0000EE"/>
            </w:tcBorders>
            <w:gridSpan w:val="15"/>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1"/>
                <w:szCs w:val="21"/>
                <w:color w:val="auto"/>
              </w:rPr>
            </w:pPr>
          </w:p>
        </w:tc>
        <w:tc>
          <w:tcPr>
            <w:tcW w:w="994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of the Company Pursuant to 18 U.S.C. Section 1350, As Adopted Pursuant to Section 906</w:t>
            </w:r>
          </w:p>
        </w:tc>
      </w:tr>
      <w:tr>
        <w:trPr>
          <w:trHeight w:val="183"/>
        </w:trPr>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20" w:type="dxa"/>
            <w:vAlign w:val="bottom"/>
            <w:tcBorders>
              <w:top w:val="single" w:sz="8" w:color="0000EE"/>
              <w:bottom w:val="single" w:sz="8" w:color="0000EE"/>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EE"/>
                <w:w w:val="99"/>
              </w:rPr>
              <w:t>of the Sarbanes-Oxley Act of 2002</w:t>
            </w:r>
          </w:p>
        </w:tc>
        <w:tc>
          <w:tcPr>
            <w:tcW w:w="7400" w:type="dxa"/>
            <w:vAlign w:val="bottom"/>
            <w:tcBorders>
              <w:top w:val="single" w:sz="8" w:color="0000EE"/>
            </w:tcBorders>
            <w:gridSpan w:val="17"/>
          </w:tcPr>
          <w:p>
            <w:pPr>
              <w:spacing w:after="0"/>
              <w:rPr>
                <w:sz w:val="15"/>
                <w:szCs w:val="15"/>
                <w:color w:val="auto"/>
              </w:rPr>
            </w:pPr>
          </w:p>
        </w:tc>
        <w:tc>
          <w:tcPr>
            <w:tcW w:w="20" w:type="dxa"/>
            <w:vAlign w:val="bottom"/>
          </w:tcPr>
          <w:p>
            <w:pPr>
              <w:spacing w:after="0"/>
              <w:rPr>
                <w:sz w:val="15"/>
                <w:szCs w:val="15"/>
                <w:color w:val="auto"/>
              </w:rPr>
            </w:pPr>
          </w:p>
        </w:tc>
      </w:tr>
    </w:tbl>
    <w:p>
      <w:pPr>
        <w:spacing w:after="0" w:line="63" w:lineRule="exact"/>
        <w:rPr>
          <w:sz w:val="20"/>
          <w:szCs w:val="20"/>
          <w:color w:val="auto"/>
        </w:rPr>
      </w:pPr>
    </w:p>
    <w:p>
      <w:pPr>
        <w:ind w:left="1480" w:hanging="1454"/>
        <w:spacing w:after="0" w:line="266" w:lineRule="auto"/>
        <w:tabs>
          <w:tab w:leader="none" w:pos="1480" w:val="left"/>
        </w:tabs>
        <w:numPr>
          <w:ilvl w:val="0"/>
          <w:numId w:val="35"/>
        </w:numPr>
        <w:rPr>
          <w:rFonts w:ascii="Times New Roman" w:cs="Times New Roman" w:eastAsia="Times New Roman" w:hAnsi="Times New Roman"/>
          <w:sz w:val="18"/>
          <w:szCs w:val="18"/>
          <w:u w:val="single" w:color="auto"/>
          <w:color w:val="0000EE"/>
        </w:rPr>
      </w:pPr>
      <w:hyperlink r:id="rId163">
        <w:r>
          <w:rPr>
            <w:rFonts w:ascii="Times New Roman" w:cs="Times New Roman" w:eastAsia="Times New Roman" w:hAnsi="Times New Roman"/>
            <w:sz w:val="18"/>
            <w:szCs w:val="18"/>
            <w:u w:val="single" w:color="auto"/>
            <w:color w:val="0000EE"/>
          </w:rPr>
          <w:t>Reynolds Consumer Products Inc. Amended and Restated Compensation Recoupment Policy (incorporated herein by reference to</w:t>
        </w:r>
      </w:hyperlink>
      <w:r>
        <w:rPr>
          <w:rFonts w:ascii="Times New Roman" w:cs="Times New Roman" w:eastAsia="Times New Roman" w:hAnsi="Times New Roman"/>
          <w:sz w:val="18"/>
          <w:szCs w:val="18"/>
          <w:u w:val="single" w:color="auto"/>
          <w:color w:val="0000EE"/>
        </w:rPr>
        <w:t xml:space="preserve"> </w:t>
      </w:r>
      <w:hyperlink r:id="rId163">
        <w:r>
          <w:rPr>
            <w:rFonts w:ascii="Times New Roman" w:cs="Times New Roman" w:eastAsia="Times New Roman" w:hAnsi="Times New Roman"/>
            <w:sz w:val="18"/>
            <w:szCs w:val="18"/>
            <w:u w:val="single" w:color="auto"/>
            <w:color w:val="0000EE"/>
          </w:rPr>
          <w:t>Exhibit 97 to the Company’s Annual Report on Form 10-K filed with the SEC on February 7, 2024)</w:t>
        </w:r>
      </w:hyperlink>
    </w:p>
    <w:p>
      <w:pPr>
        <w:spacing w:after="0" w:line="9"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20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w:t>
            </w:r>
          </w:p>
        </w:tc>
      </w:tr>
      <w:tr>
        <w:trPr>
          <w:trHeight w:val="234"/>
        </w:trPr>
        <w:tc>
          <w:tcPr>
            <w:tcW w:w="1060" w:type="dxa"/>
            <w:vAlign w:val="bottom"/>
          </w:tcPr>
          <w:p>
            <w:pPr>
              <w:spacing w:after="0"/>
              <w:rPr>
                <w:sz w:val="20"/>
                <w:szCs w:val="20"/>
                <w:color w:val="auto"/>
              </w:rPr>
            </w:pP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5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5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5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22" w:lineRule="exact"/>
        <w:rPr>
          <w:rFonts w:ascii="Times New Roman" w:cs="Times New Roman" w:eastAsia="Times New Roman" w:hAnsi="Times New Roman"/>
          <w:sz w:val="18"/>
          <w:szCs w:val="18"/>
          <w:color w:val="auto"/>
        </w:rPr>
      </w:pPr>
    </w:p>
    <w:p>
      <w:pPr>
        <w:ind w:left="1480" w:hanging="1454"/>
        <w:spacing w:after="0"/>
        <w:tabs>
          <w:tab w:leader="none" w:pos="148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98"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REYNOLDS CONSUMER PRODUCTS INC.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(Registrant)</w:t>
      </w:r>
    </w:p>
    <w:p>
      <w:pPr>
        <w:spacing w:after="0" w:line="288" w:lineRule="exact"/>
        <w:rPr>
          <w:sz w:val="20"/>
          <w:szCs w:val="20"/>
          <w:color w:val="auto"/>
        </w:rPr>
      </w:pPr>
    </w:p>
    <w:p>
      <w:pPr>
        <w:ind w:left="20"/>
        <w:spacing w:after="0"/>
        <w:tabs>
          <w:tab w:leader="none" w:pos="420" w:val="left"/>
        </w:tabs>
        <w:rPr>
          <w:sz w:val="20"/>
          <w:szCs w:val="20"/>
          <w:color w:val="auto"/>
        </w:rPr>
      </w:pPr>
      <w:r>
        <w:rPr>
          <w:rFonts w:ascii="Times New Roman" w:cs="Times New Roman" w:eastAsia="Times New Roman" w:hAnsi="Times New Roman"/>
          <w:sz w:val="18"/>
          <w:szCs w:val="18"/>
          <w:color w:val="auto"/>
        </w:rPr>
        <w:t>By:</w:t>
        <w:tab/>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17145</wp:posOffset>
            </wp:positionV>
            <wp:extent cx="244284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Scott Huckins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February 5, 2025</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does hereby make, constitute and appoint Scott Huckins and Nathan Lowe, and each of them acting individually, his or her true and lawful attorneys-in-fact and agents, with full power of substitution, for them and in their name, place and stead, in any and all capacities, to sign the Annual Report on Form 10-K, and any amendments thereto,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
        </w:trPr>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Scott Huckins</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Scott Huckins</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Nathan Lowe</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Nathan Lowe</w:t>
            </w:r>
          </w:p>
        </w:tc>
        <w:tc>
          <w:tcPr>
            <w:tcW w:w="80" w:type="dxa"/>
            <w:vAlign w:val="bottom"/>
          </w:tcPr>
          <w:p>
            <w:pPr>
              <w:spacing w:after="0"/>
              <w:rPr>
                <w:sz w:val="7"/>
                <w:szCs w:val="7"/>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 Mayrhofer</w:t>
            </w:r>
          </w:p>
        </w:tc>
        <w:tc>
          <w:tcPr>
            <w:tcW w:w="8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Senior Vice President and Controller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Chris Mayrhofer</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Rolf Stangl</w:t>
            </w:r>
          </w:p>
        </w:tc>
        <w:tc>
          <w:tcPr>
            <w:tcW w:w="80" w:type="dxa"/>
            <w:vAlign w:val="bottom"/>
          </w:tcPr>
          <w:p>
            <w:pPr>
              <w:spacing w:after="0"/>
              <w:rPr>
                <w:sz w:val="24"/>
                <w:szCs w:val="24"/>
                <w:color w:val="auto"/>
              </w:rPr>
            </w:pPr>
          </w:p>
        </w:tc>
        <w:tc>
          <w:tcPr>
            <w:tcW w:w="37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Director and Chairman of</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Rolf Stangl</w:t>
            </w:r>
          </w:p>
        </w:tc>
        <w:tc>
          <w:tcPr>
            <w:tcW w:w="80" w:type="dxa"/>
            <w:vAlign w:val="bottom"/>
          </w:tcPr>
          <w:p>
            <w:pPr>
              <w:spacing w:after="0"/>
              <w:rPr>
                <w:sz w:val="7"/>
                <w:szCs w:val="7"/>
                <w:color w:val="auto"/>
              </w:rPr>
            </w:pPr>
          </w:p>
        </w:tc>
        <w:tc>
          <w:tcPr>
            <w:tcW w:w="3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the Board of Directors</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2"/>
            <w:vMerge w:val="continue"/>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Gregory Cole</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Gregory Cole</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Helen Golding</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Helen Golding</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Marla Gottschalk</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Marla Gottschalk</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Allen Hugli</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Allen Hugli</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Christine Montenegro McGrath</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Christine Montenegro McGrath</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Ann Ziegler</w:t>
            </w:r>
          </w:p>
        </w:tc>
        <w:tc>
          <w:tcPr>
            <w:tcW w:w="80" w:type="dxa"/>
            <w:vAlign w:val="bottom"/>
          </w:tcPr>
          <w:p>
            <w:pPr>
              <w:spacing w:after="0"/>
              <w:rPr>
                <w:sz w:val="24"/>
                <w:szCs w:val="24"/>
                <w:color w:val="auto"/>
              </w:rPr>
            </w:pPr>
          </w:p>
        </w:tc>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9"/>
              </w:rPr>
              <w:t>Director</w:t>
            </w:r>
          </w:p>
        </w:tc>
        <w:tc>
          <w:tcPr>
            <w:tcW w:w="3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February 5, 2025</w:t>
            </w:r>
          </w:p>
        </w:tc>
        <w:tc>
          <w:tcPr>
            <w:tcW w:w="0" w:type="dxa"/>
            <w:vAlign w:val="bottom"/>
          </w:tcPr>
          <w:p>
            <w:pPr>
              <w:spacing w:after="0"/>
              <w:rPr>
                <w:sz w:val="1"/>
                <w:szCs w:val="1"/>
                <w:color w:val="auto"/>
              </w:rPr>
            </w:pPr>
          </w:p>
        </w:tc>
      </w:tr>
      <w:tr>
        <w:trPr>
          <w:trHeight w:val="88"/>
        </w:trPr>
        <w:tc>
          <w:tcPr>
            <w:tcW w:w="3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Ann Ziegler</w:t>
            </w: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3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21"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%%OPTION_DATE,'Month DD, YYYY'%-%</w:t>
      </w:r>
    </w:p>
    <w:p>
      <w:pPr>
        <w:spacing w:after="0" w:line="243" w:lineRule="exact"/>
        <w:rPr>
          <w:sz w:val="20"/>
          <w:szCs w:val="20"/>
          <w:color w:val="auto"/>
        </w:rPr>
      </w:pPr>
    </w:p>
    <w:p>
      <w:pPr>
        <w:ind w:left="100" w:right="260"/>
        <w:spacing w:after="0" w:line="252" w:lineRule="auto"/>
        <w:rPr>
          <w:sz w:val="20"/>
          <w:szCs w:val="20"/>
          <w:color w:val="auto"/>
        </w:rPr>
      </w:pPr>
      <w:r>
        <w:rPr>
          <w:rFonts w:ascii="Times New Roman" w:cs="Times New Roman" w:eastAsia="Times New Roman" w:hAnsi="Times New Roman"/>
          <w:sz w:val="22"/>
          <w:szCs w:val="22"/>
          <w:color w:val="auto"/>
        </w:rPr>
        <w:t>Reynolds Consumer Products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granted the Participant, effective as of the Grant Date (as set forth below), a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Reynolds Consumer Products Inc.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terms and conditions set forth in this award grant letter (this “</w:t>
      </w:r>
      <w:r>
        <w:rPr>
          <w:rFonts w:ascii="Times New Roman" w:cs="Times New Roman" w:eastAsia="Times New Roman" w:hAnsi="Times New Roman"/>
          <w:sz w:val="22"/>
          <w:szCs w:val="22"/>
          <w:b w:val="1"/>
          <w:bCs w:val="1"/>
          <w:color w:val="auto"/>
        </w:rPr>
        <w:t>Grant Letter</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exhibits and appendices thereto)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together with this Grant Letter,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00" w:right="24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ectPr>
          <w:pgSz w:w="11900" w:h="16838" w:orient="portrait"/>
          <w:cols w:equalWidth="0" w:num="1">
            <w:col w:w="10920"/>
          </w:cols>
          <w:pgMar w:left="6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Restricted Stock Units: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ind w:right="2640"/>
        <w:spacing w:after="0" w:line="268" w:lineRule="auto"/>
        <w:rPr>
          <w:sz w:val="20"/>
          <w:szCs w:val="20"/>
          <w:color w:val="auto"/>
        </w:rPr>
      </w:pPr>
      <w:r>
        <w:rPr>
          <w:rFonts w:ascii="Times New Roman" w:cs="Times New Roman" w:eastAsia="Times New Roman" w:hAnsi="Times New Roman"/>
          <w:sz w:val="22"/>
          <w:szCs w:val="22"/>
          <w:color w:val="auto"/>
        </w:rPr>
        <w:t>%%TOTAL_SHARES_GRANTED,'999,999,999'%-% Shares</w:t>
      </w:r>
    </w:p>
    <w:p>
      <w:pPr>
        <w:spacing w:after="0" w:line="2" w:lineRule="exact"/>
        <w:rPr>
          <w:sz w:val="20"/>
          <w:szCs w:val="20"/>
          <w:color w:val="auto"/>
        </w:rPr>
      </w:pPr>
    </w:p>
    <w:p>
      <w:pPr>
        <w:ind w:right="336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22"/>
          <w:szCs w:val="22"/>
          <w:color w:val="auto"/>
        </w:rPr>
        <w:t>Subject to the terms and conditions of the Award Agreement, the Restricted Stock Units shall vest ratably on each of the first three anniversaries of the Grant Date (each, a scheduled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each such one-year period, a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it being understood that the Vesting Period ending on the first anniversary of the Grant Date shall be further referred to as the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the Vesting Period ending on the second anniversary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shall be further referred to as the “</w:t>
      </w:r>
      <w:r>
        <w:rPr>
          <w:rFonts w:ascii="Times New Roman" w:cs="Times New Roman" w:eastAsia="Times New Roman" w:hAnsi="Times New Roman"/>
          <w:sz w:val="22"/>
          <w:szCs w:val="22"/>
          <w:b w:val="1"/>
          <w:bCs w:val="1"/>
          <w:color w:val="auto"/>
        </w:rPr>
        <w:t>Second Vesting Period,</w:t>
      </w:r>
      <w:r>
        <w:rPr>
          <w:rFonts w:ascii="Times New Roman" w:cs="Times New Roman" w:eastAsia="Times New Roman" w:hAnsi="Times New Roman"/>
          <w:sz w:val="22"/>
          <w:szCs w:val="22"/>
          <w:color w:val="auto"/>
        </w:rPr>
        <w:t>” and the Vesting Period ending on the third anniversary of the Grant Date shall be referred to as the “</w:t>
      </w:r>
      <w:r>
        <w:rPr>
          <w:rFonts w:ascii="Times New Roman" w:cs="Times New Roman" w:eastAsia="Times New Roman" w:hAnsi="Times New Roman"/>
          <w:sz w:val="22"/>
          <w:szCs w:val="22"/>
          <w:b w:val="1"/>
          <w:bCs w:val="1"/>
          <w:color w:val="auto"/>
        </w:rPr>
        <w:t>Third Vesting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2960" w:space="540"/>
            <w:col w:w="7420"/>
          </w:cols>
          <w:pgMar w:left="640" w:top="117" w:right="339" w:bottom="1440" w:gutter="0" w:footer="0" w:header="0"/>
          <w:type w:val="continuous"/>
        </w:sectPr>
      </w:pPr>
    </w:p>
    <w:p>
      <w:pPr>
        <w:spacing w:after="0" w:line="209" w:lineRule="exact"/>
        <w:rPr>
          <w:sz w:val="20"/>
          <w:szCs w:val="20"/>
          <w:color w:val="auto"/>
        </w:rPr>
      </w:pPr>
    </w:p>
    <w:p>
      <w:pPr>
        <w:ind w:left="100" w:right="1100"/>
        <w:spacing w:after="0" w:line="257"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200" w:lineRule="exact"/>
        <w:rPr>
          <w:sz w:val="20"/>
          <w:szCs w:val="20"/>
          <w:color w:val="auto"/>
        </w:rPr>
      </w:pPr>
    </w:p>
    <w:p>
      <w:pPr>
        <w:spacing w:after="0" w:line="37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920"/>
          </w:cols>
          <w:pgMar w:left="640" w:top="117" w:right="339" w:bottom="1440" w:gutter="0" w:footer="0" w:header="0"/>
          <w:type w:val="continuous"/>
        </w:sectPr>
      </w:pPr>
    </w:p>
    <w:bookmarkStart w:id="81" w:name="page82"/>
    <w:bookmarkEnd w:id="81"/>
    <w:p>
      <w:pPr>
        <w:spacing w:after="0" w:line="263"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 Otherwise, please provide your signature, address and the date for this Agreement where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400"/>
          </w:cols>
          <w:pgMar w:left="740" w:top="1435" w:right="7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19" w:lineRule="exact"/>
        <w:rPr>
          <w:sz w:val="20"/>
          <w:szCs w:val="20"/>
          <w:color w:val="auto"/>
        </w:rPr>
      </w:pPr>
    </w:p>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Letter as the Participant.</w:t>
      </w:r>
    </w:p>
    <w:p>
      <w:pPr>
        <w:spacing w:after="0" w:line="21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98"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1"/>
          <w:szCs w:val="21"/>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jc w:val="both"/>
        <w:ind w:right="380" w:firstLine="682"/>
        <w:spacing w:after="0" w:line="258" w:lineRule="auto"/>
        <w:tabs>
          <w:tab w:leader="none" w:pos="105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100" w:firstLine="682"/>
        <w:spacing w:after="0" w:line="275" w:lineRule="auto"/>
        <w:tabs>
          <w:tab w:leader="none" w:pos="107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RSUs</w:t>
      </w:r>
      <w:r>
        <w:rPr>
          <w:rFonts w:ascii="Times New Roman" w:cs="Times New Roman" w:eastAsia="Times New Roman" w:hAnsi="Times New Roman"/>
          <w:sz w:val="22"/>
          <w:szCs w:val="22"/>
          <w:color w:val="auto"/>
        </w:rPr>
        <w:t>. Each RSU shall represent the right to receive one Share upon the vesting of such RSU,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in accordance with and subject to the terms of this Agreement and the Plan.</w:t>
      </w:r>
    </w:p>
    <w:p>
      <w:pPr>
        <w:spacing w:after="0" w:line="189" w:lineRule="exact"/>
        <w:rPr>
          <w:rFonts w:ascii="Times New Roman" w:cs="Times New Roman" w:eastAsia="Times New Roman" w:hAnsi="Times New Roman"/>
          <w:sz w:val="22"/>
          <w:szCs w:val="22"/>
          <w:color w:val="auto"/>
        </w:rPr>
      </w:pPr>
    </w:p>
    <w:p>
      <w:pPr>
        <w:ind w:right="940" w:firstLine="682"/>
        <w:spacing w:after="0" w:line="275" w:lineRule="auto"/>
        <w:tabs>
          <w:tab w:leader="none" w:pos="105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terms and conditions:</w:t>
      </w:r>
    </w:p>
    <w:p>
      <w:pPr>
        <w:spacing w:after="0" w:line="189" w:lineRule="exact"/>
        <w:rPr>
          <w:rFonts w:ascii="Times New Roman" w:cs="Times New Roman" w:eastAsia="Times New Roman" w:hAnsi="Times New Roman"/>
          <w:sz w:val="22"/>
          <w:szCs w:val="22"/>
          <w:color w:val="auto"/>
        </w:rPr>
      </w:pPr>
    </w:p>
    <w:p>
      <w:pPr>
        <w:ind w:left="640" w:right="240" w:firstLine="568"/>
        <w:spacing w:after="0" w:line="275" w:lineRule="auto"/>
        <w:tabs>
          <w:tab w:leader="none" w:pos="165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of Award. </w:t>
      </w:r>
      <w:r>
        <w:rPr>
          <w:rFonts w:ascii="Times New Roman" w:cs="Times New Roman" w:eastAsia="Times New Roman" w:hAnsi="Times New Roman"/>
          <w:sz w:val="22"/>
          <w:szCs w:val="22"/>
          <w:color w:val="auto"/>
        </w:rPr>
        <w:t>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w:t>
      </w:r>
    </w:p>
    <w:p>
      <w:pPr>
        <w:spacing w:after="0" w:line="176" w:lineRule="exact"/>
        <w:rPr>
          <w:rFonts w:ascii="Times New Roman" w:cs="Times New Roman" w:eastAsia="Times New Roman" w:hAnsi="Times New Roman"/>
          <w:sz w:val="22"/>
          <w:szCs w:val="22"/>
          <w:color w:val="auto"/>
        </w:rPr>
      </w:pPr>
    </w:p>
    <w:p>
      <w:pPr>
        <w:ind w:left="640" w:right="380" w:firstLine="568"/>
        <w:spacing w:after="0" w:line="259" w:lineRule="auto"/>
        <w:tabs>
          <w:tab w:leader="none" w:pos="166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RSUs unless and until the Participant becomes the record owner of the Shares underlying such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640"/>
          </w:cols>
          <w:pgMar w:left="740" w:top="1418" w:right="519" w:bottom="1440" w:gutter="0" w:footer="0" w:header="0"/>
        </w:sectPr>
      </w:pPr>
    </w:p>
    <w:bookmarkStart w:id="83" w:name="page84"/>
    <w:bookmarkEnd w:id="83"/>
    <w:p>
      <w:pPr>
        <w:ind w:left="-60" w:firstLine="568"/>
        <w:spacing w:after="0" w:line="250" w:lineRule="auto"/>
        <w:tabs>
          <w:tab w:leader="none" w:pos="9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Dividends. </w:t>
      </w:r>
      <w:r>
        <w:rPr>
          <w:rFonts w:ascii="Times New Roman" w:cs="Times New Roman" w:eastAsia="Times New Roman" w:hAnsi="Times New Roman"/>
          <w:sz w:val="22"/>
          <w:szCs w:val="22"/>
          <w:color w:val="auto"/>
        </w:rPr>
        <w:t>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RSUs are distributed to the Participant pursuant to Section 3(d), then as of each dividend payment date, the Participant shall be credited with cash per RSU equal to the per Share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(without interest) at the same time as the RSUs to which they relate are settled.</w:t>
      </w:r>
    </w:p>
    <w:p>
      <w:pPr>
        <w:spacing w:after="0" w:line="220" w:lineRule="exact"/>
        <w:rPr>
          <w:rFonts w:ascii="Times New Roman" w:cs="Times New Roman" w:eastAsia="Times New Roman" w:hAnsi="Times New Roman"/>
          <w:sz w:val="22"/>
          <w:szCs w:val="22"/>
          <w:color w:val="auto"/>
        </w:rPr>
      </w:pPr>
    </w:p>
    <w:p>
      <w:pPr>
        <w:ind w:left="-60" w:right="40" w:firstLine="568"/>
        <w:spacing w:after="0" w:line="262" w:lineRule="auto"/>
        <w:tabs>
          <w:tab w:leader="none" w:pos="96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Distribution of Shares. </w:t>
      </w:r>
      <w:r>
        <w:rPr>
          <w:rFonts w:ascii="Times New Roman" w:cs="Times New Roman" w:eastAsia="Times New Roman" w:hAnsi="Times New Roman"/>
          <w:sz w:val="21"/>
          <w:szCs w:val="21"/>
          <w:color w:val="auto"/>
        </w:rPr>
        <w:t>Subject to the provisions of this Agreement, upon the vesting of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RSUs on the applicable Vesting Date or the Participant’s Termination of Service due to death, the Company shall settle and deliver to the Participant, as soon as reasonably practicable after such applicable Vesting Date (or in the case of the Participant’s Termination of Service due to death, such Termination of Service, as applicable), (i) one Share for each such RSU plus (ii) such cash attributable to dividends to which the Participant has become entitled under Section 3(c); provided that such settlement shall be made no later than the 15th day of the third calendar month following the applicable Vesting Date (or, in the case of the Participant’s Termination of Service due to death, the 15th day of the third calendar month following the date of the Participant’s Termination of Service due to death). Upon such delivery, such Shares shall be fully assignable, alienable, saleable and transferable by the Participant; provided that any such assignment, alienation, sale, transfer or other alienation with respect to such Shares shall be in accordance with applicable securities laws and any applicable Company policy.</w:t>
      </w:r>
    </w:p>
    <w:p>
      <w:pPr>
        <w:spacing w:after="0" w:line="191" w:lineRule="exact"/>
        <w:rPr>
          <w:rFonts w:ascii="Times New Roman" w:cs="Times New Roman" w:eastAsia="Times New Roman" w:hAnsi="Times New Roman"/>
          <w:sz w:val="21"/>
          <w:szCs w:val="21"/>
          <w:color w:val="auto"/>
        </w:rPr>
      </w:pPr>
    </w:p>
    <w:p>
      <w:pPr>
        <w:ind w:left="-60" w:firstLine="568"/>
        <w:spacing w:after="0" w:line="248" w:lineRule="auto"/>
        <w:tabs>
          <w:tab w:leader="none" w:pos="95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 in Capitalization. </w:t>
      </w:r>
      <w:r>
        <w:rPr>
          <w:rFonts w:ascii="Times New Roman" w:cs="Times New Roman" w:eastAsia="Times New Roman" w:hAnsi="Times New Roman"/>
          <w:sz w:val="22"/>
          <w:szCs w:val="22"/>
          <w:color w:val="auto"/>
        </w:rPr>
        <w:t>In the event that, as a result of any dividend (other than ordinary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20"/>
          </w:cols>
          <w:pgMar w:left="1440" w:top="1337" w:right="639" w:bottom="1440" w:gutter="0" w:footer="0" w:header="0"/>
        </w:sectPr>
      </w:pPr>
    </w:p>
    <w:bookmarkStart w:id="84" w:name="page85"/>
    <w:bookmarkEnd w:id="84"/>
    <w:p>
      <w:pPr>
        <w:ind w:left="640" w:firstLine="568"/>
        <w:spacing w:after="0" w:line="254" w:lineRule="auto"/>
        <w:tabs>
          <w:tab w:leader="none" w:pos="163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Restrictions on Transferability. </w:t>
      </w:r>
      <w:r>
        <w:rPr>
          <w:rFonts w:ascii="Times New Roman" w:cs="Times New Roman" w:eastAsia="Times New Roman" w:hAnsi="Times New Roman"/>
          <w:sz w:val="22"/>
          <w:szCs w:val="22"/>
          <w:color w:val="auto"/>
        </w:rPr>
        <w:t>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200" w:lineRule="exact"/>
        <w:rPr>
          <w:rFonts w:ascii="Times New Roman" w:cs="Times New Roman" w:eastAsia="Times New Roman" w:hAnsi="Times New Roman"/>
          <w:sz w:val="22"/>
          <w:szCs w:val="22"/>
          <w:color w:val="auto"/>
        </w:rPr>
      </w:pPr>
    </w:p>
    <w:p>
      <w:pPr>
        <w:ind w:left="640" w:right="60" w:firstLine="568"/>
        <w:spacing w:after="0" w:line="258" w:lineRule="auto"/>
        <w:tabs>
          <w:tab w:leader="none" w:pos="166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194" w:lineRule="exact"/>
        <w:rPr>
          <w:rFonts w:ascii="Times New Roman" w:cs="Times New Roman" w:eastAsia="Times New Roman" w:hAnsi="Times New Roman"/>
          <w:sz w:val="22"/>
          <w:szCs w:val="22"/>
          <w:color w:val="auto"/>
        </w:rPr>
      </w:pPr>
    </w:p>
    <w:p>
      <w:pPr>
        <w:ind w:left="640" w:right="280" w:firstLine="568"/>
        <w:spacing w:after="0" w:line="265" w:lineRule="auto"/>
        <w:tabs>
          <w:tab w:leader="none" w:pos="166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constitute a promise of future grants. The Company, in its sole discretion, maintains the right to make available future grants under the Plan.</w:t>
      </w:r>
    </w:p>
    <w:p>
      <w:pPr>
        <w:spacing w:after="0" w:line="188" w:lineRule="exact"/>
        <w:rPr>
          <w:rFonts w:ascii="Times New Roman" w:cs="Times New Roman" w:eastAsia="Times New Roman" w:hAnsi="Times New Roman"/>
          <w:sz w:val="22"/>
          <w:szCs w:val="22"/>
          <w:color w:val="auto"/>
        </w:rPr>
      </w:pPr>
    </w:p>
    <w:p>
      <w:pPr>
        <w:ind w:right="460" w:firstLine="682"/>
        <w:spacing w:after="0" w:line="258" w:lineRule="auto"/>
        <w:tabs>
          <w:tab w:leader="none" w:pos="105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208" w:lineRule="exact"/>
        <w:rPr>
          <w:rFonts w:ascii="Times New Roman" w:cs="Times New Roman" w:eastAsia="Times New Roman" w:hAnsi="Times New Roman"/>
          <w:sz w:val="22"/>
          <w:szCs w:val="22"/>
          <w:color w:val="auto"/>
        </w:rPr>
      </w:pPr>
    </w:p>
    <w:p>
      <w:pPr>
        <w:ind w:right="60" w:firstLine="681"/>
        <w:spacing w:after="0" w:line="253" w:lineRule="auto"/>
        <w:tabs>
          <w:tab w:leader="none" w:pos="105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other provisions of the Plan to the contrary, in the event of the Participant’s Termination of Service due to the Participant’s death, Retirement (as defined below) or Enhanced Retirement (as defined below), a pro rata portion of the Award may vest or be eligible to vest following such Termination of Service as follows:</w:t>
      </w:r>
    </w:p>
    <w:p>
      <w:pPr>
        <w:spacing w:after="0" w:line="219" w:lineRule="exact"/>
        <w:rPr>
          <w:rFonts w:ascii="Times New Roman" w:cs="Times New Roman" w:eastAsia="Times New Roman" w:hAnsi="Times New Roman"/>
          <w:sz w:val="22"/>
          <w:szCs w:val="22"/>
          <w:color w:val="auto"/>
        </w:rPr>
      </w:pPr>
    </w:p>
    <w:p>
      <w:pPr>
        <w:ind w:left="1660" w:hanging="452"/>
        <w:spacing w:after="0"/>
        <w:tabs>
          <w:tab w:leader="none" w:pos="166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06" w:lineRule="exact"/>
        <w:rPr>
          <w:rFonts w:ascii="Times New Roman" w:cs="Times New Roman" w:eastAsia="Times New Roman" w:hAnsi="Times New Roman"/>
          <w:sz w:val="22"/>
          <w:szCs w:val="22"/>
          <w:color w:val="auto"/>
        </w:rPr>
      </w:pPr>
    </w:p>
    <w:p>
      <w:pPr>
        <w:ind w:left="1200" w:right="680" w:firstLine="494"/>
        <w:spacing w:after="0" w:line="284" w:lineRule="auto"/>
        <w:tabs>
          <w:tab w:leader="none" w:pos="2106"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any unvested RSUs shall vest in full.</w:t>
      </w:r>
    </w:p>
    <w:p>
      <w:pPr>
        <w:spacing w:after="0" w:line="143" w:lineRule="exact"/>
        <w:rPr>
          <w:rFonts w:ascii="Times New Roman" w:cs="Times New Roman" w:eastAsia="Times New Roman" w:hAnsi="Times New Roman"/>
          <w:sz w:val="22"/>
          <w:szCs w:val="22"/>
          <w:color w:val="auto"/>
        </w:rPr>
      </w:pPr>
    </w:p>
    <w:p>
      <w:pPr>
        <w:ind w:left="1200" w:right="200" w:firstLine="494"/>
        <w:spacing w:after="0" w:line="271" w:lineRule="auto"/>
        <w:tabs>
          <w:tab w:leader="none" w:pos="2162"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that vest upon the Participant’s Termination of Service due to death pursuant to this Section 5(a) shall be distributed to the Participant pursuant to Section 3(d).</w:t>
      </w:r>
    </w:p>
    <w:p>
      <w:pPr>
        <w:spacing w:after="0" w:line="198" w:lineRule="exact"/>
        <w:rPr>
          <w:rFonts w:ascii="Times New Roman" w:cs="Times New Roman" w:eastAsia="Times New Roman" w:hAnsi="Times New Roman"/>
          <w:sz w:val="22"/>
          <w:szCs w:val="22"/>
          <w:color w:val="auto"/>
        </w:rPr>
      </w:pPr>
    </w:p>
    <w:p>
      <w:pPr>
        <w:ind w:left="1680" w:hanging="472"/>
        <w:spacing w:after="0"/>
        <w:tabs>
          <w:tab w:leader="none" w:pos="1680" w:val="left"/>
        </w:tabs>
        <w:numPr>
          <w:ilvl w:val="1"/>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6" w:lineRule="exact"/>
        <w:rPr>
          <w:rFonts w:ascii="Times New Roman" w:cs="Times New Roman" w:eastAsia="Times New Roman" w:hAnsi="Times New Roman"/>
          <w:sz w:val="22"/>
          <w:szCs w:val="22"/>
          <w:color w:val="auto"/>
        </w:rPr>
      </w:pPr>
    </w:p>
    <w:p>
      <w:pPr>
        <w:jc w:val="both"/>
        <w:ind w:left="1200" w:right="20" w:firstLine="494"/>
        <w:spacing w:after="0" w:line="263" w:lineRule="auto"/>
        <w:tabs>
          <w:tab w:leader="none" w:pos="2106" w:val="left"/>
        </w:tabs>
        <w:numPr>
          <w:ilvl w:val="2"/>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the RSUs shall remain outstanding and shall vest on each regularly scheduled Vesting Date following such Termination of Service as</w:t>
      </w:r>
    </w:p>
    <w:p>
      <w:pPr>
        <w:spacing w:after="0" w:line="200" w:lineRule="exact"/>
        <w:rPr>
          <w:sz w:val="20"/>
          <w:szCs w:val="20"/>
          <w:color w:val="auto"/>
        </w:rPr>
      </w:pPr>
    </w:p>
    <w:p>
      <w:pPr>
        <w:spacing w:after="0" w:line="3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20"/>
          </w:cols>
          <w:pgMar w:left="740" w:top="1337" w:right="639" w:bottom="1440" w:gutter="0" w:footer="0" w:header="0"/>
        </w:sectPr>
      </w:pPr>
    </w:p>
    <w:bookmarkStart w:id="85" w:name="page86"/>
    <w:bookmarkEnd w:id="85"/>
    <w:p>
      <w:pPr>
        <w:spacing w:after="0" w:line="117" w:lineRule="exact"/>
        <w:rPr>
          <w:sz w:val="20"/>
          <w:szCs w:val="20"/>
          <w:color w:val="auto"/>
        </w:rPr>
      </w:pPr>
    </w:p>
    <w:p>
      <w:pPr>
        <w:ind w:left="500" w:right="20"/>
        <w:spacing w:after="0" w:line="256" w:lineRule="auto"/>
        <w:rPr>
          <w:sz w:val="20"/>
          <w:szCs w:val="20"/>
          <w:color w:val="auto"/>
        </w:rPr>
      </w:pPr>
      <w:r>
        <w:rPr>
          <w:rFonts w:ascii="Times New Roman" w:cs="Times New Roman" w:eastAsia="Times New Roman" w:hAnsi="Times New Roman"/>
          <w:sz w:val="22"/>
          <w:szCs w:val="22"/>
          <w:color w:val="auto"/>
        </w:rPr>
        <w:t>if the Participant had remained continuously employed or providing services to the Company or its Affiliates through each such Vesting Date. For the avoidance of doubt, if the Participant violates the Restrictive Covenant Agreement, the Participant shall forfeit all outstanding, unvested RSUs as of the date of such violation.</w:t>
      </w:r>
    </w:p>
    <w:p>
      <w:pPr>
        <w:spacing w:after="0" w:line="176" w:lineRule="exact"/>
        <w:rPr>
          <w:sz w:val="20"/>
          <w:szCs w:val="20"/>
          <w:color w:val="auto"/>
        </w:rPr>
      </w:pPr>
    </w:p>
    <w:p>
      <w:pPr>
        <w:ind w:left="500" w:right="200" w:firstLine="494"/>
        <w:spacing w:after="0" w:line="256" w:lineRule="auto"/>
        <w:tabs>
          <w:tab w:leader="none" w:pos="1466"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“Retirement”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203" w:lineRule="exact"/>
        <w:rPr>
          <w:rFonts w:ascii="Times New Roman" w:cs="Times New Roman" w:eastAsia="Times New Roman" w:hAnsi="Times New Roman"/>
          <w:sz w:val="22"/>
          <w:szCs w:val="22"/>
          <w:color w:val="auto"/>
        </w:rPr>
      </w:pPr>
    </w:p>
    <w:p>
      <w:pPr>
        <w:ind w:left="960" w:hanging="452"/>
        <w:spacing w:after="0"/>
        <w:tabs>
          <w:tab w:leader="none" w:pos="96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19" w:lineRule="exact"/>
        <w:rPr>
          <w:rFonts w:ascii="Times New Roman" w:cs="Times New Roman" w:eastAsia="Times New Roman" w:hAnsi="Times New Roman"/>
          <w:sz w:val="22"/>
          <w:szCs w:val="22"/>
          <w:color w:val="auto"/>
        </w:rPr>
      </w:pPr>
    </w:p>
    <w:p>
      <w:pPr>
        <w:ind w:left="500" w:firstLine="494"/>
        <w:spacing w:after="0" w:line="254" w:lineRule="auto"/>
        <w:tabs>
          <w:tab w:leader="none" w:pos="1460"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the RSUs shall remain outstanding and shall vest on each regularly scheduled Vesting Date following such Termination of Service as if the Participant had remained continuously employed or providing services to the Company or its Affiliates through each such Vesting Date, subject to the Participant’s continuous compliance with the Extended Non-Compete (as defined below) through each applicable Vesting Date. For the avoidance of doubt, if the Participant violates the Extended Non-Compete, the Participant shall forfeit all outstanding, unvested RSUs as of the date of such violation.</w:t>
      </w:r>
    </w:p>
    <w:p>
      <w:pPr>
        <w:spacing w:after="0" w:line="178" w:lineRule="exact"/>
        <w:rPr>
          <w:sz w:val="20"/>
          <w:szCs w:val="20"/>
          <w:color w:val="auto"/>
        </w:rPr>
      </w:pPr>
    </w:p>
    <w:p>
      <w:pPr>
        <w:ind w:left="1480" w:hanging="486"/>
        <w:spacing w:after="0"/>
        <w:tabs>
          <w:tab w:leader="none" w:pos="148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8" w:lineRule="exact"/>
        <w:rPr>
          <w:sz w:val="20"/>
          <w:szCs w:val="20"/>
          <w:color w:val="auto"/>
        </w:rPr>
      </w:pPr>
    </w:p>
    <w:p>
      <w:pPr>
        <w:ind w:left="500" w:right="220"/>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 each of the following conditions is met, as determined by the Committee in its sole discretion:</w:t>
      </w:r>
    </w:p>
    <w:p>
      <w:pPr>
        <w:spacing w:after="0" w:line="2" w:lineRule="exact"/>
        <w:rPr>
          <w:sz w:val="20"/>
          <w:szCs w:val="20"/>
          <w:color w:val="auto"/>
        </w:rPr>
      </w:pPr>
    </w:p>
    <w:p>
      <w:pPr>
        <w:ind w:left="1000" w:right="120" w:firstLine="480"/>
        <w:spacing w:after="0" w:line="246" w:lineRule="auto"/>
        <w:tabs>
          <w:tab w:leader="none" w:pos="200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29" w:lineRule="exact"/>
        <w:rPr>
          <w:rFonts w:ascii="Times New Roman" w:cs="Times New Roman" w:eastAsia="Times New Roman" w:hAnsi="Times New Roman"/>
          <w:sz w:val="22"/>
          <w:szCs w:val="22"/>
          <w:color w:val="auto"/>
        </w:rPr>
      </w:pPr>
    </w:p>
    <w:p>
      <w:pPr>
        <w:ind w:left="1000" w:right="280" w:firstLine="480"/>
        <w:spacing w:after="0" w:line="295" w:lineRule="auto"/>
        <w:tabs>
          <w:tab w:leader="none" w:pos="199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connection with the Participant’s Termination of Service, the Participant enters into an extended restrictive covenant agreement in the form provided by the Company, which agreement</w:t>
      </w:r>
    </w:p>
    <w:p>
      <w:pPr>
        <w:spacing w:after="0" w:line="200" w:lineRule="exact"/>
        <w:rPr>
          <w:sz w:val="20"/>
          <w:szCs w:val="20"/>
          <w:color w:val="auto"/>
        </w:rPr>
      </w:pPr>
    </w:p>
    <w:p>
      <w:pPr>
        <w:spacing w:after="0" w:line="33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40"/>
          </w:cols>
          <w:pgMar w:left="1440" w:top="1440" w:right="5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22"/>
          <w:szCs w:val="22"/>
          <w:color w:val="auto"/>
        </w:rPr>
        <w:t>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264" w:lineRule="exact"/>
        <w:rPr>
          <w:sz w:val="20"/>
          <w:szCs w:val="20"/>
          <w:color w:val="auto"/>
        </w:rPr>
      </w:pPr>
    </w:p>
    <w:p>
      <w:pPr>
        <w:ind w:left="1700" w:firstLine="480"/>
        <w:spacing w:after="0" w:line="257" w:lineRule="auto"/>
        <w:tabs>
          <w:tab w:leader="none" w:pos="2690"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199" w:lineRule="exact"/>
        <w:rPr>
          <w:rFonts w:ascii="Times New Roman" w:cs="Times New Roman" w:eastAsia="Times New Roman" w:hAnsi="Times New Roman"/>
          <w:sz w:val="22"/>
          <w:szCs w:val="22"/>
          <w:color w:val="auto"/>
        </w:rPr>
      </w:pPr>
    </w:p>
    <w:p>
      <w:pPr>
        <w:ind w:left="1700" w:right="120" w:firstLine="480"/>
        <w:spacing w:after="0" w:line="271" w:lineRule="auto"/>
        <w:tabs>
          <w:tab w:leader="none" w:pos="2702" w:val="left"/>
        </w:tabs>
        <w:numPr>
          <w:ilvl w:val="2"/>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221" w:lineRule="exact"/>
        <w:rPr>
          <w:rFonts w:ascii="Times New Roman" w:cs="Times New Roman" w:eastAsia="Times New Roman" w:hAnsi="Times New Roman"/>
          <w:sz w:val="22"/>
          <w:szCs w:val="22"/>
          <w:color w:val="auto"/>
        </w:rPr>
      </w:pPr>
    </w:p>
    <w:p>
      <w:pPr>
        <w:ind w:right="140" w:firstLine="682"/>
        <w:spacing w:after="0" w:line="249" w:lineRule="auto"/>
        <w:tabs>
          <w:tab w:leader="none" w:pos="105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Change in Control, subject to the Participant’s execution and non-revocation of a customary release of claims in favor of the Company and its Affiliates prior to such Change in Control, any unvested RSUs that are outstanding as of immediately prior to such Change in Control shall immediately become fully vested and non-forfeitable and the Shares underlying such vested RSUs shall be distributed to the Participant upon such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RSUs to which Section 19 of the Plan applies because such RSUs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Date(s) set forth in this Agreement pursuant to Section 3(d), except to the extent that earlier distribution would not result in the Participant incurring any additional tax, penalty, interest or other expense under Section 409A and 457A of the Code.</w:t>
      </w:r>
    </w:p>
    <w:p>
      <w:pPr>
        <w:spacing w:after="0" w:line="205" w:lineRule="exact"/>
        <w:rPr>
          <w:rFonts w:ascii="Times New Roman" w:cs="Times New Roman" w:eastAsia="Times New Roman" w:hAnsi="Times New Roman"/>
          <w:sz w:val="22"/>
          <w:szCs w:val="22"/>
          <w:color w:val="auto"/>
        </w:rPr>
      </w:pPr>
    </w:p>
    <w:p>
      <w:pPr>
        <w:ind w:left="1060" w:hanging="378"/>
        <w:spacing w:after="0"/>
        <w:tabs>
          <w:tab w:leader="none" w:pos="106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640" w:firstLine="568"/>
        <w:spacing w:after="0" w:line="256" w:lineRule="auto"/>
        <w:tabs>
          <w:tab w:leader="none" w:pos="165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RSUs granted hereunder and any related dividend distribution.</w:t>
      </w:r>
    </w:p>
    <w:p>
      <w:pPr>
        <w:spacing w:after="0" w:line="203" w:lineRule="exact"/>
        <w:rPr>
          <w:rFonts w:ascii="Times New Roman" w:cs="Times New Roman" w:eastAsia="Times New Roman" w:hAnsi="Times New Roman"/>
          <w:sz w:val="22"/>
          <w:szCs w:val="22"/>
          <w:color w:val="auto"/>
        </w:rPr>
      </w:pPr>
    </w:p>
    <w:p>
      <w:pPr>
        <w:ind w:left="640" w:right="20" w:firstLine="568"/>
        <w:spacing w:after="0" w:line="251" w:lineRule="auto"/>
        <w:tabs>
          <w:tab w:leader="none" w:pos="166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RSUs or Shares issuable under the RSUs that have a fair market value</w:t>
      </w:r>
    </w:p>
    <w:p>
      <w:pPr>
        <w:spacing w:after="0" w:line="200" w:lineRule="exact"/>
        <w:rPr>
          <w:sz w:val="20"/>
          <w:szCs w:val="20"/>
          <w:color w:val="auto"/>
        </w:rPr>
      </w:pPr>
    </w:p>
    <w:p>
      <w:pPr>
        <w:spacing w:after="0" w:line="37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560"/>
          </w:cols>
          <w:pgMar w:left="740" w:top="1337" w:right="599" w:bottom="1440" w:gutter="0" w:footer="0" w:header="0"/>
        </w:sectPr>
      </w:pPr>
    </w:p>
    <w:bookmarkStart w:id="87" w:name="page88"/>
    <w:bookmarkEnd w:id="87"/>
    <w:p>
      <w:pPr>
        <w:ind w:left="640" w:right="840"/>
        <w:spacing w:after="0" w:line="263" w:lineRule="auto"/>
        <w:rPr>
          <w:sz w:val="20"/>
          <w:szCs w:val="20"/>
          <w:color w:val="auto"/>
        </w:rPr>
      </w:pPr>
      <w:r>
        <w:rPr>
          <w:rFonts w:ascii="Times New Roman" w:cs="Times New Roman" w:eastAsia="Times New Roman" w:hAnsi="Times New Roman"/>
          <w:sz w:val="22"/>
          <w:szCs w:val="22"/>
          <w:color w:val="auto"/>
        </w:rPr>
        <w:t>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190" w:lineRule="exact"/>
        <w:rPr>
          <w:sz w:val="20"/>
          <w:szCs w:val="20"/>
          <w:color w:val="auto"/>
        </w:rPr>
      </w:pPr>
    </w:p>
    <w:p>
      <w:pPr>
        <w:ind w:right="100" w:firstLine="682"/>
        <w:spacing w:after="0" w:line="252" w:lineRule="auto"/>
        <w:tabs>
          <w:tab w:leader="none" w:pos="10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15" w:lineRule="exact"/>
        <w:rPr>
          <w:rFonts w:ascii="Times New Roman" w:cs="Times New Roman" w:eastAsia="Times New Roman" w:hAnsi="Times New Roman"/>
          <w:sz w:val="22"/>
          <w:szCs w:val="22"/>
          <w:color w:val="auto"/>
        </w:rPr>
      </w:pPr>
    </w:p>
    <w:p>
      <w:pPr>
        <w:ind w:right="60" w:firstLine="682"/>
        <w:spacing w:after="0" w:line="249" w:lineRule="auto"/>
        <w:tabs>
          <w:tab w:leader="none" w:pos="10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cooperating 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276" w:lineRule="exact"/>
        <w:rPr>
          <w:rFonts w:ascii="Times New Roman" w:cs="Times New Roman" w:eastAsia="Times New Roman" w:hAnsi="Times New Roman"/>
          <w:sz w:val="22"/>
          <w:szCs w:val="22"/>
          <w:color w:val="auto"/>
        </w:rPr>
      </w:pPr>
    </w:p>
    <w:p>
      <w:pPr>
        <w:ind w:right="380" w:firstLine="574"/>
        <w:spacing w:after="0" w:line="299" w:lineRule="auto"/>
        <w:tabs>
          <w:tab w:leader="none" w:pos="105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right="420" w:firstLine="574"/>
        <w:spacing w:after="0" w:line="265" w:lineRule="auto"/>
        <w:tabs>
          <w:tab w:leader="none" w:pos="105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recoupment or “clawback” as may be required by applicable law, stock exchange rules or by any applicable Company policy or arrangement the Company has in place from time to time.</w:t>
      </w:r>
    </w:p>
    <w:p>
      <w:pPr>
        <w:spacing w:after="0" w:line="201" w:lineRule="exact"/>
        <w:rPr>
          <w:rFonts w:ascii="Times New Roman" w:cs="Times New Roman" w:eastAsia="Times New Roman" w:hAnsi="Times New Roman"/>
          <w:sz w:val="22"/>
          <w:szCs w:val="22"/>
          <w:color w:val="auto"/>
        </w:rPr>
      </w:pPr>
    </w:p>
    <w:p>
      <w:pPr>
        <w:ind w:firstLine="574"/>
        <w:spacing w:after="0" w:line="259" w:lineRule="auto"/>
        <w:tabs>
          <w:tab w:leader="none" w:pos="105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206" w:lineRule="exact"/>
        <w:rPr>
          <w:rFonts w:ascii="Times New Roman" w:cs="Times New Roman" w:eastAsia="Times New Roman" w:hAnsi="Times New Roman"/>
          <w:sz w:val="22"/>
          <w:szCs w:val="22"/>
          <w:color w:val="auto"/>
        </w:rPr>
      </w:pPr>
    </w:p>
    <w:p>
      <w:pPr>
        <w:ind w:left="1060" w:hanging="486"/>
        <w:spacing w:after="0"/>
        <w:tabs>
          <w:tab w:leader="none" w:pos="1060"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40" w:right="420" w:firstLine="568"/>
        <w:spacing w:after="0" w:line="259" w:lineRule="auto"/>
        <w:tabs>
          <w:tab w:leader="none" w:pos="1654"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w:t>
      </w:r>
      <w:r>
        <w:rPr>
          <w:rFonts w:ascii="Times New Roman" w:cs="Times New Roman" w:eastAsia="Times New Roman" w:hAnsi="Times New Roman"/>
          <w:sz w:val="22"/>
          <w:szCs w:val="22"/>
          <w:color w:val="auto"/>
        </w:rPr>
        <w:t>Any notice required or permitted to be given under this Agreement shall be in writing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deemed to have been given when delivered personally or by courier, or sent by certified or registered mail, postage</w:t>
      </w:r>
    </w:p>
    <w:p>
      <w:pPr>
        <w:spacing w:after="0" w:line="200" w:lineRule="exact"/>
        <w:rPr>
          <w:sz w:val="20"/>
          <w:szCs w:val="20"/>
          <w:color w:val="auto"/>
        </w:rPr>
      </w:pPr>
    </w:p>
    <w:p>
      <w:pPr>
        <w:spacing w:after="0" w:line="3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600"/>
          </w:cols>
          <w:pgMar w:left="740" w:top="1341" w:right="559" w:bottom="1440" w:gutter="0" w:footer="0" w:header="0"/>
        </w:sectPr>
      </w:pPr>
    </w:p>
    <w:bookmarkStart w:id="88" w:name="page89"/>
    <w:bookmarkEnd w:id="88"/>
    <w:p>
      <w:pPr>
        <w:ind w:right="160"/>
        <w:spacing w:after="0" w:line="271" w:lineRule="auto"/>
        <w:rPr>
          <w:sz w:val="20"/>
          <w:szCs w:val="20"/>
          <w:color w:val="auto"/>
        </w:rPr>
      </w:pPr>
      <w:r>
        <w:rPr>
          <w:rFonts w:ascii="Times New Roman" w:cs="Times New Roman" w:eastAsia="Times New Roman" w:hAnsi="Times New Roman"/>
          <w:sz w:val="22"/>
          <w:szCs w:val="22"/>
          <w:color w:val="auto"/>
        </w:rPr>
        <w:t>prepaid, return receipt requested, duly addressed to the party concerned at the address indicated below or to such changed address as such party may subsequently by similar process give notice of: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Lake Forest, Illinois 60045 Attention: Valerie Miller Richards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60" w:lineRule="exact"/>
        <w:rPr>
          <w:sz w:val="20"/>
          <w:szCs w:val="20"/>
          <w:color w:val="auto"/>
        </w:rPr>
      </w:pPr>
    </w:p>
    <w:p>
      <w:pPr>
        <w:ind w:left="660" w:right="200"/>
        <w:spacing w:after="0" w:line="263"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190" w:lineRule="exact"/>
        <w:rPr>
          <w:sz w:val="20"/>
          <w:szCs w:val="20"/>
          <w:color w:val="auto"/>
        </w:rPr>
      </w:pPr>
    </w:p>
    <w:p>
      <w:pPr>
        <w:ind w:firstLine="568"/>
        <w:spacing w:after="0" w:line="261" w:lineRule="auto"/>
        <w:tabs>
          <w:tab w:leader="none" w:pos="1026"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Entire Agreement. </w:t>
      </w:r>
      <w:r>
        <w:rPr>
          <w:rFonts w:ascii="Times New Roman" w:cs="Times New Roman" w:eastAsia="Times New Roman" w:hAnsi="Times New Roman"/>
          <w:sz w:val="21"/>
          <w:szCs w:val="21"/>
          <w:color w:val="auto"/>
        </w:rPr>
        <w:t>This Agreement, the Plan and any other agreements, schedules, exhibits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provided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208" w:lineRule="exact"/>
        <w:rPr>
          <w:rFonts w:ascii="Times New Roman" w:cs="Times New Roman" w:eastAsia="Times New Roman" w:hAnsi="Times New Roman"/>
          <w:sz w:val="21"/>
          <w:szCs w:val="21"/>
          <w:color w:val="auto"/>
        </w:rPr>
      </w:pPr>
    </w:p>
    <w:p>
      <w:pPr>
        <w:ind w:right="60" w:firstLine="568"/>
        <w:spacing w:after="0" w:line="254" w:lineRule="auto"/>
        <w:tabs>
          <w:tab w:leader="none" w:pos="101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Sections 409A and 457A of the Code. </w:t>
      </w:r>
      <w:r>
        <w:rPr>
          <w:rFonts w:ascii="Times New Roman" w:cs="Times New Roman" w:eastAsia="Times New Roman" w:hAnsi="Times New Roman"/>
          <w:sz w:val="22"/>
          <w:szCs w:val="22"/>
          <w:color w:val="auto"/>
        </w:rPr>
        <w:t>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200" w:lineRule="exact"/>
        <w:rPr>
          <w:rFonts w:ascii="Times New Roman" w:cs="Times New Roman" w:eastAsia="Times New Roman" w:hAnsi="Times New Roman"/>
          <w:sz w:val="22"/>
          <w:szCs w:val="22"/>
          <w:color w:val="auto"/>
        </w:rPr>
      </w:pPr>
    </w:p>
    <w:p>
      <w:pPr>
        <w:ind w:right="320" w:firstLine="568"/>
        <w:spacing w:after="0" w:line="259" w:lineRule="auto"/>
        <w:tabs>
          <w:tab w:leader="none" w:pos="102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w:t>
      </w:r>
    </w:p>
    <w:p>
      <w:pPr>
        <w:spacing w:after="0" w:line="200" w:lineRule="exact"/>
        <w:rPr>
          <w:sz w:val="20"/>
          <w:szCs w:val="20"/>
          <w:color w:val="auto"/>
        </w:rPr>
      </w:pPr>
    </w:p>
    <w:p>
      <w:pPr>
        <w:spacing w:after="0" w:line="36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900"/>
          </w:cols>
          <w:pgMar w:left="1380" w:top="1341" w:right="619" w:bottom="1440" w:gutter="0" w:footer="0" w:header="0"/>
        </w:sectPr>
      </w:pPr>
    </w:p>
    <w:bookmarkStart w:id="89" w:name="page90"/>
    <w:bookmarkEnd w:id="89"/>
    <w:p>
      <w:pPr>
        <w:jc w:val="both"/>
        <w:ind w:right="320"/>
        <w:spacing w:after="0" w:line="263" w:lineRule="auto"/>
        <w:rPr>
          <w:sz w:val="20"/>
          <w:szCs w:val="20"/>
          <w:color w:val="auto"/>
        </w:rPr>
      </w:pPr>
      <w:r>
        <w:rPr>
          <w:rFonts w:ascii="Times New Roman" w:cs="Times New Roman" w:eastAsia="Times New Roman" w:hAnsi="Times New Roman"/>
          <w:sz w:val="22"/>
          <w:szCs w:val="22"/>
          <w:color w:val="auto"/>
        </w:rPr>
        <w:t>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190" w:lineRule="exact"/>
        <w:rPr>
          <w:sz w:val="20"/>
          <w:szCs w:val="20"/>
          <w:color w:val="auto"/>
        </w:rPr>
      </w:pPr>
    </w:p>
    <w:p>
      <w:pPr>
        <w:ind w:right="60" w:firstLine="568"/>
        <w:spacing w:after="0" w:line="249" w:lineRule="auto"/>
        <w:tabs>
          <w:tab w:leader="none" w:pos="1014"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Waiver. </w:t>
      </w:r>
      <w:r>
        <w:rPr>
          <w:rFonts w:ascii="Times New Roman" w:cs="Times New Roman" w:eastAsia="Times New Roman" w:hAnsi="Times New Roman"/>
          <w:sz w:val="22"/>
          <w:szCs w:val="22"/>
          <w:color w:val="auto"/>
        </w:rPr>
        <w:t>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adverse effect on the Participant shall be effective unless signed in writing by or on behalf of the Company and the Participant; provided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222" w:lineRule="exact"/>
        <w:rPr>
          <w:rFonts w:ascii="Times New Roman" w:cs="Times New Roman" w:eastAsia="Times New Roman" w:hAnsi="Times New Roman"/>
          <w:sz w:val="22"/>
          <w:szCs w:val="22"/>
          <w:color w:val="auto"/>
        </w:rPr>
      </w:pPr>
    </w:p>
    <w:p>
      <w:pPr>
        <w:ind w:right="140" w:firstLine="568"/>
        <w:spacing w:after="0" w:line="275" w:lineRule="auto"/>
        <w:tabs>
          <w:tab w:leader="none" w:pos="99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Assignment. </w:t>
      </w:r>
      <w:r>
        <w:rPr>
          <w:rFonts w:ascii="Times New Roman" w:cs="Times New Roman" w:eastAsia="Times New Roman" w:hAnsi="Times New Roman"/>
          <w:sz w:val="22"/>
          <w:szCs w:val="22"/>
          <w:color w:val="auto"/>
        </w:rPr>
        <w:t>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76" w:lineRule="exact"/>
        <w:rPr>
          <w:rFonts w:ascii="Times New Roman" w:cs="Times New Roman" w:eastAsia="Times New Roman" w:hAnsi="Times New Roman"/>
          <w:sz w:val="22"/>
          <w:szCs w:val="22"/>
          <w:color w:val="auto"/>
        </w:rPr>
      </w:pPr>
    </w:p>
    <w:p>
      <w:pPr>
        <w:ind w:right="140" w:firstLine="568"/>
        <w:spacing w:after="0" w:line="269" w:lineRule="auto"/>
        <w:tabs>
          <w:tab w:leader="none" w:pos="102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Successors and Assigns; No Third-Party Beneficiaries. </w:t>
      </w:r>
      <w:r>
        <w:rPr>
          <w:rFonts w:ascii="Times New Roman" w:cs="Times New Roman" w:eastAsia="Times New Roman" w:hAnsi="Times New Roman"/>
          <w:sz w:val="21"/>
          <w:szCs w:val="21"/>
          <w:color w:val="auto"/>
        </w:rPr>
        <w:t>This Agreement shall inure to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185" w:lineRule="exact"/>
        <w:rPr>
          <w:rFonts w:ascii="Times New Roman" w:cs="Times New Roman" w:eastAsia="Times New Roman" w:hAnsi="Times New Roman"/>
          <w:sz w:val="21"/>
          <w:szCs w:val="21"/>
          <w:color w:val="auto"/>
        </w:rPr>
      </w:pPr>
    </w:p>
    <w:p>
      <w:pPr>
        <w:ind w:firstLine="568"/>
        <w:spacing w:after="0" w:line="252" w:lineRule="auto"/>
        <w:tabs>
          <w:tab w:leader="none" w:pos="102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Waiver of Jury Trial. </w:t>
      </w:r>
      <w:r>
        <w:rPr>
          <w:rFonts w:ascii="Times New Roman" w:cs="Times New Roman" w:eastAsia="Times New Roman" w:hAnsi="Times New Roman"/>
          <w:sz w:val="22"/>
          <w:szCs w:val="22"/>
          <w:color w:val="auto"/>
        </w:rPr>
        <w:t>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201" w:lineRule="exact"/>
        <w:rPr>
          <w:rFonts w:ascii="Times New Roman" w:cs="Times New Roman" w:eastAsia="Times New Roman" w:hAnsi="Times New Roman"/>
          <w:sz w:val="22"/>
          <w:szCs w:val="22"/>
          <w:color w:val="auto"/>
        </w:rPr>
      </w:pPr>
    </w:p>
    <w:p>
      <w:pPr>
        <w:ind w:right="220" w:firstLine="568"/>
        <w:spacing w:after="0" w:line="269" w:lineRule="auto"/>
        <w:tabs>
          <w:tab w:leader="none" w:pos="978"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Dispute Resolution. </w:t>
      </w:r>
      <w:r>
        <w:rPr>
          <w:rFonts w:ascii="Times New Roman" w:cs="Times New Roman" w:eastAsia="Times New Roman" w:hAnsi="Times New Roman"/>
          <w:sz w:val="21"/>
          <w:szCs w:val="21"/>
          <w:color w:val="auto"/>
        </w:rPr>
        <w:t>Any dispute or claim arising out of, under or in connection with the Plan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rules in force when the notice of arbitration is submitted. The arbitration shall be conducted before an arbitration tribunal comprised of one individual, mutually selected by the Company and the Participant, such selection</w:t>
      </w:r>
    </w:p>
    <w:p>
      <w:pPr>
        <w:spacing w:after="0" w:line="200" w:lineRule="exact"/>
        <w:rPr>
          <w:sz w:val="20"/>
          <w:szCs w:val="20"/>
          <w:color w:val="auto"/>
        </w:rPr>
      </w:pPr>
    </w:p>
    <w:p>
      <w:pPr>
        <w:spacing w:after="0" w:line="3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920"/>
          </w:cols>
          <w:pgMar w:left="1380" w:top="1341" w:right="599" w:bottom="1440" w:gutter="0" w:footer="0" w:header="0"/>
        </w:sectPr>
      </w:pPr>
    </w:p>
    <w:bookmarkStart w:id="90" w:name="page91"/>
    <w:bookmarkEnd w:id="90"/>
    <w:p>
      <w:pPr>
        <w:spacing w:after="0" w:line="250" w:lineRule="auto"/>
        <w:rPr>
          <w:sz w:val="20"/>
          <w:szCs w:val="20"/>
          <w:color w:val="auto"/>
        </w:rPr>
      </w:pPr>
      <w:r>
        <w:rPr>
          <w:rFonts w:ascii="Times New Roman" w:cs="Times New Roman" w:eastAsia="Times New Roman" w:hAnsi="Times New Roman"/>
          <w:sz w:val="22"/>
          <w:szCs w:val="22"/>
          <w:color w:val="auto"/>
        </w:rPr>
        <w:t>to be made within 30 calendar days after notice of arbitration has been given. In 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203" w:lineRule="exact"/>
        <w:rPr>
          <w:sz w:val="20"/>
          <w:szCs w:val="20"/>
          <w:color w:val="auto"/>
        </w:rPr>
      </w:pPr>
    </w:p>
    <w:p>
      <w:pPr>
        <w:ind w:right="20" w:firstLine="568"/>
        <w:spacing w:after="0" w:line="250" w:lineRule="auto"/>
        <w:tabs>
          <w:tab w:leader="none" w:pos="97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Participant Undertaking; Acceptance. </w:t>
      </w:r>
      <w:r>
        <w:rPr>
          <w:rFonts w:ascii="Times New Roman" w:cs="Times New Roman" w:eastAsia="Times New Roman" w:hAnsi="Times New Roman"/>
          <w:sz w:val="22"/>
          <w:szCs w:val="22"/>
          <w:color w:val="auto"/>
        </w:rPr>
        <w:t>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220" w:lineRule="exact"/>
        <w:rPr>
          <w:rFonts w:ascii="Times New Roman" w:cs="Times New Roman" w:eastAsia="Times New Roman" w:hAnsi="Times New Roman"/>
          <w:sz w:val="22"/>
          <w:szCs w:val="22"/>
          <w:color w:val="auto"/>
        </w:rPr>
      </w:pPr>
    </w:p>
    <w:p>
      <w:pPr>
        <w:ind w:right="140" w:firstLine="568"/>
        <w:spacing w:after="0" w:line="275" w:lineRule="auto"/>
        <w:tabs>
          <w:tab w:leader="none" w:pos="1026"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Captions. </w:t>
      </w:r>
      <w:r>
        <w:rPr>
          <w:rFonts w:ascii="Times New Roman" w:cs="Times New Roman" w:eastAsia="Times New Roman" w:hAnsi="Times New Roman"/>
          <w:sz w:val="22"/>
          <w:szCs w:val="22"/>
          <w:color w:val="auto"/>
        </w:rPr>
        <w:t>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176" w:lineRule="exact"/>
        <w:rPr>
          <w:rFonts w:ascii="Times New Roman" w:cs="Times New Roman" w:eastAsia="Times New Roman" w:hAnsi="Times New Roman"/>
          <w:sz w:val="22"/>
          <w:szCs w:val="22"/>
          <w:color w:val="auto"/>
        </w:rPr>
      </w:pPr>
    </w:p>
    <w:p>
      <w:pPr>
        <w:ind w:firstLine="568"/>
        <w:spacing w:after="0" w:line="275" w:lineRule="auto"/>
        <w:tabs>
          <w:tab w:leader="none" w:pos="97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executed in two counterparts, each of which shall constitute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same instrument.</w:t>
      </w:r>
    </w:p>
    <w:p>
      <w:pPr>
        <w:spacing w:after="0" w:line="1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920"/>
          </w:cols>
          <w:pgMar w:left="1380" w:top="1341" w:right="599" w:bottom="1440" w:gutter="0" w:footer="0" w:header="0"/>
        </w:sectPr>
      </w:pPr>
    </w:p>
    <w:bookmarkStart w:id="91" w:name="page92"/>
    <w:bookmarkEnd w:id="91"/>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INC.</w:t>
      </w:r>
    </w:p>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27940</wp:posOffset>
            </wp:positionV>
            <wp:extent cx="24771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Scott E. Huckins</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10240"/>
          </w:cols>
          <w:pgMar w:left="420" w:top="1408" w:right="1239" w:bottom="1440" w:gutter="0" w:footer="0" w:header="0"/>
        </w:sectPr>
      </w:pPr>
    </w:p>
    <w:bookmarkStart w:id="92" w:name="page93"/>
    <w:bookmarkEnd w:id="9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%%FIRST_NAME_MIDDLE_NAME_LAST_NAME%-%</w:t>
      </w:r>
    </w:p>
    <w:p>
      <w:pPr>
        <w:spacing w:after="0" w:line="188" w:lineRule="exact"/>
        <w:rPr>
          <w:sz w:val="20"/>
          <w:szCs w:val="20"/>
          <w:color w:val="auto"/>
        </w:rPr>
      </w:pPr>
    </w:p>
    <w:p>
      <w:pPr>
        <w:sectPr>
          <w:pgSz w:w="11900" w:h="16838" w:orient="portrait"/>
          <w:cols w:equalWidth="0" w:num="2">
            <w:col w:w="320" w:space="300"/>
            <w:col w:w="9419"/>
          </w:cols>
          <w:pgMar w:left="420" w:top="1192" w:right="1440" w:bottom="1440" w:gutter="0" w:footer="0" w:header="0"/>
        </w:sectPr>
      </w:pP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Address: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%%ADDRESS_LINE_1%-%</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%%ADDRESS_LINE_2%-%</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%%CITY_STATE_ZIPCODE%-%</w:t>
      </w:r>
    </w:p>
    <w:p>
      <w:pPr>
        <w:sectPr>
          <w:pgSz w:w="11900" w:h="16838" w:orient="portrait"/>
          <w:cols w:equalWidth="0" w:num="1">
            <w:col w:w="10039"/>
          </w:cols>
          <w:pgMar w:left="420" w:top="1192" w:right="1440" w:bottom="1440" w:gutter="0" w:footer="0" w:header="0"/>
          <w:type w:val="continuous"/>
        </w:sectPr>
      </w:pPr>
    </w:p>
    <w:bookmarkStart w:id="93" w:name="page94"/>
    <w:bookmarkEnd w:id="93"/>
    <w:p>
      <w:pPr>
        <w:ind w:left="1014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REYNOLDS CONSUMER PRODUCTS INC. EQUITY INCENTIVE PLAN NOTICE OF PERFORMANCE</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SHARE UNIT AWARD</w:t>
      </w:r>
    </w:p>
    <w:p>
      <w:pPr>
        <w:spacing w:after="0" w:line="37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1"/>
          <w:szCs w:val="21"/>
          <w:color w:val="auto"/>
        </w:rPr>
        <w:t>%%OPTION_DATE,1'%-%</w:t>
      </w:r>
    </w:p>
    <w:p>
      <w:pPr>
        <w:spacing w:after="0" w:line="25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color w:val="auto"/>
        </w:rPr>
        <w:t>Reynolds Consumer Products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the Participant, effective as of the Grant Date (as set forth below), a Performance Share Unit Award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xml:space="preserve"> ”) under the Reynolds Consumer Products Inc. Equity Incentive Plan (as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 Award is subject to the terms and conditions set forth in this award grant letter (this “</w:t>
      </w:r>
      <w:r>
        <w:rPr>
          <w:rFonts w:ascii="Times New Roman" w:cs="Times New Roman" w:eastAsia="Times New Roman" w:hAnsi="Times New Roman"/>
          <w:sz w:val="21"/>
          <w:szCs w:val="21"/>
          <w:b w:val="1"/>
          <w:bCs w:val="1"/>
          <w:color w:val="auto"/>
        </w:rPr>
        <w:t>Grant Letter</w:t>
      </w:r>
      <w:r>
        <w:rPr>
          <w:rFonts w:ascii="Times New Roman" w:cs="Times New Roman" w:eastAsia="Times New Roman" w:hAnsi="Times New Roman"/>
          <w:sz w:val="21"/>
          <w:szCs w:val="21"/>
          <w:color w:val="auto"/>
        </w:rPr>
        <w:t xml:space="preserve">”), the Performance Share Unit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all exhibits and appendices thereto)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and, together with this Grant Letter,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060"/>
          </w:cols>
          <w:pgMar w:left="500" w:top="117" w:right="339" w:bottom="1440" w:gutter="0" w:footer="0" w:header="0"/>
        </w:sectPr>
      </w:pPr>
    </w:p>
    <w:bookmarkStart w:id="94" w:name="page95"/>
    <w:bookmarkEnd w:id="94"/>
    <w:p>
      <w:pPr>
        <w:ind w:left="1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ind w:left="140"/>
        <w:spacing w:after="0" w:line="230" w:lineRule="auto"/>
        <w:rPr>
          <w:sz w:val="20"/>
          <w:szCs w:val="20"/>
          <w:color w:val="auto"/>
        </w:rPr>
      </w:pPr>
      <w:r>
        <w:rPr>
          <w:rFonts w:ascii="Times New Roman" w:cs="Times New Roman" w:eastAsia="Times New Roman" w:hAnsi="Times New Roman"/>
          <w:sz w:val="22"/>
          <w:szCs w:val="22"/>
          <w:b w:val="1"/>
          <w:bCs w:val="1"/>
          <w:color w:val="auto"/>
        </w:rPr>
        <w:t>Target Number of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Performance Condition:</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%%TOTAL_SHARES_GRANTED,7%-%</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1"/>
          <w:szCs w:val="21"/>
          <w:color w:val="auto"/>
        </w:rPr>
        <w:t>is the target number of performance share units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xml:space="preserve">”) granted under this Award. PSUs shall be settled in Shares at a range from zero percent (0%) to 200% of target based on the achieved results against the Performance Condition set forth on Attachment A to the Award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settlement shall occur unless both (i) Participant does not experience a Termination of Service (other than due to death, Retirement or Enhanced Retirement (as defined in the Award Agreement)) at any time prior to the applicable Vesting Date and (ii) the minimum Performance Condition (as such term is defined below) is satisfied. Each PSU shall correspond to a single Share.</w:t>
      </w:r>
    </w:p>
    <w:p>
      <w:pPr>
        <w:spacing w:after="0" w:line="9" w:lineRule="exact"/>
        <w:rPr>
          <w:sz w:val="20"/>
          <w:szCs w:val="20"/>
          <w:color w:val="auto"/>
        </w:rPr>
      </w:pPr>
    </w:p>
    <w:p>
      <w:pPr>
        <w:ind w:right="304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2"/>
          <w:szCs w:val="22"/>
          <w:color w:val="auto"/>
        </w:rPr>
        <w:t>The Award shall be subject to satisfaction of the Performance Condition as set forth on Attachment A, subject to the terms set forth in the Award Agreement. Subject to the terms and conditions of the Award Agreement (including the satisfaction of the Performance Condition), the Shares subject to the Award shall vest on the third anniversary of the Grant Date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040" w:space="640"/>
            <w:col w:w="7080"/>
          </w:cols>
          <w:pgMar w:left="500" w:top="1283" w:right="6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1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 Otherwise, please provide your signature, address and the date for this Agreement where indicated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760"/>
          </w:cols>
          <w:pgMar w:left="500" w:top="1283" w:right="639" w:bottom="1440" w:gutter="0" w:footer="0" w:header="0"/>
          <w:type w:val="continuous"/>
        </w:sectPr>
      </w:pPr>
    </w:p>
    <w:bookmarkStart w:id="95" w:name="page96"/>
    <w:bookmarkEnd w:id="95"/>
    <w:p>
      <w:pPr>
        <w:spacing w:after="0" w:line="7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19"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2"/>
          <w:szCs w:val="22"/>
          <w:color w:val="auto"/>
        </w:rPr>
        <w:t>This Performance Share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as the Participant.</w:t>
      </w:r>
    </w:p>
    <w:p>
      <w:pPr>
        <w:spacing w:after="0" w:line="206"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44" w:lineRule="exact"/>
        <w:rPr>
          <w:sz w:val="20"/>
          <w:szCs w:val="20"/>
          <w:color w:val="auto"/>
        </w:rPr>
      </w:pPr>
    </w:p>
    <w:p>
      <w:pPr>
        <w:ind w:right="760" w:firstLine="648"/>
        <w:spacing w:after="0" w:line="263" w:lineRule="auto"/>
        <w:rPr>
          <w:sz w:val="20"/>
          <w:szCs w:val="20"/>
          <w:color w:val="auto"/>
        </w:rPr>
      </w:pPr>
      <w:r>
        <w:rPr>
          <w:rFonts w:ascii="Times New Roman" w:cs="Times New Roman" w:eastAsia="Times New Roman" w:hAnsi="Times New Roman"/>
          <w:sz w:val="22"/>
          <w:szCs w:val="22"/>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67" w:lineRule="exact"/>
        <w:rPr>
          <w:sz w:val="20"/>
          <w:szCs w:val="20"/>
          <w:color w:val="auto"/>
        </w:rPr>
      </w:pPr>
    </w:p>
    <w:p>
      <w:pPr>
        <w:ind w:right="26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ind w:right="140" w:firstLine="688"/>
        <w:spacing w:after="0" w:line="262" w:lineRule="auto"/>
        <w:tabs>
          <w:tab w:leader="none" w:pos="105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share units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191" w:lineRule="exact"/>
        <w:rPr>
          <w:rFonts w:ascii="Times New Roman" w:cs="Times New Roman" w:eastAsia="Times New Roman" w:hAnsi="Times New Roman"/>
          <w:sz w:val="22"/>
          <w:szCs w:val="22"/>
          <w:color w:val="auto"/>
        </w:rPr>
      </w:pPr>
    </w:p>
    <w:p>
      <w:pPr>
        <w:ind w:right="480" w:firstLine="688"/>
        <w:spacing w:after="0" w:line="262" w:lineRule="auto"/>
        <w:tabs>
          <w:tab w:leader="none" w:pos="105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PSUs</w:t>
      </w:r>
      <w:r>
        <w:rPr>
          <w:rFonts w:ascii="Times New Roman" w:cs="Times New Roman" w:eastAsia="Times New Roman" w:hAnsi="Times New Roman"/>
          <w:sz w:val="22"/>
          <w:szCs w:val="22"/>
          <w:color w:val="auto"/>
        </w:rPr>
        <w:t>. To the extent that the Award has vested, the PSUs associated with such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settled based on the level of attainment of the “</w:t>
      </w:r>
      <w:r>
        <w:rPr>
          <w:rFonts w:ascii="Times New Roman" w:cs="Times New Roman" w:eastAsia="Times New Roman" w:hAnsi="Times New Roman"/>
          <w:sz w:val="22"/>
          <w:szCs w:val="22"/>
          <w:b w:val="1"/>
          <w:bCs w:val="1"/>
          <w:color w:val="auto"/>
        </w:rPr>
        <w:t>Performance Condition</w:t>
      </w:r>
      <w:r>
        <w:rPr>
          <w:rFonts w:ascii="Times New Roman" w:cs="Times New Roman" w:eastAsia="Times New Roman" w:hAnsi="Times New Roman"/>
          <w:sz w:val="22"/>
          <w:szCs w:val="22"/>
          <w:color w:val="auto"/>
        </w:rPr>
        <w:t xml:space="preserve">” (as detailed in this Agreement or </w:t>
      </w:r>
      <w:r>
        <w:rPr>
          <w:rFonts w:ascii="Times New Roman" w:cs="Times New Roman" w:eastAsia="Times New Roman" w:hAnsi="Times New Roman"/>
          <w:sz w:val="22"/>
          <w:szCs w:val="22"/>
          <w:u w:val="single" w:color="auto"/>
          <w:color w:val="auto"/>
        </w:rPr>
        <w:t>Attachment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to this Agreement), determined by the Committee in accordance with and subject to the terms of this Award Agreement and the Plan.</w:t>
      </w:r>
    </w:p>
    <w:p>
      <w:pPr>
        <w:spacing w:after="0" w:line="191" w:lineRule="exact"/>
        <w:rPr>
          <w:rFonts w:ascii="Times New Roman" w:cs="Times New Roman" w:eastAsia="Times New Roman" w:hAnsi="Times New Roman"/>
          <w:sz w:val="22"/>
          <w:szCs w:val="22"/>
          <w:color w:val="auto"/>
        </w:rPr>
      </w:pPr>
    </w:p>
    <w:p>
      <w:pPr>
        <w:ind w:left="1060" w:hanging="372"/>
        <w:spacing w:after="0"/>
        <w:tabs>
          <w:tab w:leader="none" w:pos="106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terms and conditions:</w:t>
      </w:r>
    </w:p>
    <w:p>
      <w:pPr>
        <w:spacing w:after="0" w:line="244" w:lineRule="exact"/>
        <w:rPr>
          <w:sz w:val="20"/>
          <w:szCs w:val="20"/>
          <w:color w:val="auto"/>
        </w:rPr>
      </w:pPr>
    </w:p>
    <w:p>
      <w:pPr>
        <w:ind w:left="660" w:firstLine="729"/>
        <w:spacing w:after="0" w:line="253" w:lineRule="auto"/>
        <w:tabs>
          <w:tab w:leader="none" w:pos="184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of Award</w:t>
      </w:r>
      <w:r>
        <w:rPr>
          <w:rFonts w:ascii="Times New Roman" w:cs="Times New Roman" w:eastAsia="Times New Roman" w:hAnsi="Times New Roman"/>
          <w:sz w:val="22"/>
          <w:szCs w:val="22"/>
          <w:color w:val="auto"/>
        </w:rPr>
        <w:t>. 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 subject to (i) the satisfaction of the Performance Condition, as determined by the Committee, and (ii) the Participant’s continuous service with the Company or any of its Affiliates through the Vesting Date.</w:t>
      </w:r>
    </w:p>
    <w:p>
      <w:pPr>
        <w:spacing w:after="0" w:line="202" w:lineRule="exact"/>
        <w:rPr>
          <w:rFonts w:ascii="Times New Roman" w:cs="Times New Roman" w:eastAsia="Times New Roman" w:hAnsi="Times New Roman"/>
          <w:sz w:val="22"/>
          <w:szCs w:val="22"/>
          <w:color w:val="auto"/>
        </w:rPr>
      </w:pPr>
    </w:p>
    <w:p>
      <w:pPr>
        <w:ind w:left="660" w:right="360" w:firstLine="716"/>
        <w:spacing w:after="0" w:line="275" w:lineRule="auto"/>
        <w:tabs>
          <w:tab w:leader="none" w:pos="184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PSUs unless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80"/>
          </w:cols>
          <w:pgMar w:left="500" w:top="1440" w:right="6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22"/>
          <w:szCs w:val="22"/>
          <w:color w:val="auto"/>
        </w:rPr>
        <w:t>and until the Participant becomes the record owner of the Shares underlying such PSUs.</w:t>
      </w:r>
    </w:p>
    <w:p>
      <w:pPr>
        <w:spacing w:after="0" w:line="256" w:lineRule="exact"/>
        <w:rPr>
          <w:sz w:val="20"/>
          <w:szCs w:val="20"/>
          <w:color w:val="auto"/>
        </w:rPr>
      </w:pPr>
    </w:p>
    <w:p>
      <w:pPr>
        <w:ind w:right="160" w:firstLine="716"/>
        <w:spacing w:after="0" w:line="255" w:lineRule="auto"/>
        <w:tabs>
          <w:tab w:leader="none" w:pos="117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w:t>
      </w:r>
      <w:r>
        <w:rPr>
          <w:rFonts w:ascii="Times New Roman" w:cs="Times New Roman" w:eastAsia="Times New Roman" w:hAnsi="Times New Roman"/>
          <w:sz w:val="22"/>
          <w:szCs w:val="22"/>
          <w:color w:val="auto"/>
        </w:rPr>
        <w:t>. 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PSUs are distributed to the Participant pursuant to Section 3(d), then as of each dividend payment date, the Participant shall be credited with cash per PSU equal to the per Share amount of such dividend. Any amounts credited pursuant to the immediately preceding sentence shall be subject to the same applicable terms and conditions (including vesting, payment and forfeitability) as apply to the PSUs based on which the dividend equivalents were credited, and such amounts shall be paid in cash (without interest) at the same time as the PSUs to which they relate are settled.</w:t>
      </w:r>
    </w:p>
    <w:p>
      <w:pPr>
        <w:spacing w:after="0" w:line="156" w:lineRule="exact"/>
        <w:rPr>
          <w:rFonts w:ascii="Times New Roman" w:cs="Times New Roman" w:eastAsia="Times New Roman" w:hAnsi="Times New Roman"/>
          <w:sz w:val="22"/>
          <w:szCs w:val="22"/>
          <w:color w:val="auto"/>
        </w:rPr>
      </w:pPr>
    </w:p>
    <w:p>
      <w:pPr>
        <w:ind w:firstLine="716"/>
        <w:spacing w:after="0" w:line="249" w:lineRule="auto"/>
        <w:tabs>
          <w:tab w:leader="none" w:pos="1187"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 of Shares</w:t>
      </w:r>
      <w:r>
        <w:rPr>
          <w:rFonts w:ascii="Times New Roman" w:cs="Times New Roman" w:eastAsia="Times New Roman" w:hAnsi="Times New Roman"/>
          <w:sz w:val="22"/>
          <w:szCs w:val="22"/>
          <w:color w:val="auto"/>
        </w:rPr>
        <w:t>. Subject to the provisions of this Agreement, upon the vesting of any of the PSUs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on the scheduled Vesting Date or the Participant’s Termination of Service due to death, the Company shall deliver to the Participant, as soon as reasonably practicable after the applicable Vesting Date (or the date of the Participant’s Termination of Service due to death, as applicable), (i) one Share for each such PSU plus (ii) such cash attributable to dividends to which the Participant has become entitled under Section 3(c);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settlement shall be made no later than the 15th day of the third calendar month following the Vesting Date (or the date of the Participant’s Termination of Service due to death, as applicable). Upon such delivery, such Shares shall be fully assignable, alienable, saleable and transferrable by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 alienation, sale, transfer or other alienation with respect to such Shares shall be in accordance with applicable securities laws and any applicable Company policy.</w:t>
      </w:r>
    </w:p>
    <w:p>
      <w:pPr>
        <w:spacing w:after="0" w:line="210" w:lineRule="exact"/>
        <w:rPr>
          <w:rFonts w:ascii="Times New Roman" w:cs="Times New Roman" w:eastAsia="Times New Roman" w:hAnsi="Times New Roman"/>
          <w:sz w:val="22"/>
          <w:szCs w:val="22"/>
          <w:color w:val="auto"/>
        </w:rPr>
      </w:pPr>
    </w:p>
    <w:p>
      <w:pPr>
        <w:ind w:right="20" w:firstLine="729"/>
        <w:spacing w:after="0" w:line="266" w:lineRule="auto"/>
        <w:tabs>
          <w:tab w:leader="none" w:pos="1188" w:val="left"/>
        </w:tabs>
        <w:numPr>
          <w:ilvl w:val="1"/>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 in Capitalization</w:t>
      </w:r>
      <w:r>
        <w:rPr>
          <w:rFonts w:ascii="Times New Roman" w:cs="Times New Roman" w:eastAsia="Times New Roman" w:hAnsi="Times New Roman"/>
          <w:sz w:val="21"/>
          <w:szCs w:val="21"/>
          <w:color w:val="auto"/>
        </w:rPr>
        <w:t>. In the event that, as a result of any dividend (other than ordinary cash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PSUs in a manner which would cause the PSUs to be subject to the provisions of Section 409A or 457A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80"/>
          </w:cols>
          <w:pgMar w:left="1160" w:top="1341" w:right="559" w:bottom="1440" w:gutter="0" w:footer="0" w:header="0"/>
        </w:sectPr>
      </w:pPr>
    </w:p>
    <w:bookmarkStart w:id="97" w:name="page98"/>
    <w:bookmarkEnd w:id="97"/>
    <w:p>
      <w:pPr>
        <w:ind w:left="660" w:right="80" w:firstLine="755"/>
        <w:spacing w:after="0" w:line="257" w:lineRule="auto"/>
        <w:tabs>
          <w:tab w:leader="none" w:pos="1850"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Transferability</w:t>
      </w:r>
      <w:r>
        <w:rPr>
          <w:rFonts w:ascii="Times New Roman" w:cs="Times New Roman" w:eastAsia="Times New Roman" w:hAnsi="Times New Roman"/>
          <w:sz w:val="22"/>
          <w:szCs w:val="22"/>
          <w:color w:val="auto"/>
        </w:rPr>
        <w:t>. 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171" w:lineRule="exact"/>
        <w:rPr>
          <w:rFonts w:ascii="Times New Roman" w:cs="Times New Roman" w:eastAsia="Times New Roman" w:hAnsi="Times New Roman"/>
          <w:sz w:val="22"/>
          <w:szCs w:val="22"/>
          <w:color w:val="auto"/>
        </w:rPr>
      </w:pPr>
    </w:p>
    <w:p>
      <w:pPr>
        <w:jc w:val="both"/>
        <w:ind w:left="660" w:right="80" w:firstLine="716"/>
        <w:spacing w:after="0" w:line="258" w:lineRule="auto"/>
        <w:tabs>
          <w:tab w:leader="none" w:pos="184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Continued Service</w:t>
      </w:r>
      <w:r>
        <w:rPr>
          <w:rFonts w:ascii="Times New Roman" w:cs="Times New Roman" w:eastAsia="Times New Roman" w:hAnsi="Times New Roman"/>
          <w:sz w:val="22"/>
          <w:szCs w:val="22"/>
          <w:color w:val="auto"/>
        </w:rPr>
        <w:t>. 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208" w:lineRule="exact"/>
        <w:rPr>
          <w:rFonts w:ascii="Times New Roman" w:cs="Times New Roman" w:eastAsia="Times New Roman" w:hAnsi="Times New Roman"/>
          <w:sz w:val="22"/>
          <w:szCs w:val="22"/>
          <w:color w:val="auto"/>
        </w:rPr>
      </w:pPr>
    </w:p>
    <w:p>
      <w:pPr>
        <w:ind w:left="660" w:right="60" w:firstLine="716"/>
        <w:spacing w:after="0" w:line="265" w:lineRule="auto"/>
        <w:tabs>
          <w:tab w:leader="none" w:pos="1847" w:val="left"/>
        </w:tabs>
        <w:numPr>
          <w:ilvl w:val="1"/>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Future Awards</w:t>
      </w:r>
      <w:r>
        <w:rPr>
          <w:rFonts w:ascii="Times New Roman" w:cs="Times New Roman" w:eastAsia="Times New Roman" w:hAnsi="Times New Roman"/>
          <w:sz w:val="22"/>
          <w:szCs w:val="22"/>
          <w:color w:val="auto"/>
        </w:rPr>
        <w:t>. Any Award granted under the Plan shall be a one-time Award that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 promise of future grants. The Company, in its sole discretion, maintains the right to make available future grants under the Plan.</w:t>
      </w:r>
    </w:p>
    <w:p>
      <w:pPr>
        <w:spacing w:after="0" w:line="161" w:lineRule="exact"/>
        <w:rPr>
          <w:rFonts w:ascii="Times New Roman" w:cs="Times New Roman" w:eastAsia="Times New Roman" w:hAnsi="Times New Roman"/>
          <w:sz w:val="22"/>
          <w:szCs w:val="22"/>
          <w:color w:val="auto"/>
        </w:rPr>
      </w:pPr>
    </w:p>
    <w:p>
      <w:pPr>
        <w:ind w:left="1060" w:hanging="372"/>
        <w:spacing w:after="0"/>
        <w:tabs>
          <w:tab w:leader="none" w:pos="10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p>
    <w:p>
      <w:pPr>
        <w:spacing w:after="0" w:line="32" w:lineRule="exact"/>
        <w:rPr>
          <w:sz w:val="20"/>
          <w:szCs w:val="20"/>
          <w:color w:val="auto"/>
        </w:rPr>
      </w:pPr>
    </w:p>
    <w:p>
      <w:pPr>
        <w:ind w:right="460"/>
        <w:spacing w:after="0" w:line="258" w:lineRule="auto"/>
        <w:rPr>
          <w:sz w:val="20"/>
          <w:szCs w:val="20"/>
          <w:color w:val="auto"/>
        </w:rPr>
      </w:pP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155" w:lineRule="exact"/>
        <w:rPr>
          <w:sz w:val="20"/>
          <w:szCs w:val="20"/>
          <w:color w:val="auto"/>
        </w:rPr>
      </w:pPr>
    </w:p>
    <w:p>
      <w:pPr>
        <w:ind w:right="60" w:firstLine="688"/>
        <w:spacing w:after="0" w:line="258" w:lineRule="auto"/>
        <w:tabs>
          <w:tab w:leader="none" w:pos="1058"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provisions of the Plan to the contrary, in the event of the Participant’s Termination of Service due to the Participant’s death, Retirement (as defined below) or Enhanced Retirement (as defined below), a portion of the Award may vest or remain eligible to vest upon or following such Termination of Service as follows:</w:t>
      </w:r>
    </w:p>
    <w:p>
      <w:pPr>
        <w:spacing w:after="0" w:line="171" w:lineRule="exact"/>
        <w:rPr>
          <w:rFonts w:ascii="Times New Roman" w:cs="Times New Roman" w:eastAsia="Times New Roman" w:hAnsi="Times New Roman"/>
          <w:sz w:val="22"/>
          <w:szCs w:val="22"/>
          <w:color w:val="auto"/>
        </w:rPr>
      </w:pPr>
    </w:p>
    <w:p>
      <w:pPr>
        <w:ind w:left="1840" w:hanging="464"/>
        <w:spacing w:after="0"/>
        <w:tabs>
          <w:tab w:leader="none" w:pos="184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360" w:firstLine="574"/>
        <w:spacing w:after="0" w:line="271" w:lineRule="auto"/>
        <w:tabs>
          <w:tab w:leader="none" w:pos="2347" w:val="left"/>
        </w:tabs>
        <w:numPr>
          <w:ilvl w:val="2"/>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Participant’s Termination of Service due to the Participant’s death prior to the Vesting Date, the Committee shall determine the number of the Participant’s unvested PSUs that would have vested based on the likely level of achievement of the Performance Condition or, with respect to any unvested PSUs for which the Performance Period was completed prior to such Termination of Service, based on the actual level of achievement of the Performance Condition, in each case, which number shall not be prorated.</w:t>
      </w:r>
    </w:p>
    <w:p>
      <w:pPr>
        <w:spacing w:after="0" w:line="162" w:lineRule="exact"/>
        <w:rPr>
          <w:rFonts w:ascii="Times New Roman" w:cs="Times New Roman" w:eastAsia="Times New Roman" w:hAnsi="Times New Roman"/>
          <w:sz w:val="21"/>
          <w:szCs w:val="21"/>
          <w:color w:val="auto"/>
        </w:rPr>
      </w:pPr>
    </w:p>
    <w:p>
      <w:pPr>
        <w:ind w:left="1360" w:right="320" w:firstLine="574"/>
        <w:spacing w:after="0" w:line="284" w:lineRule="auto"/>
        <w:tabs>
          <w:tab w:leader="none" w:pos="2403" w:val="left"/>
        </w:tabs>
        <w:numPr>
          <w:ilvl w:val="2"/>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underlying the PSUs that vest upon the Participant’s Termination of Service due to death pursuant to this Section</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880"/>
          </w:cols>
          <w:pgMar w:left="500" w:top="1418" w:right="519" w:bottom="1440" w:gutter="0" w:footer="0" w:header="0"/>
        </w:sectPr>
      </w:pPr>
    </w:p>
    <w:bookmarkStart w:id="98" w:name="page99"/>
    <w:bookmarkEnd w:id="98"/>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5(a), if any, shall be distributed to the Participant pursuant to Section 3(d).</w:t>
      </w:r>
    </w:p>
    <w:p>
      <w:pPr>
        <w:spacing w:after="0" w:line="220" w:lineRule="exact"/>
        <w:rPr>
          <w:sz w:val="20"/>
          <w:szCs w:val="20"/>
          <w:color w:val="auto"/>
        </w:rPr>
      </w:pPr>
    </w:p>
    <w:p>
      <w:pPr>
        <w:ind w:left="1120" w:hanging="684"/>
        <w:spacing w:after="0"/>
        <w:tabs>
          <w:tab w:leader="none" w:pos="112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6" w:lineRule="exact"/>
        <w:rPr>
          <w:rFonts w:ascii="Times New Roman" w:cs="Times New Roman" w:eastAsia="Times New Roman" w:hAnsi="Times New Roman"/>
          <w:sz w:val="22"/>
          <w:szCs w:val="22"/>
          <w:color w:val="auto"/>
        </w:rPr>
      </w:pPr>
    </w:p>
    <w:p>
      <w:pPr>
        <w:ind w:left="420" w:firstLine="574"/>
        <w:spacing w:after="0" w:line="271" w:lineRule="auto"/>
        <w:tabs>
          <w:tab w:leader="none" w:pos="1407"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Participant’s Termination of Service due to the Participant’s Retirement prior to the Vesting Date, subject to the Participant’s execution and non-revocation of a customary release of claims in favor of the Company and its Affiliates and the Participant’s continuous compliance with the Restrictive Covenant Agreement, the Participant’s PSUs shall remain outstanding and eligible to vest on the Vesting Date. For the avoidance of doubt, if the Participant violates the Restrictive Covenant Agreement prior to the Vesting Date, the Participant shall forfeit all outstanding, unvested PSUs as of the date of such violation.</w:t>
      </w:r>
    </w:p>
    <w:p>
      <w:pPr>
        <w:spacing w:after="0" w:line="159" w:lineRule="exact"/>
        <w:rPr>
          <w:rFonts w:ascii="Times New Roman" w:cs="Times New Roman" w:eastAsia="Times New Roman" w:hAnsi="Times New Roman"/>
          <w:sz w:val="21"/>
          <w:szCs w:val="21"/>
          <w:color w:val="auto"/>
        </w:rPr>
      </w:pPr>
    </w:p>
    <w:p>
      <w:pPr>
        <w:ind w:left="420" w:right="500" w:firstLine="574"/>
        <w:spacing w:after="0" w:line="295" w:lineRule="auto"/>
        <w:tabs>
          <w:tab w:leader="none" w:pos="1463"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Shares underlying the PSUs that vest following the Participant’s Termination of Service pursuant to this Section 5(b), if any, shall be distributed to the Participant pursuant to Section 3(d).</w:t>
      </w:r>
    </w:p>
    <w:p>
      <w:pPr>
        <w:spacing w:after="0" w:line="131" w:lineRule="exact"/>
        <w:rPr>
          <w:rFonts w:ascii="Times New Roman" w:cs="Times New Roman" w:eastAsia="Times New Roman" w:hAnsi="Times New Roman"/>
          <w:sz w:val="21"/>
          <w:szCs w:val="21"/>
          <w:color w:val="auto"/>
        </w:rPr>
      </w:pPr>
    </w:p>
    <w:p>
      <w:pPr>
        <w:ind w:left="420" w:right="20" w:firstLine="574"/>
        <w:spacing w:after="0" w:line="257" w:lineRule="auto"/>
        <w:tabs>
          <w:tab w:leader="none" w:pos="152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4" w:lineRule="exact"/>
        <w:rPr>
          <w:rFonts w:ascii="Times New Roman" w:cs="Times New Roman" w:eastAsia="Times New Roman" w:hAnsi="Times New Roman"/>
          <w:sz w:val="22"/>
          <w:szCs w:val="22"/>
          <w:color w:val="auto"/>
        </w:rPr>
      </w:pPr>
    </w:p>
    <w:p>
      <w:pPr>
        <w:ind w:left="900" w:hanging="464"/>
        <w:spacing w:after="0"/>
        <w:tabs>
          <w:tab w:leader="none" w:pos="9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19" w:lineRule="exact"/>
        <w:rPr>
          <w:rFonts w:ascii="Times New Roman" w:cs="Times New Roman" w:eastAsia="Times New Roman" w:hAnsi="Times New Roman"/>
          <w:sz w:val="22"/>
          <w:szCs w:val="22"/>
          <w:color w:val="auto"/>
        </w:rPr>
      </w:pPr>
    </w:p>
    <w:p>
      <w:pPr>
        <w:ind w:left="420" w:right="100" w:firstLine="574"/>
        <w:spacing w:after="0" w:line="252" w:lineRule="auto"/>
        <w:tabs>
          <w:tab w:leader="none" w:pos="1407"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Enhanced Retirement, subject to the Participant’s execution and non-revocation of a customary release of claims in favor of the Company and its Affiliates and the Participant’s continuous compliance with the Extended Non-Compete (as defined below), the Participant’s PSUs shall remain outstanding and eligible to vest on the Vesting Date. For the avoidance of doubt, if the Participant violates the Extended Non-Compete prior to the Vesting Date, the Participant shall forfeit all outstanding, unvested PSUs as of the date of such violation. The Shares underlying the PSUs that vest following the Participant’s Termination of Service pursuant to this Section 5(c)(i), if any, shall be distributed to the Participant pursuant to Section 3(d).</w:t>
      </w:r>
    </w:p>
    <w:p>
      <w:pPr>
        <w:spacing w:after="0" w:line="183" w:lineRule="exact"/>
        <w:rPr>
          <w:rFonts w:ascii="Times New Roman" w:cs="Times New Roman" w:eastAsia="Times New Roman" w:hAnsi="Times New Roman"/>
          <w:sz w:val="22"/>
          <w:szCs w:val="22"/>
          <w:color w:val="auto"/>
        </w:rPr>
      </w:pPr>
    </w:p>
    <w:p>
      <w:pPr>
        <w:ind w:left="1480" w:hanging="486"/>
        <w:spacing w:after="0"/>
        <w:tabs>
          <w:tab w:leader="none" w:pos="14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w:t>
      </w:r>
    </w:p>
    <w:p>
      <w:pPr>
        <w:spacing w:after="0" w:line="200" w:lineRule="exact"/>
        <w:rPr>
          <w:sz w:val="20"/>
          <w:szCs w:val="20"/>
          <w:color w:val="auto"/>
        </w:rPr>
      </w:pPr>
    </w:p>
    <w:p>
      <w:pPr>
        <w:spacing w:after="0" w:line="39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40"/>
          </w:cols>
          <w:pgMar w:left="1440" w:top="1440" w:right="519" w:bottom="1440" w:gutter="0" w:footer="0" w:header="0"/>
        </w:sectPr>
      </w:pPr>
    </w:p>
    <w:bookmarkStart w:id="99" w:name="page100"/>
    <w:bookmarkEnd w:id="99"/>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each of the following conditions is met, as determined by the Committee in its sole discretion:</w:t>
      </w:r>
    </w:p>
    <w:p>
      <w:pPr>
        <w:spacing w:after="0" w:line="247" w:lineRule="exact"/>
        <w:rPr>
          <w:sz w:val="20"/>
          <w:szCs w:val="20"/>
          <w:color w:val="auto"/>
        </w:rPr>
      </w:pPr>
    </w:p>
    <w:p>
      <w:pPr>
        <w:ind w:left="1880" w:right="60" w:firstLine="480"/>
        <w:spacing w:after="0" w:line="251" w:lineRule="auto"/>
        <w:tabs>
          <w:tab w:leader="none" w:pos="288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21" w:lineRule="exact"/>
        <w:rPr>
          <w:rFonts w:ascii="Times New Roman" w:cs="Times New Roman" w:eastAsia="Times New Roman" w:hAnsi="Times New Roman"/>
          <w:sz w:val="22"/>
          <w:szCs w:val="22"/>
          <w:color w:val="auto"/>
        </w:rPr>
      </w:pPr>
    </w:p>
    <w:p>
      <w:pPr>
        <w:ind w:left="1880" w:right="220" w:firstLine="480"/>
        <w:spacing w:after="0" w:line="257" w:lineRule="auto"/>
        <w:tabs>
          <w:tab w:leader="none" w:pos="287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Participant’s Termination of Service, the Participant enters into an extended restrictive covenant agreement in the form provided by the Company, which agreement 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199" w:lineRule="exact"/>
        <w:rPr>
          <w:rFonts w:ascii="Times New Roman" w:cs="Times New Roman" w:eastAsia="Times New Roman" w:hAnsi="Times New Roman"/>
          <w:sz w:val="22"/>
          <w:szCs w:val="22"/>
          <w:color w:val="auto"/>
        </w:rPr>
      </w:pPr>
    </w:p>
    <w:p>
      <w:pPr>
        <w:ind w:left="1880" w:right="20" w:firstLine="480"/>
        <w:spacing w:after="0" w:line="263" w:lineRule="auto"/>
        <w:tabs>
          <w:tab w:leader="none" w:pos="287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194" w:lineRule="exact"/>
        <w:rPr>
          <w:rFonts w:ascii="Times New Roman" w:cs="Times New Roman" w:eastAsia="Times New Roman" w:hAnsi="Times New Roman"/>
          <w:sz w:val="22"/>
          <w:szCs w:val="22"/>
          <w:color w:val="auto"/>
        </w:rPr>
      </w:pPr>
    </w:p>
    <w:p>
      <w:pPr>
        <w:ind w:left="1880" w:right="140" w:firstLine="480"/>
        <w:spacing w:after="0" w:line="271" w:lineRule="auto"/>
        <w:tabs>
          <w:tab w:leader="none" w:pos="2882"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140" w:lineRule="exact"/>
        <w:rPr>
          <w:rFonts w:ascii="Times New Roman" w:cs="Times New Roman" w:eastAsia="Times New Roman" w:hAnsi="Times New Roman"/>
          <w:sz w:val="22"/>
          <w:szCs w:val="22"/>
          <w:color w:val="auto"/>
        </w:rPr>
      </w:pPr>
    </w:p>
    <w:p>
      <w:pPr>
        <w:ind w:left="-60" w:firstLine="688"/>
        <w:spacing w:after="0" w:line="252" w:lineRule="auto"/>
        <w:tabs>
          <w:tab w:leader="none" w:pos="99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 Change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Control, subject to the Participant’s execution and non-revocation of a customary release of claims in favor of the Company and its Affiliates prior to such Change in Control, any unvested PSUs shall vest effective as of the date of such Change in Control based on the likely level of achievement of the Performance Condition or, with respect to any unvested PSUs for which the Performance Period was completed prior to such Change in Control, based on the actual level of achievement of the Performance Conditions, in each case, as determined in the sole discretion of the Committee, and the Shares underlying the PSUs shall be distributed to the Participant pursuant to Section 3(d) upon such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PSUs to which Section 19 of the Plan applies because such PSUs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 set forth in this Agreement pursuant to Section 3(d), except to the extent that earlier distribution would not result in the Participant incurring</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0760"/>
          </w:cols>
          <w:pgMar w:left="560" w:top="1440" w:right="579" w:bottom="1440" w:gutter="0" w:footer="0" w:header="0"/>
        </w:sectPr>
      </w:pPr>
    </w:p>
    <w:bookmarkStart w:id="100" w:name="page101"/>
    <w:bookmarkEnd w:id="100"/>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any additional tax, penalty, interest or other expense under Section 409A and 457A of the Code.</w:t>
      </w:r>
    </w:p>
    <w:p>
      <w:pPr>
        <w:spacing w:after="0" w:line="310" w:lineRule="exact"/>
        <w:rPr>
          <w:sz w:val="20"/>
          <w:szCs w:val="20"/>
          <w:color w:val="auto"/>
        </w:rPr>
      </w:pPr>
    </w:p>
    <w:p>
      <w:pPr>
        <w:ind w:left="1060" w:hanging="372"/>
        <w:spacing w:after="0"/>
        <w:tabs>
          <w:tab w:leader="none" w:pos="10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ind w:left="660" w:right="300" w:firstLine="729"/>
        <w:spacing w:after="0" w:line="256" w:lineRule="auto"/>
        <w:tabs>
          <w:tab w:leader="none" w:pos="18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PSUs granted hereunder and any related dividend distribution.</w:t>
      </w:r>
    </w:p>
    <w:p>
      <w:pPr>
        <w:spacing w:after="0" w:line="216" w:lineRule="exact"/>
        <w:rPr>
          <w:rFonts w:ascii="Times New Roman" w:cs="Times New Roman" w:eastAsia="Times New Roman" w:hAnsi="Times New Roman"/>
          <w:sz w:val="22"/>
          <w:szCs w:val="22"/>
          <w:color w:val="auto"/>
        </w:rPr>
      </w:pPr>
    </w:p>
    <w:p>
      <w:pPr>
        <w:ind w:left="660" w:right="40" w:firstLine="729"/>
        <w:spacing w:after="0" w:line="266" w:lineRule="auto"/>
        <w:tabs>
          <w:tab w:leader="none" w:pos="1857"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PSUs or Shares issuable under the PSUs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136" w:lineRule="exact"/>
        <w:rPr>
          <w:rFonts w:ascii="Times New Roman" w:cs="Times New Roman" w:eastAsia="Times New Roman" w:hAnsi="Times New Roman"/>
          <w:sz w:val="21"/>
          <w:szCs w:val="21"/>
          <w:color w:val="auto"/>
        </w:rPr>
      </w:pPr>
    </w:p>
    <w:p>
      <w:pPr>
        <w:ind w:right="340" w:firstLine="688"/>
        <w:spacing w:after="0" w:line="257" w:lineRule="auto"/>
        <w:tabs>
          <w:tab w:leader="none" w:pos="105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156" w:lineRule="exact"/>
        <w:rPr>
          <w:rFonts w:ascii="Times New Roman" w:cs="Times New Roman" w:eastAsia="Times New Roman" w:hAnsi="Times New Roman"/>
          <w:sz w:val="22"/>
          <w:szCs w:val="22"/>
          <w:color w:val="auto"/>
        </w:rPr>
      </w:pPr>
    </w:p>
    <w:p>
      <w:pPr>
        <w:ind w:firstLine="688"/>
        <w:spacing w:after="0" w:line="251" w:lineRule="auto"/>
        <w:tabs>
          <w:tab w:leader="none" w:pos="1058"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 cooperating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0840"/>
          </w:cols>
          <w:pgMar w:left="500" w:top="1440" w:right="559" w:bottom="1440" w:gutter="0" w:footer="0" w:header="0"/>
        </w:sectPr>
      </w:pPr>
    </w:p>
    <w:bookmarkStart w:id="101" w:name="page102"/>
    <w:bookmarkEnd w:id="101"/>
    <w:p>
      <w:pPr>
        <w:spacing w:after="0" w:line="113" w:lineRule="exact"/>
        <w:rPr>
          <w:sz w:val="20"/>
          <w:szCs w:val="20"/>
          <w:color w:val="auto"/>
        </w:rPr>
      </w:pPr>
    </w:p>
    <w:p>
      <w:pPr>
        <w:ind w:left="-100" w:right="560" w:firstLine="579"/>
        <w:spacing w:after="0" w:line="299" w:lineRule="auto"/>
        <w:tabs>
          <w:tab w:leader="none" w:pos="95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27" w:lineRule="exact"/>
        <w:rPr>
          <w:rFonts w:ascii="Times New Roman" w:cs="Times New Roman" w:eastAsia="Times New Roman" w:hAnsi="Times New Roman"/>
          <w:sz w:val="21"/>
          <w:szCs w:val="21"/>
          <w:color w:val="auto"/>
        </w:rPr>
      </w:pPr>
    </w:p>
    <w:p>
      <w:pPr>
        <w:ind w:left="-100" w:firstLine="579"/>
        <w:spacing w:after="0" w:line="265" w:lineRule="auto"/>
        <w:tabs>
          <w:tab w:leader="none" w:pos="94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recoupment or “clawback” as may be required by applicable law, stock exchange rules or by any applicable Company policy or arrangement the Company has in place from time to time.</w:t>
      </w:r>
    </w:p>
    <w:p>
      <w:pPr>
        <w:spacing w:after="0" w:line="161" w:lineRule="exact"/>
        <w:rPr>
          <w:rFonts w:ascii="Times New Roman" w:cs="Times New Roman" w:eastAsia="Times New Roman" w:hAnsi="Times New Roman"/>
          <w:sz w:val="22"/>
          <w:szCs w:val="22"/>
          <w:color w:val="auto"/>
        </w:rPr>
      </w:pPr>
    </w:p>
    <w:p>
      <w:pPr>
        <w:jc w:val="both"/>
        <w:ind w:left="-100" w:right="100" w:firstLine="579"/>
        <w:spacing w:after="0" w:line="265" w:lineRule="auto"/>
        <w:tabs>
          <w:tab w:leader="none" w:pos="95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201" w:lineRule="exact"/>
        <w:rPr>
          <w:rFonts w:ascii="Times New Roman" w:cs="Times New Roman" w:eastAsia="Times New Roman" w:hAnsi="Times New Roman"/>
          <w:sz w:val="22"/>
          <w:szCs w:val="22"/>
          <w:color w:val="auto"/>
        </w:rPr>
      </w:pPr>
    </w:p>
    <w:p>
      <w:pPr>
        <w:ind w:left="960" w:hanging="481"/>
        <w:spacing w:after="0"/>
        <w:tabs>
          <w:tab w:leader="none" w:pos="9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560" w:right="120" w:firstLine="729"/>
        <w:spacing w:after="0" w:line="262" w:lineRule="auto"/>
        <w:tabs>
          <w:tab w:leader="none" w:pos="174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Any notice required or permitted to be given under this Agreement shall be in writing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Lake Forest, Illinois 60045 Attention: Valerie Miller</w:t>
      </w:r>
    </w:p>
    <w:p>
      <w:pPr>
        <w:spacing w:after="0" w:line="2"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34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47" w:lineRule="exact"/>
        <w:rPr>
          <w:sz w:val="20"/>
          <w:szCs w:val="20"/>
          <w:color w:val="auto"/>
        </w:rPr>
      </w:pPr>
    </w:p>
    <w:p>
      <w:pPr>
        <w:ind w:left="1200" w:right="80"/>
        <w:spacing w:after="0" w:line="270"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141" w:lineRule="exact"/>
        <w:rPr>
          <w:sz w:val="20"/>
          <w:szCs w:val="20"/>
          <w:color w:val="auto"/>
        </w:rPr>
      </w:pPr>
    </w:p>
    <w:p>
      <w:pPr>
        <w:ind w:left="560" w:right="240" w:firstLine="716"/>
        <w:spacing w:after="0" w:line="272" w:lineRule="auto"/>
        <w:tabs>
          <w:tab w:leader="none" w:pos="174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the Plan and any other agreements, schedules, exhibits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restrictions set forth in this Agreement are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680"/>
          </w:cols>
          <w:pgMar w:left="600" w:top="1440" w:right="619" w:bottom="1440" w:gutter="0" w:footer="0" w:header="0"/>
        </w:sectPr>
      </w:pPr>
    </w:p>
    <w:bookmarkStart w:id="102" w:name="page103"/>
    <w:bookmarkEnd w:id="102"/>
    <w:p>
      <w:pPr>
        <w:spacing w:after="0" w:line="117" w:lineRule="exact"/>
        <w:rPr>
          <w:sz w:val="20"/>
          <w:szCs w:val="20"/>
          <w:color w:val="auto"/>
        </w:rPr>
      </w:pPr>
    </w:p>
    <w:p>
      <w:pPr>
        <w:ind w:right="140"/>
        <w:spacing w:after="0" w:line="271" w:lineRule="auto"/>
        <w:rPr>
          <w:sz w:val="20"/>
          <w:szCs w:val="20"/>
          <w:color w:val="auto"/>
        </w:rPr>
      </w:pPr>
      <w:r>
        <w:rPr>
          <w:rFonts w:ascii="Times New Roman" w:cs="Times New Roman" w:eastAsia="Times New Roman" w:hAnsi="Times New Roman"/>
          <w:sz w:val="21"/>
          <w:szCs w:val="21"/>
          <w:color w:val="auto"/>
        </w:rPr>
        <w:t>in addition to, not in lieu of, any other obligation and/or restriction that the Participant may have with respect to the Company or any of its Affiliates, whether by operation of law, contract, or otherwise, including, without limitation, any non- 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145" w:lineRule="exact"/>
        <w:rPr>
          <w:sz w:val="20"/>
          <w:szCs w:val="20"/>
          <w:color w:val="auto"/>
        </w:rPr>
      </w:pPr>
    </w:p>
    <w:p>
      <w:pPr>
        <w:ind w:right="100" w:firstLine="729"/>
        <w:spacing w:after="0" w:line="257" w:lineRule="auto"/>
        <w:tabs>
          <w:tab w:leader="none" w:pos="11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Sections 409A and 457A of the Code</w:t>
      </w:r>
      <w:r>
        <w:rPr>
          <w:rFonts w:ascii="Times New Roman" w:cs="Times New Roman" w:eastAsia="Times New Roman" w:hAnsi="Times New Roman"/>
          <w:sz w:val="22"/>
          <w:szCs w:val="22"/>
          <w:color w:val="auto"/>
        </w:rPr>
        <w:t>. 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157" w:lineRule="exact"/>
        <w:rPr>
          <w:rFonts w:ascii="Times New Roman" w:cs="Times New Roman" w:eastAsia="Times New Roman" w:hAnsi="Times New Roman"/>
          <w:sz w:val="22"/>
          <w:szCs w:val="22"/>
          <w:color w:val="auto"/>
        </w:rPr>
      </w:pPr>
    </w:p>
    <w:p>
      <w:pPr>
        <w:ind w:right="40" w:firstLine="716"/>
        <w:spacing w:after="0" w:line="257" w:lineRule="auto"/>
        <w:tabs>
          <w:tab w:leader="none" w:pos="118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170" w:lineRule="exact"/>
        <w:rPr>
          <w:rFonts w:ascii="Times New Roman" w:cs="Times New Roman" w:eastAsia="Times New Roman" w:hAnsi="Times New Roman"/>
          <w:sz w:val="22"/>
          <w:szCs w:val="22"/>
          <w:color w:val="auto"/>
        </w:rPr>
      </w:pPr>
    </w:p>
    <w:p>
      <w:pPr>
        <w:ind w:firstLine="729"/>
        <w:spacing w:after="0" w:line="249" w:lineRule="auto"/>
        <w:tabs>
          <w:tab w:leader="none" w:pos="1188"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Waiver</w:t>
      </w:r>
      <w:r>
        <w:rPr>
          <w:rFonts w:ascii="Times New Roman" w:cs="Times New Roman" w:eastAsia="Times New Roman" w:hAnsi="Times New Roman"/>
          <w:sz w:val="22"/>
          <w:szCs w:val="22"/>
          <w:color w:val="auto"/>
        </w:rPr>
        <w:t>. 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material adverse effect on the Participant shall be effective unless signed in writing by or on behalf of the Company and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181" w:lineRule="exact"/>
        <w:rPr>
          <w:rFonts w:ascii="Times New Roman" w:cs="Times New Roman" w:eastAsia="Times New Roman" w:hAnsi="Times New Roman"/>
          <w:sz w:val="22"/>
          <w:szCs w:val="22"/>
          <w:color w:val="auto"/>
        </w:rPr>
      </w:pPr>
    </w:p>
    <w:p>
      <w:pPr>
        <w:ind w:right="200" w:firstLine="755"/>
        <w:spacing w:after="0" w:line="275" w:lineRule="auto"/>
        <w:tabs>
          <w:tab w:leader="none" w:pos="119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49" w:lineRule="exact"/>
        <w:rPr>
          <w:rFonts w:ascii="Times New Roman" w:cs="Times New Roman" w:eastAsia="Times New Roman" w:hAnsi="Times New Roman"/>
          <w:sz w:val="22"/>
          <w:szCs w:val="22"/>
          <w:color w:val="auto"/>
        </w:rPr>
      </w:pPr>
    </w:p>
    <w:p>
      <w:pPr>
        <w:ind w:right="20" w:firstLine="716"/>
        <w:spacing w:after="0" w:line="258" w:lineRule="auto"/>
        <w:tabs>
          <w:tab w:leader="none" w:pos="1187"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 No Third-Party Beneficiaries</w:t>
      </w:r>
      <w:r>
        <w:rPr>
          <w:rFonts w:ascii="Times New Roman" w:cs="Times New Roman" w:eastAsia="Times New Roman" w:hAnsi="Times New Roman"/>
          <w:sz w:val="22"/>
          <w:szCs w:val="22"/>
          <w:color w:val="auto"/>
        </w:rPr>
        <w:t>. This Agreement shall inure to the benefit of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binding upon the Company and the Participant and their respective heirs, successors, legal representatives and permitted assigns. Nothing in this Agreement, express or implied, is intended to confer on any Person other than the Company and the Participant, and their</w:t>
      </w:r>
    </w:p>
    <w:p>
      <w:pPr>
        <w:spacing w:after="0" w:line="200" w:lineRule="exact"/>
        <w:rPr>
          <w:sz w:val="20"/>
          <w:szCs w:val="20"/>
          <w:color w:val="auto"/>
        </w:rPr>
      </w:pPr>
    </w:p>
    <w:p>
      <w:pPr>
        <w:spacing w:after="0" w:line="36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160"/>
          </w:cols>
          <w:pgMar w:left="1160" w:top="1440" w:right="579" w:bottom="1440" w:gutter="0" w:footer="0" w:header="0"/>
        </w:sectPr>
      </w:pPr>
    </w:p>
    <w:bookmarkStart w:id="103" w:name="page104"/>
    <w:bookmarkEnd w:id="103"/>
    <w:p>
      <w:pPr>
        <w:spacing w:after="0" w:line="104" w:lineRule="exact"/>
        <w:rPr>
          <w:sz w:val="20"/>
          <w:szCs w:val="20"/>
          <w:color w:val="auto"/>
        </w:rPr>
      </w:pPr>
    </w:p>
    <w:p>
      <w:pPr>
        <w:ind w:right="880"/>
        <w:spacing w:after="0" w:line="284" w:lineRule="auto"/>
        <w:rPr>
          <w:sz w:val="20"/>
          <w:szCs w:val="20"/>
          <w:color w:val="auto"/>
        </w:rPr>
      </w:pPr>
      <w:r>
        <w:rPr>
          <w:rFonts w:ascii="Times New Roman" w:cs="Times New Roman" w:eastAsia="Times New Roman" w:hAnsi="Times New Roman"/>
          <w:sz w:val="22"/>
          <w:szCs w:val="22"/>
          <w:color w:val="auto"/>
        </w:rPr>
        <w:t>respective heirs, successors, legal representatives and permitted assigns, any rights, remedies, obligations or liabilities under or by reason of this Agreement.</w:t>
      </w:r>
    </w:p>
    <w:p>
      <w:pPr>
        <w:spacing w:after="0" w:line="167" w:lineRule="exact"/>
        <w:rPr>
          <w:sz w:val="20"/>
          <w:szCs w:val="20"/>
          <w:color w:val="auto"/>
        </w:rPr>
      </w:pPr>
    </w:p>
    <w:p>
      <w:pPr>
        <w:ind w:right="280" w:firstLine="716"/>
        <w:spacing w:after="0" w:line="257" w:lineRule="auto"/>
        <w:tabs>
          <w:tab w:leader="none" w:pos="11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 Waiver of Jury Trial</w:t>
      </w:r>
      <w:r>
        <w:rPr>
          <w:rFonts w:ascii="Times New Roman" w:cs="Times New Roman" w:eastAsia="Times New Roman" w:hAnsi="Times New Roman"/>
          <w:sz w:val="22"/>
          <w:szCs w:val="22"/>
          <w:color w:val="auto"/>
        </w:rPr>
        <w:t>. 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170" w:lineRule="exact"/>
        <w:rPr>
          <w:rFonts w:ascii="Times New Roman" w:cs="Times New Roman" w:eastAsia="Times New Roman" w:hAnsi="Times New Roman"/>
          <w:sz w:val="22"/>
          <w:szCs w:val="22"/>
          <w:color w:val="auto"/>
        </w:rPr>
      </w:pPr>
    </w:p>
    <w:p>
      <w:pPr>
        <w:ind w:firstLine="768"/>
        <w:spacing w:after="0" w:line="260" w:lineRule="auto"/>
        <w:tabs>
          <w:tab w:leader="none" w:pos="1191"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Dispute Resolution</w:t>
      </w:r>
      <w:r>
        <w:rPr>
          <w:rFonts w:ascii="Times New Roman" w:cs="Times New Roman" w:eastAsia="Times New Roman" w:hAnsi="Times New Roman"/>
          <w:sz w:val="21"/>
          <w:szCs w:val="21"/>
          <w:color w:val="auto"/>
        </w:rPr>
        <w:t>. Any dispute or claim arising out of, under or in connection with the Plan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163" w:lineRule="exact"/>
        <w:rPr>
          <w:rFonts w:ascii="Times New Roman" w:cs="Times New Roman" w:eastAsia="Times New Roman" w:hAnsi="Times New Roman"/>
          <w:sz w:val="21"/>
          <w:szCs w:val="21"/>
          <w:color w:val="auto"/>
        </w:rPr>
      </w:pPr>
    </w:p>
    <w:p>
      <w:pPr>
        <w:ind w:right="320" w:firstLine="768"/>
        <w:spacing w:after="0" w:line="248" w:lineRule="auto"/>
        <w:tabs>
          <w:tab w:leader="none" w:pos="11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Participant Undertaking; Acceptance</w:t>
      </w:r>
      <w:r>
        <w:rPr>
          <w:rFonts w:ascii="Times New Roman" w:cs="Times New Roman" w:eastAsia="Times New Roman" w:hAnsi="Times New Roman"/>
          <w:sz w:val="22"/>
          <w:szCs w:val="22"/>
          <w:color w:val="auto"/>
        </w:rPr>
        <w:t>. 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168" w:lineRule="exact"/>
        <w:rPr>
          <w:rFonts w:ascii="Times New Roman" w:cs="Times New Roman" w:eastAsia="Times New Roman" w:hAnsi="Times New Roman"/>
          <w:sz w:val="22"/>
          <w:szCs w:val="22"/>
          <w:color w:val="auto"/>
        </w:rPr>
      </w:pPr>
    </w:p>
    <w:p>
      <w:pPr>
        <w:ind w:right="280" w:firstLine="716"/>
        <w:spacing w:after="0" w:line="287" w:lineRule="auto"/>
        <w:tabs>
          <w:tab w:leader="none" w:pos="1187"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Captions</w:t>
      </w:r>
      <w:r>
        <w:rPr>
          <w:rFonts w:ascii="Times New Roman" w:cs="Times New Roman" w:eastAsia="Times New Roman" w:hAnsi="Times New Roman"/>
          <w:sz w:val="22"/>
          <w:szCs w:val="22"/>
          <w:color w:val="auto"/>
        </w:rPr>
        <w:t>. 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200" w:lineRule="exact"/>
        <w:rPr>
          <w:sz w:val="20"/>
          <w:szCs w:val="20"/>
          <w:color w:val="auto"/>
        </w:rPr>
      </w:pPr>
    </w:p>
    <w:p>
      <w:pPr>
        <w:spacing w:after="0" w:line="32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200"/>
          </w:cols>
          <w:pgMar w:left="1160" w:top="1440" w:right="539" w:bottom="1440" w:gutter="0" w:footer="0" w:header="0"/>
        </w:sectPr>
      </w:pPr>
    </w:p>
    <w:bookmarkStart w:id="104" w:name="page105"/>
    <w:bookmarkEnd w:id="104"/>
    <w:p>
      <w:pPr>
        <w:spacing w:after="0" w:line="113" w:lineRule="exact"/>
        <w:rPr>
          <w:sz w:val="20"/>
          <w:szCs w:val="20"/>
          <w:color w:val="auto"/>
        </w:rPr>
      </w:pPr>
    </w:p>
    <w:p>
      <w:pPr>
        <w:ind w:left="-280" w:right="439" w:firstLine="768"/>
        <w:spacing w:after="0" w:line="275" w:lineRule="auto"/>
        <w:tabs>
          <w:tab w:leader="none" w:pos="91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two counterparts, each of which shall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one and the same instrument.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019"/>
          </w:cols>
          <w:pgMar w:left="1440" w:top="1440" w:right="1440" w:bottom="1440" w:gutter="0" w:footer="0" w:header="0"/>
        </w:sectPr>
      </w:pPr>
    </w:p>
    <w:bookmarkStart w:id="105" w:name="page106"/>
    <w:bookmarkEnd w:id="105"/>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36830</wp:posOffset>
            </wp:positionV>
            <wp:extent cx="23914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Scott E. Huckins</w:t>
      </w:r>
    </w:p>
    <w:p>
      <w:pPr>
        <w:ind w:left="342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%%FIRST_NAME_LAST_NAME%-%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35560</wp:posOffset>
            </wp:positionV>
            <wp:extent cx="3437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-7620</wp:posOffset>
            </wp:positionV>
            <wp:extent cx="5708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ectPr>
          <w:pgSz w:w="11900" w:h="16838" w:orient="portrait"/>
          <w:cols w:equalWidth="0" w:num="1">
            <w:col w:w="10360"/>
          </w:cols>
          <w:pgMar w:left="400" w:top="1017" w:right="11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Conditions</w:t>
      </w:r>
    </w:p>
    <w:p>
      <w:pPr>
        <w:sectPr>
          <w:pgSz w:w="11900" w:h="16838" w:orient="portrait"/>
          <w:cols w:equalWidth="0" w:num="1">
            <w:col w:w="9019"/>
          </w:cols>
          <w:pgMar w:left="1440" w:top="1013" w:right="1440"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7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%%OPTION_DATE,'Month DD, YYYY'%-%</w:t>
      </w:r>
    </w:p>
    <w:p>
      <w:pPr>
        <w:spacing w:after="0" w:line="243" w:lineRule="exact"/>
        <w:rPr>
          <w:sz w:val="20"/>
          <w:szCs w:val="20"/>
          <w:color w:val="auto"/>
        </w:rPr>
      </w:pPr>
    </w:p>
    <w:p>
      <w:pPr>
        <w:ind w:left="100" w:right="260"/>
        <w:spacing w:after="0" w:line="252" w:lineRule="auto"/>
        <w:rPr>
          <w:sz w:val="20"/>
          <w:szCs w:val="20"/>
          <w:color w:val="auto"/>
        </w:rPr>
      </w:pPr>
      <w:r>
        <w:rPr>
          <w:rFonts w:ascii="Times New Roman" w:cs="Times New Roman" w:eastAsia="Times New Roman" w:hAnsi="Times New Roman"/>
          <w:sz w:val="22"/>
          <w:szCs w:val="22"/>
          <w:color w:val="auto"/>
        </w:rPr>
        <w:t>Reynolds Consumer Products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granted the Participant, effective as of the Grant Date (as set forth below), a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Reynolds Consumer Products Inc.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terms and conditions set forth in this award grant letter (this “</w:t>
      </w:r>
      <w:r>
        <w:rPr>
          <w:rFonts w:ascii="Times New Roman" w:cs="Times New Roman" w:eastAsia="Times New Roman" w:hAnsi="Times New Roman"/>
          <w:sz w:val="22"/>
          <w:szCs w:val="22"/>
          <w:b w:val="1"/>
          <w:bCs w:val="1"/>
          <w:color w:val="auto"/>
        </w:rPr>
        <w:t>Grant Letter</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exhibits and appendices thereto)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together with this Grant Letter,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00" w:right="24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ectPr>
          <w:pgSz w:w="11900" w:h="16838" w:orient="portrait"/>
          <w:cols w:equalWidth="0" w:num="1">
            <w:col w:w="10920"/>
          </w:cols>
          <w:pgMar w:left="6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Restricted Stock Units: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ind w:right="2640"/>
        <w:spacing w:after="0" w:line="268" w:lineRule="auto"/>
        <w:rPr>
          <w:sz w:val="20"/>
          <w:szCs w:val="20"/>
          <w:color w:val="auto"/>
        </w:rPr>
      </w:pPr>
      <w:r>
        <w:rPr>
          <w:rFonts w:ascii="Times New Roman" w:cs="Times New Roman" w:eastAsia="Times New Roman" w:hAnsi="Times New Roman"/>
          <w:sz w:val="22"/>
          <w:szCs w:val="22"/>
          <w:color w:val="auto"/>
        </w:rPr>
        <w:t>%%TOTAL_SHARES_GRANTED,'999,999,999'%-% Shares</w:t>
      </w:r>
    </w:p>
    <w:p>
      <w:pPr>
        <w:spacing w:after="0" w:line="2" w:lineRule="exact"/>
        <w:rPr>
          <w:sz w:val="20"/>
          <w:szCs w:val="20"/>
          <w:color w:val="auto"/>
        </w:rPr>
      </w:pPr>
    </w:p>
    <w:p>
      <w:pPr>
        <w:ind w:right="336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720"/>
        <w:spacing w:after="0" w:line="263" w:lineRule="auto"/>
        <w:rPr>
          <w:sz w:val="20"/>
          <w:szCs w:val="20"/>
          <w:color w:val="auto"/>
        </w:rPr>
      </w:pPr>
      <w:r>
        <w:rPr>
          <w:rFonts w:ascii="Times New Roman" w:cs="Times New Roman" w:eastAsia="Times New Roman" w:hAnsi="Times New Roman"/>
          <w:sz w:val="22"/>
          <w:szCs w:val="22"/>
          <w:color w:val="auto"/>
        </w:rPr>
        <w:t>Subject to the terms and conditions of the Award Agreement, the Restricted Stock Units shall vest on the first anniversary of the Grant Date (the “</w:t>
      </w:r>
      <w:r>
        <w:rPr>
          <w:rFonts w:ascii="Times New Roman" w:cs="Times New Roman" w:eastAsia="Times New Roman" w:hAnsi="Times New Roman"/>
          <w:sz w:val="22"/>
          <w:szCs w:val="22"/>
          <w:b w:val="1"/>
          <w:bCs w:val="1"/>
          <w:color w:val="auto"/>
        </w:rPr>
        <w:t>Vesting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such period, the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2960" w:space="540"/>
            <w:col w:w="7420"/>
          </w:cols>
          <w:pgMar w:left="640" w:top="117" w:right="339" w:bottom="1440" w:gutter="0" w:footer="0" w:header="0"/>
          <w:type w:val="continuous"/>
        </w:sectPr>
      </w:pPr>
    </w:p>
    <w:p>
      <w:pPr>
        <w:spacing w:after="0" w:line="197" w:lineRule="exact"/>
        <w:rPr>
          <w:sz w:val="20"/>
          <w:szCs w:val="20"/>
          <w:color w:val="auto"/>
        </w:rPr>
      </w:pPr>
    </w:p>
    <w:p>
      <w:pPr>
        <w:ind w:left="100" w:right="1100"/>
        <w:spacing w:after="0" w:line="257"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213" w:lineRule="exact"/>
        <w:rPr>
          <w:sz w:val="20"/>
          <w:szCs w:val="20"/>
          <w:color w:val="auto"/>
        </w:rPr>
      </w:pPr>
    </w:p>
    <w:p>
      <w:pPr>
        <w:ind w:left="100" w:right="420"/>
        <w:spacing w:after="0" w:line="257"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 Otherwise, please provide your signature, address and the date for this Agreement where indicated below.</w:t>
      </w:r>
    </w:p>
    <w:p>
      <w:pPr>
        <w:sectPr>
          <w:pgSz w:w="11900" w:h="16838" w:orient="portrait"/>
          <w:cols w:equalWidth="0" w:num="1">
            <w:col w:w="10920"/>
          </w:cols>
          <w:pgMar w:left="640" w:top="117" w:right="339" w:bottom="1440" w:gutter="0" w:footer="0" w:header="0"/>
          <w:type w:val="continuous"/>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19" w:lineRule="exact"/>
        <w:rPr>
          <w:sz w:val="20"/>
          <w:szCs w:val="20"/>
          <w:color w:val="auto"/>
        </w:rPr>
      </w:pPr>
    </w:p>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Letter as the Participant.</w:t>
      </w:r>
    </w:p>
    <w:p>
      <w:pPr>
        <w:spacing w:after="0" w:line="21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98"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1"/>
          <w:szCs w:val="21"/>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jc w:val="both"/>
        <w:ind w:right="380" w:firstLine="682"/>
        <w:spacing w:after="0" w:line="258" w:lineRule="auto"/>
        <w:tabs>
          <w:tab w:leader="none" w:pos="105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100" w:firstLine="682"/>
        <w:spacing w:after="0" w:line="275" w:lineRule="auto"/>
        <w:tabs>
          <w:tab w:leader="none" w:pos="1072"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RSUs</w:t>
      </w:r>
      <w:r>
        <w:rPr>
          <w:rFonts w:ascii="Times New Roman" w:cs="Times New Roman" w:eastAsia="Times New Roman" w:hAnsi="Times New Roman"/>
          <w:sz w:val="22"/>
          <w:szCs w:val="22"/>
          <w:color w:val="auto"/>
        </w:rPr>
        <w:t>. Each RSU shall represent the right to receive one Share upon the vesting of such RSU,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in accordance with and subject to the terms of this Agreement and the Plan.</w:t>
      </w:r>
    </w:p>
    <w:p>
      <w:pPr>
        <w:spacing w:after="0" w:line="189" w:lineRule="exact"/>
        <w:rPr>
          <w:rFonts w:ascii="Times New Roman" w:cs="Times New Roman" w:eastAsia="Times New Roman" w:hAnsi="Times New Roman"/>
          <w:sz w:val="22"/>
          <w:szCs w:val="22"/>
          <w:color w:val="auto"/>
        </w:rPr>
      </w:pPr>
    </w:p>
    <w:p>
      <w:pPr>
        <w:ind w:right="940" w:firstLine="682"/>
        <w:spacing w:after="0" w:line="275" w:lineRule="auto"/>
        <w:tabs>
          <w:tab w:leader="none" w:pos="105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terms and conditions:</w:t>
      </w:r>
    </w:p>
    <w:p>
      <w:pPr>
        <w:spacing w:after="0" w:line="189" w:lineRule="exact"/>
        <w:rPr>
          <w:rFonts w:ascii="Times New Roman" w:cs="Times New Roman" w:eastAsia="Times New Roman" w:hAnsi="Times New Roman"/>
          <w:sz w:val="22"/>
          <w:szCs w:val="22"/>
          <w:color w:val="auto"/>
        </w:rPr>
      </w:pPr>
    </w:p>
    <w:p>
      <w:pPr>
        <w:ind w:left="640" w:right="240" w:firstLine="568"/>
        <w:spacing w:after="0" w:line="275" w:lineRule="auto"/>
        <w:tabs>
          <w:tab w:leader="none" w:pos="1654"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of Award. </w:t>
      </w:r>
      <w:r>
        <w:rPr>
          <w:rFonts w:ascii="Times New Roman" w:cs="Times New Roman" w:eastAsia="Times New Roman" w:hAnsi="Times New Roman"/>
          <w:sz w:val="22"/>
          <w:szCs w:val="22"/>
          <w:color w:val="auto"/>
        </w:rPr>
        <w:t>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w:t>
      </w:r>
    </w:p>
    <w:p>
      <w:pPr>
        <w:spacing w:after="0" w:line="176" w:lineRule="exact"/>
        <w:rPr>
          <w:rFonts w:ascii="Times New Roman" w:cs="Times New Roman" w:eastAsia="Times New Roman" w:hAnsi="Times New Roman"/>
          <w:sz w:val="22"/>
          <w:szCs w:val="22"/>
          <w:color w:val="auto"/>
        </w:rPr>
      </w:pPr>
    </w:p>
    <w:p>
      <w:pPr>
        <w:ind w:left="640" w:right="380" w:firstLine="568"/>
        <w:spacing w:after="0" w:line="259" w:lineRule="auto"/>
        <w:tabs>
          <w:tab w:leader="none" w:pos="1666"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RSUs unless and until the Participant becomes the record owner of the Shares underlying such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0640"/>
          </w:cols>
          <w:pgMar w:left="740" w:top="1418" w:right="519" w:bottom="1440" w:gutter="0" w:footer="0" w:header="0"/>
        </w:sectPr>
      </w:pPr>
    </w:p>
    <w:bookmarkStart w:id="109" w:name="page110"/>
    <w:bookmarkEnd w:id="109"/>
    <w:p>
      <w:pPr>
        <w:ind w:left="-60" w:right="20" w:firstLine="568"/>
        <w:spacing w:after="0" w:line="250" w:lineRule="auto"/>
        <w:tabs>
          <w:tab w:leader="none" w:pos="95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Dividends. </w:t>
      </w:r>
      <w:r>
        <w:rPr>
          <w:rFonts w:ascii="Times New Roman" w:cs="Times New Roman" w:eastAsia="Times New Roman" w:hAnsi="Times New Roman"/>
          <w:sz w:val="22"/>
          <w:szCs w:val="22"/>
          <w:color w:val="auto"/>
        </w:rPr>
        <w:t>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RSUs are distributed to the Participant pursuant to Section 3(d), then as of each dividend payment date, the Participant shall be credited with cash per RSU equal to the per Share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(without interest) at the same time as the RSUs to which they relate are settled.</w:t>
      </w:r>
    </w:p>
    <w:p>
      <w:pPr>
        <w:spacing w:after="0" w:line="220" w:lineRule="exact"/>
        <w:rPr>
          <w:rFonts w:ascii="Times New Roman" w:cs="Times New Roman" w:eastAsia="Times New Roman" w:hAnsi="Times New Roman"/>
          <w:sz w:val="22"/>
          <w:szCs w:val="22"/>
          <w:color w:val="auto"/>
        </w:rPr>
      </w:pPr>
    </w:p>
    <w:p>
      <w:pPr>
        <w:ind w:left="-60" w:firstLine="568"/>
        <w:spacing w:after="0" w:line="264" w:lineRule="auto"/>
        <w:tabs>
          <w:tab w:leader="none" w:pos="96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Distribution of Shares. </w:t>
      </w:r>
      <w:r>
        <w:rPr>
          <w:rFonts w:ascii="Times New Roman" w:cs="Times New Roman" w:eastAsia="Times New Roman" w:hAnsi="Times New Roman"/>
          <w:sz w:val="21"/>
          <w:szCs w:val="21"/>
          <w:color w:val="auto"/>
        </w:rPr>
        <w:t>Subject to the provisions of this Agreement, upon the vesting of the RSUs 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Vesting Date, the Company shall settle and deliver to the Participant, as soon as reasonably practicable after the Vesting Date, (i) one Share for each such RSU plus (ii) such cash attributable to dividends to which the Participant has become entitled under Section 3(c); provided that such settlement shall be made no later than December 31, 2026. Upon such delivery, such Shares shall be fully assignable, alienable, saleable and transferable by the Participant; provided that any such assignment, alienation, sale, transfer or other alienation with respect to such Shares shall be in accordance with applicable securities laws and any applicable Company policy.</w:t>
      </w:r>
    </w:p>
    <w:p>
      <w:pPr>
        <w:spacing w:after="0" w:line="192" w:lineRule="exact"/>
        <w:rPr>
          <w:rFonts w:ascii="Times New Roman" w:cs="Times New Roman" w:eastAsia="Times New Roman" w:hAnsi="Times New Roman"/>
          <w:sz w:val="21"/>
          <w:szCs w:val="21"/>
          <w:color w:val="auto"/>
        </w:rPr>
      </w:pPr>
    </w:p>
    <w:p>
      <w:pPr>
        <w:ind w:left="-60" w:right="20" w:firstLine="568"/>
        <w:spacing w:after="0" w:line="248" w:lineRule="auto"/>
        <w:tabs>
          <w:tab w:leader="none" w:pos="95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 in Capitalization. </w:t>
      </w:r>
      <w:r>
        <w:rPr>
          <w:rFonts w:ascii="Times New Roman" w:cs="Times New Roman" w:eastAsia="Times New Roman" w:hAnsi="Times New Roman"/>
          <w:sz w:val="22"/>
          <w:szCs w:val="22"/>
          <w:color w:val="auto"/>
        </w:rPr>
        <w:t>In the event that, as a result of any dividend (other than ordinary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224" w:lineRule="exact"/>
        <w:rPr>
          <w:rFonts w:ascii="Times New Roman" w:cs="Times New Roman" w:eastAsia="Times New Roman" w:hAnsi="Times New Roman"/>
          <w:sz w:val="22"/>
          <w:szCs w:val="22"/>
          <w:color w:val="auto"/>
        </w:rPr>
      </w:pPr>
    </w:p>
    <w:p>
      <w:pPr>
        <w:ind w:left="-60" w:right="20" w:firstLine="568"/>
        <w:spacing w:after="0" w:line="251" w:lineRule="auto"/>
        <w:tabs>
          <w:tab w:leader="none" w:pos="93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Restrictions on Transferability. </w:t>
      </w:r>
      <w:r>
        <w:rPr>
          <w:rFonts w:ascii="Times New Roman" w:cs="Times New Roman" w:eastAsia="Times New Roman" w:hAnsi="Times New Roman"/>
          <w:sz w:val="22"/>
          <w:szCs w:val="22"/>
          <w:color w:val="auto"/>
        </w:rPr>
        <w:t>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840"/>
          </w:cols>
          <w:pgMar w:left="1440" w:top="1337" w:right="619" w:bottom="1440" w:gutter="0" w:footer="0" w:header="0"/>
        </w:sectPr>
      </w:pPr>
    </w:p>
    <w:bookmarkStart w:id="110" w:name="page111"/>
    <w:bookmarkEnd w:id="110"/>
    <w:p>
      <w:pPr>
        <w:spacing w:after="0" w:line="140" w:lineRule="exact"/>
        <w:rPr>
          <w:sz w:val="20"/>
          <w:szCs w:val="20"/>
          <w:color w:val="auto"/>
        </w:rPr>
      </w:pPr>
    </w:p>
    <w:p>
      <w:pPr>
        <w:ind w:left="640" w:right="80" w:firstLine="568"/>
        <w:spacing w:after="0" w:line="258" w:lineRule="auto"/>
        <w:tabs>
          <w:tab w:leader="none" w:pos="166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194" w:lineRule="exact"/>
        <w:rPr>
          <w:rFonts w:ascii="Times New Roman" w:cs="Times New Roman" w:eastAsia="Times New Roman" w:hAnsi="Times New Roman"/>
          <w:sz w:val="22"/>
          <w:szCs w:val="22"/>
          <w:color w:val="auto"/>
        </w:rPr>
      </w:pPr>
    </w:p>
    <w:p>
      <w:pPr>
        <w:ind w:left="640" w:right="300" w:firstLine="568"/>
        <w:spacing w:after="0" w:line="265" w:lineRule="auto"/>
        <w:tabs>
          <w:tab w:leader="none" w:pos="1666"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constitute a promise of future grants. The Company, in its sole discretion, maintains the right to make available future grants under the Plan.</w:t>
      </w:r>
    </w:p>
    <w:p>
      <w:pPr>
        <w:spacing w:after="0" w:line="188" w:lineRule="exact"/>
        <w:rPr>
          <w:rFonts w:ascii="Times New Roman" w:cs="Times New Roman" w:eastAsia="Times New Roman" w:hAnsi="Times New Roman"/>
          <w:sz w:val="22"/>
          <w:szCs w:val="22"/>
          <w:color w:val="auto"/>
        </w:rPr>
      </w:pPr>
    </w:p>
    <w:p>
      <w:pPr>
        <w:ind w:firstLine="681"/>
        <w:spacing w:after="0" w:line="277" w:lineRule="auto"/>
        <w:tabs>
          <w:tab w:leader="none" w:pos="1058"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Vesting Acceleration Upon Termination due to Death</w:t>
      </w:r>
      <w:r>
        <w:rPr>
          <w:rFonts w:ascii="Times New Roman" w:cs="Times New Roman" w:eastAsia="Times New Roman" w:hAnsi="Times New Roman"/>
          <w:sz w:val="21"/>
          <w:szCs w:val="21"/>
          <w:color w:val="auto"/>
        </w:rPr>
        <w:t>. Notwithstanding any other provisions of the Plan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contrary, in the event of the Participant’s death prior to the Vesting Date, the Award will vest in full. The RSUs that vest upon the Participant’s death pursuant to this Section 4 shall be distributed to the Beneficiary pursuant to Section 3(d).</w:t>
      </w:r>
    </w:p>
    <w:p>
      <w:pPr>
        <w:spacing w:after="0" w:line="230" w:lineRule="exact"/>
        <w:rPr>
          <w:rFonts w:ascii="Times New Roman" w:cs="Times New Roman" w:eastAsia="Times New Roman" w:hAnsi="Times New Roman"/>
          <w:sz w:val="21"/>
          <w:szCs w:val="21"/>
          <w:color w:val="auto"/>
        </w:rPr>
      </w:pPr>
    </w:p>
    <w:p>
      <w:pPr>
        <w:ind w:right="120" w:firstLine="682"/>
        <w:spacing w:after="0" w:line="248" w:lineRule="auto"/>
        <w:tabs>
          <w:tab w:leader="none" w:pos="1058"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Change in Control, subject to the Participant’s execution and non-revocation of a customary release of claims in favor of the Company and its Affiliates prior to such Change in Control, any unvested RSUs that are outstanding as of immediately prior to such Change in Control shall immediately become fully vested and non-forfeitable and the Shares underlying such vested RSUs shall be distributed to the Participant upon such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RSUs to which Section 19 of the Plan applies because such RSUs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Vesting Date set forth in this Agreement pursuant to Section 3(d), except to the extent that earlier distribution would not result in the Participant incurring any additional tax, penalty, interest or other expense under Section 409A and 457A of the Code.</w:t>
      </w:r>
    </w:p>
    <w:p>
      <w:pPr>
        <w:spacing w:after="0" w:line="206" w:lineRule="exact"/>
        <w:rPr>
          <w:rFonts w:ascii="Times New Roman" w:cs="Times New Roman" w:eastAsia="Times New Roman" w:hAnsi="Times New Roman"/>
          <w:sz w:val="22"/>
          <w:szCs w:val="22"/>
          <w:color w:val="auto"/>
        </w:rPr>
      </w:pPr>
    </w:p>
    <w:p>
      <w:pPr>
        <w:ind w:left="1060" w:hanging="378"/>
        <w:spacing w:after="0"/>
        <w:tabs>
          <w:tab w:leader="none" w:pos="10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640" w:right="340" w:firstLine="568"/>
        <w:spacing w:after="0" w:line="252" w:lineRule="auto"/>
        <w:tabs>
          <w:tab w:leader="none" w:pos="1650"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RSUs granted hereunder and any related dividend distribution.</w:t>
      </w:r>
    </w:p>
    <w:p>
      <w:pPr>
        <w:spacing w:after="0" w:line="219" w:lineRule="exact"/>
        <w:rPr>
          <w:rFonts w:ascii="Times New Roman" w:cs="Times New Roman" w:eastAsia="Times New Roman" w:hAnsi="Times New Roman"/>
          <w:sz w:val="22"/>
          <w:szCs w:val="22"/>
          <w:color w:val="auto"/>
        </w:rPr>
      </w:pPr>
    </w:p>
    <w:p>
      <w:pPr>
        <w:ind w:left="640" w:right="100" w:firstLine="568"/>
        <w:spacing w:after="0" w:line="271" w:lineRule="auto"/>
        <w:tabs>
          <w:tab w:leader="none" w:pos="1662" w:val="left"/>
        </w:tabs>
        <w:numPr>
          <w:ilvl w:val="1"/>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authorizes the Company to withhold from payroll or other amounts payable to Participant (including dividend amounts</w:t>
      </w:r>
    </w:p>
    <w:p>
      <w:pPr>
        <w:spacing w:after="0" w:line="200" w:lineRule="exact"/>
        <w:rPr>
          <w:sz w:val="20"/>
          <w:szCs w:val="20"/>
          <w:color w:val="auto"/>
        </w:rPr>
      </w:pPr>
    </w:p>
    <w:p>
      <w:pPr>
        <w:spacing w:after="0" w:line="35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540"/>
          </w:cols>
          <w:pgMar w:left="740" w:top="1440" w:right="619" w:bottom="1440" w:gutter="0" w:footer="0" w:header="0"/>
        </w:sectPr>
      </w:pPr>
    </w:p>
    <w:bookmarkStart w:id="111" w:name="page112"/>
    <w:bookmarkEnd w:id="111"/>
    <w:p>
      <w:pPr>
        <w:ind w:left="640" w:right="60"/>
        <w:spacing w:after="0" w:line="250" w:lineRule="auto"/>
        <w:rPr>
          <w:sz w:val="20"/>
          <w:szCs w:val="20"/>
          <w:color w:val="auto"/>
        </w:rPr>
      </w:pPr>
      <w:r>
        <w:rPr>
          <w:rFonts w:ascii="Times New Roman" w:cs="Times New Roman" w:eastAsia="Times New Roman" w:hAnsi="Times New Roman"/>
          <w:sz w:val="22"/>
          <w:szCs w:val="22"/>
          <w:color w:val="auto"/>
        </w:rPr>
        <w:t>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RSUs or Shares t issuable under the RSUs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217" w:lineRule="exact"/>
        <w:rPr>
          <w:sz w:val="20"/>
          <w:szCs w:val="20"/>
          <w:color w:val="auto"/>
        </w:rPr>
      </w:pPr>
    </w:p>
    <w:p>
      <w:pPr>
        <w:ind w:right="100" w:firstLine="682"/>
        <w:spacing w:after="0" w:line="252" w:lineRule="auto"/>
        <w:tabs>
          <w:tab w:leader="none" w:pos="105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01" w:lineRule="exact"/>
        <w:rPr>
          <w:rFonts w:ascii="Times New Roman" w:cs="Times New Roman" w:eastAsia="Times New Roman" w:hAnsi="Times New Roman"/>
          <w:sz w:val="22"/>
          <w:szCs w:val="22"/>
          <w:color w:val="auto"/>
        </w:rPr>
      </w:pPr>
    </w:p>
    <w:p>
      <w:pPr>
        <w:ind w:right="60" w:firstLine="682"/>
        <w:spacing w:after="0" w:line="251" w:lineRule="auto"/>
        <w:tabs>
          <w:tab w:leader="none" w:pos="1058"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cooperating 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286" w:lineRule="exact"/>
        <w:rPr>
          <w:rFonts w:ascii="Times New Roman" w:cs="Times New Roman" w:eastAsia="Times New Roman" w:hAnsi="Times New Roman"/>
          <w:sz w:val="22"/>
          <w:szCs w:val="22"/>
          <w:color w:val="auto"/>
        </w:rPr>
      </w:pPr>
    </w:p>
    <w:p>
      <w:pPr>
        <w:ind w:right="480" w:firstLine="574"/>
        <w:spacing w:after="0" w:line="299" w:lineRule="auto"/>
        <w:tabs>
          <w:tab w:leader="none" w:pos="950"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right="420" w:firstLine="574"/>
        <w:spacing w:after="0" w:line="259" w:lineRule="auto"/>
        <w:tabs>
          <w:tab w:leader="none" w:pos="105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recoupment or “clawback” as may be required by applicable law, stock exchange rules or by any applicable Company policy or arrangement the Company has in place from time to time.</w:t>
      </w:r>
    </w:p>
    <w:p>
      <w:pPr>
        <w:spacing w:after="0" w:line="206" w:lineRule="exact"/>
        <w:rPr>
          <w:rFonts w:ascii="Times New Roman" w:cs="Times New Roman" w:eastAsia="Times New Roman" w:hAnsi="Times New Roman"/>
          <w:sz w:val="22"/>
          <w:szCs w:val="22"/>
          <w:color w:val="auto"/>
        </w:rPr>
      </w:pPr>
    </w:p>
    <w:p>
      <w:pPr>
        <w:ind w:firstLine="574"/>
        <w:spacing w:after="0" w:line="259" w:lineRule="auto"/>
        <w:tabs>
          <w:tab w:leader="none" w:pos="105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200" w:lineRule="exact"/>
        <w:rPr>
          <w:sz w:val="20"/>
          <w:szCs w:val="20"/>
          <w:color w:val="auto"/>
        </w:rPr>
      </w:pPr>
    </w:p>
    <w:p>
      <w:pPr>
        <w:spacing w:after="0" w:line="3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600"/>
          </w:cols>
          <w:pgMar w:left="740" w:top="1341" w:right="559" w:bottom="1440" w:gutter="0" w:footer="0" w:header="0"/>
        </w:sectPr>
      </w:pPr>
    </w:p>
    <w:bookmarkStart w:id="112" w:name="page113"/>
    <w:bookmarkEnd w:id="112"/>
    <w:p>
      <w:pPr>
        <w:spacing w:after="0" w:line="154" w:lineRule="exact"/>
        <w:rPr>
          <w:sz w:val="20"/>
          <w:szCs w:val="20"/>
          <w:color w:val="auto"/>
        </w:rPr>
      </w:pPr>
    </w:p>
    <w:p>
      <w:pPr>
        <w:ind w:left="486" w:hanging="486"/>
        <w:spacing w:after="0"/>
        <w:tabs>
          <w:tab w:leader="none" w:pos="486"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6" w:right="360" w:firstLine="568"/>
        <w:spacing w:after="0" w:line="269" w:lineRule="auto"/>
        <w:tabs>
          <w:tab w:leader="none" w:pos="1079" w:val="left"/>
        </w:tabs>
        <w:numPr>
          <w:ilvl w:val="1"/>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Notices. </w:t>
      </w:r>
      <w:r>
        <w:rPr>
          <w:rFonts w:ascii="Times New Roman" w:cs="Times New Roman" w:eastAsia="Times New Roman" w:hAnsi="Times New Roman"/>
          <w:sz w:val="21"/>
          <w:szCs w:val="21"/>
          <w:color w:val="auto"/>
        </w:rPr>
        <w:t>Any notice required or permitted to be given under this Agreement shall be in writing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4" w:lineRule="exact"/>
        <w:rPr>
          <w:sz w:val="20"/>
          <w:szCs w:val="20"/>
          <w:color w:val="auto"/>
        </w:rPr>
      </w:pPr>
    </w:p>
    <w:p>
      <w:pPr>
        <w:ind w:left="726"/>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726"/>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8" w:lineRule="exact"/>
        <w:rPr>
          <w:sz w:val="20"/>
          <w:szCs w:val="20"/>
          <w:color w:val="auto"/>
        </w:rPr>
      </w:pPr>
    </w:p>
    <w:p>
      <w:pPr>
        <w:ind w:left="726"/>
        <w:spacing w:after="0"/>
        <w:rPr>
          <w:sz w:val="20"/>
          <w:szCs w:val="20"/>
          <w:color w:val="auto"/>
        </w:rPr>
      </w:pPr>
      <w:r>
        <w:rPr>
          <w:rFonts w:ascii="Times New Roman" w:cs="Times New Roman" w:eastAsia="Times New Roman" w:hAnsi="Times New Roman"/>
          <w:sz w:val="22"/>
          <w:szCs w:val="22"/>
          <w:color w:val="auto"/>
        </w:rPr>
        <w:t>Lake Forest, Illinois 60045 Attention: Valerie Miller Richards</w:t>
      </w:r>
    </w:p>
    <w:p>
      <w:pPr>
        <w:spacing w:after="0" w:line="4" w:lineRule="exact"/>
        <w:rPr>
          <w:sz w:val="20"/>
          <w:szCs w:val="20"/>
          <w:color w:val="auto"/>
        </w:rPr>
      </w:pPr>
    </w:p>
    <w:p>
      <w:pPr>
        <w:ind w:left="726"/>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236" w:lineRule="exact"/>
        <w:rPr>
          <w:sz w:val="20"/>
          <w:szCs w:val="20"/>
          <w:color w:val="auto"/>
        </w:rPr>
      </w:pPr>
    </w:p>
    <w:p>
      <w:pPr>
        <w:ind w:left="726"/>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60" w:lineRule="exact"/>
        <w:rPr>
          <w:sz w:val="20"/>
          <w:szCs w:val="20"/>
          <w:color w:val="auto"/>
        </w:rPr>
      </w:pPr>
    </w:p>
    <w:p>
      <w:pPr>
        <w:ind w:left="726" w:right="200"/>
        <w:spacing w:after="0" w:line="257"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209" w:lineRule="exact"/>
        <w:rPr>
          <w:sz w:val="20"/>
          <w:szCs w:val="20"/>
          <w:color w:val="auto"/>
        </w:rPr>
      </w:pPr>
    </w:p>
    <w:p>
      <w:pPr>
        <w:ind w:left="66" w:firstLine="568"/>
        <w:spacing w:after="0" w:line="261" w:lineRule="auto"/>
        <w:tabs>
          <w:tab w:leader="none" w:pos="1091"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Entire Agreement. </w:t>
      </w:r>
      <w:r>
        <w:rPr>
          <w:rFonts w:ascii="Times New Roman" w:cs="Times New Roman" w:eastAsia="Times New Roman" w:hAnsi="Times New Roman"/>
          <w:sz w:val="21"/>
          <w:szCs w:val="21"/>
          <w:color w:val="auto"/>
        </w:rPr>
        <w:t>This Agreement, the Plan and any other agreements, schedules, exhibits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provided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208" w:lineRule="exact"/>
        <w:rPr>
          <w:rFonts w:ascii="Times New Roman" w:cs="Times New Roman" w:eastAsia="Times New Roman" w:hAnsi="Times New Roman"/>
          <w:sz w:val="21"/>
          <w:szCs w:val="21"/>
          <w:color w:val="auto"/>
        </w:rPr>
      </w:pPr>
    </w:p>
    <w:p>
      <w:pPr>
        <w:ind w:left="66" w:right="60" w:firstLine="568"/>
        <w:spacing w:after="0" w:line="259" w:lineRule="auto"/>
        <w:tabs>
          <w:tab w:leader="none" w:pos="1079"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Sections 409A and 457A of the Code. </w:t>
      </w:r>
      <w:r>
        <w:rPr>
          <w:rFonts w:ascii="Times New Roman" w:cs="Times New Roman" w:eastAsia="Times New Roman" w:hAnsi="Times New Roman"/>
          <w:sz w:val="22"/>
          <w:szCs w:val="22"/>
          <w:color w:val="auto"/>
        </w:rPr>
        <w:t>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w:t>
      </w:r>
    </w:p>
    <w:p>
      <w:pPr>
        <w:spacing w:after="0" w:line="200" w:lineRule="exact"/>
        <w:rPr>
          <w:sz w:val="20"/>
          <w:szCs w:val="20"/>
          <w:color w:val="auto"/>
        </w:rPr>
      </w:pPr>
    </w:p>
    <w:p>
      <w:pPr>
        <w:spacing w:after="0" w:line="367" w:lineRule="exact"/>
        <w:rPr>
          <w:sz w:val="20"/>
          <w:szCs w:val="20"/>
          <w:color w:val="auto"/>
        </w:rPr>
      </w:pPr>
    </w:p>
    <w:p>
      <w:pPr>
        <w:ind w:left="4586"/>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66"/>
          </w:cols>
          <w:pgMar w:left="1314" w:top="1440" w:right="619" w:bottom="1440" w:gutter="0" w:footer="0" w:header="0"/>
        </w:sectPr>
      </w:pPr>
    </w:p>
    <w:bookmarkStart w:id="113" w:name="page114"/>
    <w:bookmarkEnd w:id="113"/>
    <w:p>
      <w:pPr>
        <w:ind w:right="200"/>
        <w:spacing w:after="0" w:line="271" w:lineRule="auto"/>
        <w:rPr>
          <w:sz w:val="20"/>
          <w:szCs w:val="20"/>
          <w:color w:val="auto"/>
        </w:rPr>
      </w:pPr>
      <w:r>
        <w:rPr>
          <w:rFonts w:ascii="Times New Roman" w:cs="Times New Roman" w:eastAsia="Times New Roman" w:hAnsi="Times New Roman"/>
          <w:sz w:val="22"/>
          <w:szCs w:val="22"/>
          <w:color w:val="auto"/>
        </w:rPr>
        <w:t>manner that satisfies the requirements of Sections 409A and 457A of the Code. Section 19 of the Plan is hereby incorporated by reference.</w:t>
      </w:r>
    </w:p>
    <w:p>
      <w:pPr>
        <w:spacing w:after="0" w:line="194" w:lineRule="exact"/>
        <w:rPr>
          <w:sz w:val="20"/>
          <w:szCs w:val="20"/>
          <w:color w:val="auto"/>
        </w:rPr>
      </w:pPr>
    </w:p>
    <w:p>
      <w:pPr>
        <w:ind w:right="20" w:firstLine="568"/>
        <w:spacing w:after="0" w:line="252" w:lineRule="auto"/>
        <w:tabs>
          <w:tab w:leader="none" w:pos="10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Severability. </w:t>
      </w:r>
      <w:r>
        <w:rPr>
          <w:rFonts w:ascii="Times New Roman" w:cs="Times New Roman" w:eastAsia="Times New Roman" w:hAnsi="Times New Roman"/>
          <w:sz w:val="22"/>
          <w:szCs w:val="22"/>
          <w:color w:val="auto"/>
        </w:rPr>
        <w:t>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201" w:lineRule="exact"/>
        <w:rPr>
          <w:rFonts w:ascii="Times New Roman" w:cs="Times New Roman" w:eastAsia="Times New Roman" w:hAnsi="Times New Roman"/>
          <w:sz w:val="22"/>
          <w:szCs w:val="22"/>
          <w:color w:val="auto"/>
        </w:rPr>
      </w:pPr>
    </w:p>
    <w:p>
      <w:pPr>
        <w:ind w:firstLine="568"/>
        <w:spacing w:after="0" w:line="249" w:lineRule="auto"/>
        <w:tabs>
          <w:tab w:leader="none" w:pos="1014"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Waiver. </w:t>
      </w:r>
      <w:r>
        <w:rPr>
          <w:rFonts w:ascii="Times New Roman" w:cs="Times New Roman" w:eastAsia="Times New Roman" w:hAnsi="Times New Roman"/>
          <w:sz w:val="22"/>
          <w:szCs w:val="22"/>
          <w:color w:val="auto"/>
        </w:rPr>
        <w:t>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adverse effect on the Participant shall be effective unless signed in writing by or on behalf of the Company and the Participant; provided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222" w:lineRule="exact"/>
        <w:rPr>
          <w:rFonts w:ascii="Times New Roman" w:cs="Times New Roman" w:eastAsia="Times New Roman" w:hAnsi="Times New Roman"/>
          <w:sz w:val="22"/>
          <w:szCs w:val="22"/>
          <w:color w:val="auto"/>
        </w:rPr>
      </w:pPr>
    </w:p>
    <w:p>
      <w:pPr>
        <w:ind w:right="80" w:firstLine="568"/>
        <w:spacing w:after="0" w:line="275" w:lineRule="auto"/>
        <w:tabs>
          <w:tab w:leader="none" w:pos="99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Assignment. </w:t>
      </w:r>
      <w:r>
        <w:rPr>
          <w:rFonts w:ascii="Times New Roman" w:cs="Times New Roman" w:eastAsia="Times New Roman" w:hAnsi="Times New Roman"/>
          <w:sz w:val="22"/>
          <w:szCs w:val="22"/>
          <w:color w:val="auto"/>
        </w:rPr>
        <w:t>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76" w:lineRule="exact"/>
        <w:rPr>
          <w:rFonts w:ascii="Times New Roman" w:cs="Times New Roman" w:eastAsia="Times New Roman" w:hAnsi="Times New Roman"/>
          <w:sz w:val="22"/>
          <w:szCs w:val="22"/>
          <w:color w:val="auto"/>
        </w:rPr>
      </w:pPr>
    </w:p>
    <w:p>
      <w:pPr>
        <w:ind w:right="80" w:firstLine="568"/>
        <w:spacing w:after="0" w:line="269" w:lineRule="auto"/>
        <w:tabs>
          <w:tab w:leader="none" w:pos="1026"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Successors and Assigns; No Third-Party Beneficiaries. </w:t>
      </w:r>
      <w:r>
        <w:rPr>
          <w:rFonts w:ascii="Times New Roman" w:cs="Times New Roman" w:eastAsia="Times New Roman" w:hAnsi="Times New Roman"/>
          <w:sz w:val="21"/>
          <w:szCs w:val="21"/>
          <w:color w:val="auto"/>
        </w:rPr>
        <w:t>This Agreement shall inure to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185" w:lineRule="exact"/>
        <w:rPr>
          <w:rFonts w:ascii="Times New Roman" w:cs="Times New Roman" w:eastAsia="Times New Roman" w:hAnsi="Times New Roman"/>
          <w:sz w:val="21"/>
          <w:szCs w:val="21"/>
          <w:color w:val="auto"/>
        </w:rPr>
      </w:pPr>
    </w:p>
    <w:p>
      <w:pPr>
        <w:ind w:right="40" w:firstLine="568"/>
        <w:spacing w:after="0" w:line="252" w:lineRule="auto"/>
        <w:tabs>
          <w:tab w:leader="none" w:pos="1026"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Waiver of Jury Trial. </w:t>
      </w:r>
      <w:r>
        <w:rPr>
          <w:rFonts w:ascii="Times New Roman" w:cs="Times New Roman" w:eastAsia="Times New Roman" w:hAnsi="Times New Roman"/>
          <w:sz w:val="22"/>
          <w:szCs w:val="22"/>
          <w:color w:val="auto"/>
        </w:rPr>
        <w:t>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860"/>
          </w:cols>
          <w:pgMar w:left="1380" w:top="1341" w:right="659" w:bottom="1440" w:gutter="0" w:footer="0" w:header="0"/>
        </w:sectPr>
      </w:pPr>
    </w:p>
    <w:bookmarkStart w:id="114" w:name="page115"/>
    <w:bookmarkEnd w:id="114"/>
    <w:p>
      <w:pPr>
        <w:ind w:left="-60" w:firstLine="568"/>
        <w:spacing w:after="0" w:line="248" w:lineRule="auto"/>
        <w:tabs>
          <w:tab w:leader="none" w:pos="9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Dispute Resolution. </w:t>
      </w:r>
      <w:r>
        <w:rPr>
          <w:rFonts w:ascii="Times New Roman" w:cs="Times New Roman" w:eastAsia="Times New Roman" w:hAnsi="Times New Roman"/>
          <w:sz w:val="22"/>
          <w:szCs w:val="22"/>
          <w:color w:val="auto"/>
        </w:rPr>
        <w:t>Any dispute or claim arising out of, under or in connection with the Plan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214" w:lineRule="exact"/>
        <w:rPr>
          <w:rFonts w:ascii="Times New Roman" w:cs="Times New Roman" w:eastAsia="Times New Roman" w:hAnsi="Times New Roman"/>
          <w:sz w:val="22"/>
          <w:szCs w:val="22"/>
          <w:color w:val="auto"/>
        </w:rPr>
      </w:pPr>
    </w:p>
    <w:p>
      <w:pPr>
        <w:ind w:left="-60" w:firstLine="568"/>
        <w:spacing w:after="0" w:line="250" w:lineRule="auto"/>
        <w:tabs>
          <w:tab w:leader="none" w:pos="9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Participant Undertaking; Acceptance. </w:t>
      </w:r>
      <w:r>
        <w:rPr>
          <w:rFonts w:ascii="Times New Roman" w:cs="Times New Roman" w:eastAsia="Times New Roman" w:hAnsi="Times New Roman"/>
          <w:sz w:val="22"/>
          <w:szCs w:val="22"/>
          <w:color w:val="auto"/>
        </w:rPr>
        <w:t>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207" w:lineRule="exact"/>
        <w:rPr>
          <w:rFonts w:ascii="Times New Roman" w:cs="Times New Roman" w:eastAsia="Times New Roman" w:hAnsi="Times New Roman"/>
          <w:sz w:val="22"/>
          <w:szCs w:val="22"/>
          <w:color w:val="auto"/>
        </w:rPr>
      </w:pPr>
    </w:p>
    <w:p>
      <w:pPr>
        <w:ind w:left="-60" w:right="120" w:firstLine="568"/>
        <w:spacing w:after="0" w:line="287" w:lineRule="auto"/>
        <w:tabs>
          <w:tab w:leader="none" w:pos="966"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Captions. </w:t>
      </w:r>
      <w:r>
        <w:rPr>
          <w:rFonts w:ascii="Times New Roman" w:cs="Times New Roman" w:eastAsia="Times New Roman" w:hAnsi="Times New Roman"/>
          <w:sz w:val="22"/>
          <w:szCs w:val="22"/>
          <w:color w:val="auto"/>
        </w:rPr>
        <w:t>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164" w:lineRule="exact"/>
        <w:rPr>
          <w:rFonts w:ascii="Times New Roman" w:cs="Times New Roman" w:eastAsia="Times New Roman" w:hAnsi="Times New Roman"/>
          <w:sz w:val="22"/>
          <w:szCs w:val="22"/>
          <w:color w:val="auto"/>
        </w:rPr>
      </w:pPr>
    </w:p>
    <w:p>
      <w:pPr>
        <w:ind w:left="-60" w:right="360" w:firstLine="568"/>
        <w:spacing w:after="0" w:line="275" w:lineRule="auto"/>
        <w:tabs>
          <w:tab w:leader="none" w:pos="918"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executed in two counterparts, each of which shall constitute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one and the same instrument.</w:t>
      </w:r>
    </w:p>
    <w:p>
      <w:pPr>
        <w:spacing w:after="0" w:line="176"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840"/>
          </w:cols>
          <w:pgMar w:left="1440" w:top="1337" w:right="619" w:bottom="1440" w:gutter="0" w:footer="0" w:header="0"/>
        </w:sectPr>
      </w:pPr>
    </w:p>
    <w:bookmarkStart w:id="115" w:name="page116"/>
    <w:bookmarkEnd w:id="115"/>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INC.</w:t>
      </w:r>
    </w:p>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27940</wp:posOffset>
            </wp:positionV>
            <wp:extent cx="24771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Scott E. Huckins</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10240"/>
          </w:cols>
          <w:pgMar w:left="420" w:top="1408" w:right="1239" w:bottom="1440" w:gutter="0" w:footer="0" w:header="0"/>
        </w:sectPr>
      </w:pPr>
    </w:p>
    <w:bookmarkStart w:id="116" w:name="page117"/>
    <w:bookmarkEnd w:id="11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%%FIRST_NAME_MIDDLE_NAME_LAST_NAME%-%</w:t>
      </w:r>
    </w:p>
    <w:p>
      <w:pPr>
        <w:spacing w:after="0" w:line="188" w:lineRule="exact"/>
        <w:rPr>
          <w:sz w:val="20"/>
          <w:szCs w:val="20"/>
          <w:color w:val="auto"/>
        </w:rPr>
      </w:pPr>
    </w:p>
    <w:p>
      <w:pPr>
        <w:sectPr>
          <w:pgSz w:w="11900" w:h="16838" w:orient="portrait"/>
          <w:cols w:equalWidth="0" w:num="2">
            <w:col w:w="320" w:space="300"/>
            <w:col w:w="9419"/>
          </w:cols>
          <w:pgMar w:left="420" w:top="1192" w:right="1440" w:bottom="1440" w:gutter="0" w:footer="0" w:header="0"/>
        </w:sectPr>
      </w:pP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Address: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%%ADDRESS_LINE_1%-%</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%%ADDRESS_LINE_2%-%</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%%CITY_STATE_ZIPCODE%-%</w:t>
      </w:r>
    </w:p>
    <w:p>
      <w:pPr>
        <w:sectPr>
          <w:pgSz w:w="11900" w:h="16838" w:orient="portrait"/>
          <w:cols w:equalWidth="0" w:num="1">
            <w:col w:w="10039"/>
          </w:cols>
          <w:pgMar w:left="420" w:top="1192" w:right="1440"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%%OPTION_DATE,'Month DD, YYYY'%-%</w:t>
      </w:r>
    </w:p>
    <w:p>
      <w:pPr>
        <w:spacing w:after="0" w:line="243" w:lineRule="exact"/>
        <w:rPr>
          <w:sz w:val="20"/>
          <w:szCs w:val="20"/>
          <w:color w:val="auto"/>
        </w:rPr>
      </w:pPr>
    </w:p>
    <w:p>
      <w:pPr>
        <w:ind w:left="100" w:right="260"/>
        <w:spacing w:after="0" w:line="252" w:lineRule="auto"/>
        <w:rPr>
          <w:sz w:val="20"/>
          <w:szCs w:val="20"/>
          <w:color w:val="auto"/>
        </w:rPr>
      </w:pPr>
      <w:r>
        <w:rPr>
          <w:rFonts w:ascii="Times New Roman" w:cs="Times New Roman" w:eastAsia="Times New Roman" w:hAnsi="Times New Roman"/>
          <w:sz w:val="22"/>
          <w:szCs w:val="22"/>
          <w:color w:val="auto"/>
        </w:rPr>
        <w:t>Reynolds Consumer Products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granted the Participant, effective as of the Grant Date (as set forth below), a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Reynolds Consumer Products Inc.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terms and conditions set forth in this award grant letter (this “</w:t>
      </w:r>
      <w:r>
        <w:rPr>
          <w:rFonts w:ascii="Times New Roman" w:cs="Times New Roman" w:eastAsia="Times New Roman" w:hAnsi="Times New Roman"/>
          <w:sz w:val="22"/>
          <w:szCs w:val="22"/>
          <w:b w:val="1"/>
          <w:bCs w:val="1"/>
          <w:color w:val="auto"/>
        </w:rPr>
        <w:t>Grant Letter</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exhibits and appendices thereto)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together with this Grant Letter,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00" w:right="24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ectPr>
          <w:pgSz w:w="11900" w:h="16838" w:orient="portrait"/>
          <w:cols w:equalWidth="0" w:num="1">
            <w:col w:w="10920"/>
          </w:cols>
          <w:pgMar w:left="6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Restricted Stock Units: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ind w:right="2640"/>
        <w:spacing w:after="0" w:line="268" w:lineRule="auto"/>
        <w:rPr>
          <w:sz w:val="20"/>
          <w:szCs w:val="20"/>
          <w:color w:val="auto"/>
        </w:rPr>
      </w:pPr>
      <w:r>
        <w:rPr>
          <w:rFonts w:ascii="Times New Roman" w:cs="Times New Roman" w:eastAsia="Times New Roman" w:hAnsi="Times New Roman"/>
          <w:sz w:val="22"/>
          <w:szCs w:val="22"/>
          <w:color w:val="auto"/>
        </w:rPr>
        <w:t>%%TOTAL_SHARES_GRANTED,'999,999,999'%-% Shares</w:t>
      </w:r>
    </w:p>
    <w:p>
      <w:pPr>
        <w:spacing w:after="0" w:line="2" w:lineRule="exact"/>
        <w:rPr>
          <w:sz w:val="20"/>
          <w:szCs w:val="20"/>
          <w:color w:val="auto"/>
        </w:rPr>
      </w:pPr>
    </w:p>
    <w:p>
      <w:pPr>
        <w:ind w:right="336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560"/>
        <w:spacing w:after="0" w:line="250" w:lineRule="auto"/>
        <w:rPr>
          <w:sz w:val="20"/>
          <w:szCs w:val="20"/>
          <w:color w:val="auto"/>
        </w:rPr>
      </w:pPr>
      <w:r>
        <w:rPr>
          <w:rFonts w:ascii="Times New Roman" w:cs="Times New Roman" w:eastAsia="Times New Roman" w:hAnsi="Times New Roman"/>
          <w:sz w:val="22"/>
          <w:szCs w:val="22"/>
          <w:color w:val="auto"/>
        </w:rPr>
        <w:t>Subject to the terms and conditions of the Award Agreement, the Restricted Stock Units shall vest ratably on each of the first three anniversaries of the Grant Date (each, a scheduled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each such one-year period, a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it being understood that the Vesting Period ending on the first anniversary of the Grant Date shall be further referred to as the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the Vesting Period ending on the second anniversary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shall be further referred to as the “</w:t>
      </w:r>
      <w:r>
        <w:rPr>
          <w:rFonts w:ascii="Times New Roman" w:cs="Times New Roman" w:eastAsia="Times New Roman" w:hAnsi="Times New Roman"/>
          <w:sz w:val="22"/>
          <w:szCs w:val="22"/>
          <w:b w:val="1"/>
          <w:bCs w:val="1"/>
          <w:color w:val="auto"/>
        </w:rPr>
        <w:t>Second Vesting Period,</w:t>
      </w:r>
      <w:r>
        <w:rPr>
          <w:rFonts w:ascii="Times New Roman" w:cs="Times New Roman" w:eastAsia="Times New Roman" w:hAnsi="Times New Roman"/>
          <w:sz w:val="22"/>
          <w:szCs w:val="22"/>
          <w:color w:val="auto"/>
        </w:rPr>
        <w:t>” and the Vesting Period ending on the third anniversary of the Grant Date shall be referred to as the “</w:t>
      </w:r>
      <w:r>
        <w:rPr>
          <w:rFonts w:ascii="Times New Roman" w:cs="Times New Roman" w:eastAsia="Times New Roman" w:hAnsi="Times New Roman"/>
          <w:sz w:val="22"/>
          <w:szCs w:val="22"/>
          <w:b w:val="1"/>
          <w:bCs w:val="1"/>
          <w:color w:val="auto"/>
        </w:rPr>
        <w:t>Third Vesting Period</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2960" w:space="540"/>
            <w:col w:w="7420"/>
          </w:cols>
          <w:pgMar w:left="640" w:top="117" w:right="339" w:bottom="1440" w:gutter="0" w:footer="0" w:header="0"/>
          <w:type w:val="continuous"/>
        </w:sectPr>
      </w:pPr>
    </w:p>
    <w:p>
      <w:pPr>
        <w:spacing w:after="0" w:line="209" w:lineRule="exact"/>
        <w:rPr>
          <w:sz w:val="20"/>
          <w:szCs w:val="20"/>
          <w:color w:val="auto"/>
        </w:rPr>
      </w:pPr>
    </w:p>
    <w:p>
      <w:pPr>
        <w:ind w:left="100" w:right="1100"/>
        <w:spacing w:after="0" w:line="257"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ectPr>
          <w:pgSz w:w="11900" w:h="16838" w:orient="portrait"/>
          <w:cols w:equalWidth="0" w:num="1">
            <w:col w:w="10920"/>
          </w:cols>
          <w:pgMar w:left="640" w:top="117" w:right="339" w:bottom="1440" w:gutter="0" w:footer="0" w:header="0"/>
          <w:type w:val="continuous"/>
        </w:sectPr>
      </w:pPr>
    </w:p>
    <w:bookmarkStart w:id="118" w:name="page119"/>
    <w:bookmarkEnd w:id="118"/>
    <w:p>
      <w:pPr>
        <w:spacing w:after="0" w:line="263"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 Otherwise, please provide your signature, address and the date for this Agreement where indicated below.</w:t>
      </w:r>
    </w:p>
    <w:p>
      <w:pPr>
        <w:sectPr>
          <w:pgSz w:w="11900" w:h="16838" w:orient="portrait"/>
          <w:cols w:equalWidth="0" w:num="1">
            <w:col w:w="10400"/>
          </w:cols>
          <w:pgMar w:left="740" w:top="1435" w:right="75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19" w:lineRule="exact"/>
        <w:rPr>
          <w:sz w:val="20"/>
          <w:szCs w:val="20"/>
          <w:color w:val="auto"/>
        </w:rPr>
      </w:pPr>
    </w:p>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Letter as the Participant.</w:t>
      </w:r>
    </w:p>
    <w:p>
      <w:pPr>
        <w:spacing w:after="0" w:line="21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98"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1"/>
          <w:szCs w:val="21"/>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jc w:val="both"/>
        <w:ind w:right="380" w:firstLine="682"/>
        <w:spacing w:after="0" w:line="258" w:lineRule="auto"/>
        <w:tabs>
          <w:tab w:leader="none" w:pos="105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100" w:firstLine="682"/>
        <w:spacing w:after="0" w:line="275" w:lineRule="auto"/>
        <w:tabs>
          <w:tab w:leader="none" w:pos="1072"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RSUs</w:t>
      </w:r>
      <w:r>
        <w:rPr>
          <w:rFonts w:ascii="Times New Roman" w:cs="Times New Roman" w:eastAsia="Times New Roman" w:hAnsi="Times New Roman"/>
          <w:sz w:val="22"/>
          <w:szCs w:val="22"/>
          <w:color w:val="auto"/>
        </w:rPr>
        <w:t>. Each RSU shall represent the right to receive one Share upon the vesting of such RSU,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in accordance with and subject to the terms of this Agreement and the Plan.</w:t>
      </w:r>
    </w:p>
    <w:p>
      <w:pPr>
        <w:spacing w:after="0" w:line="189" w:lineRule="exact"/>
        <w:rPr>
          <w:rFonts w:ascii="Times New Roman" w:cs="Times New Roman" w:eastAsia="Times New Roman" w:hAnsi="Times New Roman"/>
          <w:sz w:val="22"/>
          <w:szCs w:val="22"/>
          <w:color w:val="auto"/>
        </w:rPr>
      </w:pPr>
    </w:p>
    <w:p>
      <w:pPr>
        <w:ind w:right="940" w:firstLine="682"/>
        <w:spacing w:after="0" w:line="275" w:lineRule="auto"/>
        <w:tabs>
          <w:tab w:leader="none" w:pos="105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terms and conditions:</w:t>
      </w:r>
    </w:p>
    <w:p>
      <w:pPr>
        <w:spacing w:after="0" w:line="189" w:lineRule="exact"/>
        <w:rPr>
          <w:rFonts w:ascii="Times New Roman" w:cs="Times New Roman" w:eastAsia="Times New Roman" w:hAnsi="Times New Roman"/>
          <w:sz w:val="22"/>
          <w:szCs w:val="22"/>
          <w:color w:val="auto"/>
        </w:rPr>
      </w:pPr>
    </w:p>
    <w:p>
      <w:pPr>
        <w:ind w:left="640" w:right="240" w:firstLine="568"/>
        <w:spacing w:after="0" w:line="275" w:lineRule="auto"/>
        <w:tabs>
          <w:tab w:leader="none" w:pos="165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of Award</w:t>
      </w:r>
      <w:r>
        <w:rPr>
          <w:rFonts w:ascii="Times New Roman" w:cs="Times New Roman" w:eastAsia="Times New Roman" w:hAnsi="Times New Roman"/>
          <w:sz w:val="22"/>
          <w:szCs w:val="22"/>
          <w:color w:val="auto"/>
        </w:rPr>
        <w:t>. 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w:t>
      </w:r>
    </w:p>
    <w:p>
      <w:pPr>
        <w:spacing w:after="0" w:line="189" w:lineRule="exact"/>
        <w:rPr>
          <w:rFonts w:ascii="Times New Roman" w:cs="Times New Roman" w:eastAsia="Times New Roman" w:hAnsi="Times New Roman"/>
          <w:sz w:val="22"/>
          <w:szCs w:val="22"/>
          <w:color w:val="auto"/>
        </w:rPr>
      </w:pPr>
    </w:p>
    <w:p>
      <w:pPr>
        <w:ind w:left="640" w:right="380" w:firstLine="568"/>
        <w:spacing w:after="0" w:line="259" w:lineRule="auto"/>
        <w:tabs>
          <w:tab w:leader="none" w:pos="1666"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RSUs unless and until the Participant becomes the record owner of the Shares underlying such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640"/>
          </w:cols>
          <w:pgMar w:left="740" w:top="1418" w:right="519" w:bottom="1440" w:gutter="0" w:footer="0" w:header="0"/>
        </w:sectPr>
      </w:pPr>
    </w:p>
    <w:bookmarkStart w:id="120" w:name="page121"/>
    <w:bookmarkEnd w:id="120"/>
    <w:p>
      <w:pPr>
        <w:ind w:left="-60" w:firstLine="568"/>
        <w:spacing w:after="0" w:line="250" w:lineRule="auto"/>
        <w:tabs>
          <w:tab w:leader="none" w:pos="95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w:t>
      </w:r>
      <w:r>
        <w:rPr>
          <w:rFonts w:ascii="Times New Roman" w:cs="Times New Roman" w:eastAsia="Times New Roman" w:hAnsi="Times New Roman"/>
          <w:sz w:val="22"/>
          <w:szCs w:val="22"/>
          <w:color w:val="auto"/>
        </w:rPr>
        <w:t>. 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RSUs are distributed to the Participant pursuant to Section 3(d), then as of each dividend payment date, the Participant shall be credited with cash per RSU equal to the per Share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(without interest) at the same time as the RSUs to which they relate are settled.</w:t>
      </w:r>
    </w:p>
    <w:p>
      <w:pPr>
        <w:spacing w:after="0" w:line="220" w:lineRule="exact"/>
        <w:rPr>
          <w:rFonts w:ascii="Times New Roman" w:cs="Times New Roman" w:eastAsia="Times New Roman" w:hAnsi="Times New Roman"/>
          <w:sz w:val="22"/>
          <w:szCs w:val="22"/>
          <w:color w:val="auto"/>
        </w:rPr>
      </w:pPr>
    </w:p>
    <w:p>
      <w:pPr>
        <w:ind w:left="-60" w:right="40" w:firstLine="568"/>
        <w:spacing w:after="0" w:line="260" w:lineRule="auto"/>
        <w:tabs>
          <w:tab w:leader="none" w:pos="966"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Distribution of Shares. </w:t>
      </w:r>
      <w:r>
        <w:rPr>
          <w:rFonts w:ascii="Times New Roman" w:cs="Times New Roman" w:eastAsia="Times New Roman" w:hAnsi="Times New Roman"/>
          <w:sz w:val="21"/>
          <w:szCs w:val="21"/>
          <w:color w:val="auto"/>
        </w:rPr>
        <w:t>Subject to the provisions of this Agreement, upon the vesting of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RSUs on the applicable Vesting Date or the Participant’s Termination of Service due to death, the Company shall settle and deliver to the Participant, as soon as reasonably practicable after such applicable Vesting Date (or in the case of the Participant’s Termination of Service due to death, such Termination of Service, as applicable), (i) one Share for each such RSU plus (ii) such cash attributable to dividends to which the Participant has become entitled under Section 3(c); provided that such settlement shall be made no later than the 15th day of the third calendar month following the applicable Vesting Date (or, in the case of the Participant’s Termination of Service due to death, the 15th day of the third calendar month following the date of the Participant’s Termination of Service due to death). Upon such delivery, such Shares shall be fully assignable, alienable, saleable and transferable by the Participant; provided that any such assignment, alienation, sale, transfer or other alienation with respect to such Shares shall be in accordance with applicable securities laws and any applicable Company policy.</w:t>
      </w:r>
    </w:p>
    <w:p>
      <w:pPr>
        <w:spacing w:after="0" w:line="213" w:lineRule="exact"/>
        <w:rPr>
          <w:rFonts w:ascii="Times New Roman" w:cs="Times New Roman" w:eastAsia="Times New Roman" w:hAnsi="Times New Roman"/>
          <w:sz w:val="21"/>
          <w:szCs w:val="21"/>
          <w:color w:val="auto"/>
        </w:rPr>
      </w:pPr>
    </w:p>
    <w:p>
      <w:pPr>
        <w:ind w:left="-60" w:firstLine="568"/>
        <w:spacing w:after="0" w:line="248" w:lineRule="auto"/>
        <w:tabs>
          <w:tab w:leader="none" w:pos="95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 in Capitalization. </w:t>
      </w:r>
      <w:r>
        <w:rPr>
          <w:rFonts w:ascii="Times New Roman" w:cs="Times New Roman" w:eastAsia="Times New Roman" w:hAnsi="Times New Roman"/>
          <w:sz w:val="22"/>
          <w:szCs w:val="22"/>
          <w:color w:val="auto"/>
        </w:rPr>
        <w:t>In the event that, as a result of any dividend (other than ordinary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20"/>
          </w:cols>
          <w:pgMar w:left="1440" w:top="1337" w:right="639" w:bottom="1440" w:gutter="0" w:footer="0" w:header="0"/>
        </w:sectPr>
      </w:pPr>
    </w:p>
    <w:bookmarkStart w:id="121" w:name="page122"/>
    <w:bookmarkEnd w:id="121"/>
    <w:p>
      <w:pPr>
        <w:ind w:left="640" w:firstLine="568"/>
        <w:spacing w:after="0" w:line="254" w:lineRule="auto"/>
        <w:tabs>
          <w:tab w:leader="none" w:pos="163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Restrictions on Transferability. </w:t>
      </w:r>
      <w:r>
        <w:rPr>
          <w:rFonts w:ascii="Times New Roman" w:cs="Times New Roman" w:eastAsia="Times New Roman" w:hAnsi="Times New Roman"/>
          <w:sz w:val="22"/>
          <w:szCs w:val="22"/>
          <w:color w:val="auto"/>
        </w:rPr>
        <w:t>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200" w:lineRule="exact"/>
        <w:rPr>
          <w:rFonts w:ascii="Times New Roman" w:cs="Times New Roman" w:eastAsia="Times New Roman" w:hAnsi="Times New Roman"/>
          <w:sz w:val="22"/>
          <w:szCs w:val="22"/>
          <w:color w:val="auto"/>
        </w:rPr>
      </w:pPr>
    </w:p>
    <w:p>
      <w:pPr>
        <w:ind w:left="640" w:right="60" w:firstLine="568"/>
        <w:spacing w:after="0" w:line="258" w:lineRule="auto"/>
        <w:tabs>
          <w:tab w:leader="none" w:pos="166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194" w:lineRule="exact"/>
        <w:rPr>
          <w:rFonts w:ascii="Times New Roman" w:cs="Times New Roman" w:eastAsia="Times New Roman" w:hAnsi="Times New Roman"/>
          <w:sz w:val="22"/>
          <w:szCs w:val="22"/>
          <w:color w:val="auto"/>
        </w:rPr>
      </w:pPr>
    </w:p>
    <w:p>
      <w:pPr>
        <w:ind w:left="640" w:right="280" w:firstLine="568"/>
        <w:spacing w:after="0" w:line="265" w:lineRule="auto"/>
        <w:tabs>
          <w:tab w:leader="none" w:pos="166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constitute a promise of future grants. The Company, in its sole discretion, maintains the right to make available future grants under the Plan.</w:t>
      </w:r>
    </w:p>
    <w:p>
      <w:pPr>
        <w:spacing w:after="0" w:line="188" w:lineRule="exact"/>
        <w:rPr>
          <w:rFonts w:ascii="Times New Roman" w:cs="Times New Roman" w:eastAsia="Times New Roman" w:hAnsi="Times New Roman"/>
          <w:sz w:val="22"/>
          <w:szCs w:val="22"/>
          <w:color w:val="auto"/>
        </w:rPr>
      </w:pPr>
    </w:p>
    <w:p>
      <w:pPr>
        <w:ind w:right="460" w:firstLine="682"/>
        <w:spacing w:after="0" w:line="258" w:lineRule="auto"/>
        <w:tabs>
          <w:tab w:leader="none" w:pos="105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208" w:lineRule="exact"/>
        <w:rPr>
          <w:rFonts w:ascii="Times New Roman" w:cs="Times New Roman" w:eastAsia="Times New Roman" w:hAnsi="Times New Roman"/>
          <w:sz w:val="22"/>
          <w:szCs w:val="22"/>
          <w:color w:val="auto"/>
        </w:rPr>
      </w:pPr>
    </w:p>
    <w:p>
      <w:pPr>
        <w:ind w:right="60" w:firstLine="681"/>
        <w:spacing w:after="0" w:line="253" w:lineRule="auto"/>
        <w:tabs>
          <w:tab w:leader="none" w:pos="1058"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other provisions of the Plan to the contrary, in the event of the Participant’s Termination of Service due to the Participant’s death, Retirement (as defined below) or Enhanced Retirement (as defined below), a pro rata portion of the Award may vest or be eligible to vest following such Termination of Service as follows:</w:t>
      </w:r>
    </w:p>
    <w:p>
      <w:pPr>
        <w:spacing w:after="0" w:line="219" w:lineRule="exact"/>
        <w:rPr>
          <w:rFonts w:ascii="Times New Roman" w:cs="Times New Roman" w:eastAsia="Times New Roman" w:hAnsi="Times New Roman"/>
          <w:sz w:val="22"/>
          <w:szCs w:val="22"/>
          <w:color w:val="auto"/>
        </w:rPr>
      </w:pPr>
    </w:p>
    <w:p>
      <w:pPr>
        <w:ind w:left="1660" w:hanging="452"/>
        <w:spacing w:after="0"/>
        <w:tabs>
          <w:tab w:leader="none" w:pos="1660"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06" w:lineRule="exact"/>
        <w:rPr>
          <w:rFonts w:ascii="Times New Roman" w:cs="Times New Roman" w:eastAsia="Times New Roman" w:hAnsi="Times New Roman"/>
          <w:sz w:val="22"/>
          <w:szCs w:val="22"/>
          <w:color w:val="auto"/>
        </w:rPr>
      </w:pPr>
    </w:p>
    <w:p>
      <w:pPr>
        <w:ind w:left="1200" w:right="80" w:firstLine="494"/>
        <w:spacing w:after="0" w:line="284" w:lineRule="auto"/>
        <w:tabs>
          <w:tab w:leader="none" w:pos="2106"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prior to the first anniversary of the Grant Date, no portion of the Award shall vest.</w:t>
      </w:r>
    </w:p>
    <w:p>
      <w:pPr>
        <w:spacing w:after="0" w:line="143" w:lineRule="exact"/>
        <w:rPr>
          <w:rFonts w:ascii="Times New Roman" w:cs="Times New Roman" w:eastAsia="Times New Roman" w:hAnsi="Times New Roman"/>
          <w:sz w:val="22"/>
          <w:szCs w:val="22"/>
          <w:color w:val="auto"/>
        </w:rPr>
      </w:pPr>
    </w:p>
    <w:p>
      <w:pPr>
        <w:ind w:left="1200" w:right="20" w:firstLine="494"/>
        <w:spacing w:after="0" w:line="254" w:lineRule="auto"/>
        <w:tabs>
          <w:tab w:leader="none" w:pos="2166" w:val="left"/>
        </w:tabs>
        <w:numPr>
          <w:ilvl w:val="2"/>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following the first anniversary of the Grant Date and prior to the second anniversary of the Grant Date, as of the Participant’s Termination of Service the Participant shall vest in a number of RSUs equal to the result obtained by adding (A) the number of RSUs equal to the product of (1) the RSUs that would have vested in the Second Vesting Period had the Participant’s Termination of Service not occurred multiplied by (2) a fraction, the numerator of which is the number of full calendar</w:t>
      </w:r>
    </w:p>
    <w:p>
      <w:pPr>
        <w:spacing w:after="0" w:line="200" w:lineRule="exact"/>
        <w:rPr>
          <w:sz w:val="20"/>
          <w:szCs w:val="20"/>
          <w:color w:val="auto"/>
        </w:rPr>
      </w:pPr>
    </w:p>
    <w:p>
      <w:pPr>
        <w:spacing w:after="0" w:line="38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20"/>
          </w:cols>
          <w:pgMar w:left="740" w:top="1337" w:right="639" w:bottom="1440" w:gutter="0" w:footer="0" w:header="0"/>
        </w:sectPr>
      </w:pPr>
    </w:p>
    <w:bookmarkStart w:id="122" w:name="page123"/>
    <w:bookmarkEnd w:id="122"/>
    <w:p>
      <w:pPr>
        <w:spacing w:after="0" w:line="113" w:lineRule="exact"/>
        <w:rPr>
          <w:sz w:val="20"/>
          <w:szCs w:val="20"/>
          <w:color w:val="auto"/>
        </w:rPr>
      </w:pPr>
    </w:p>
    <w:p>
      <w:pPr>
        <w:ind w:left="500"/>
        <w:spacing w:after="0" w:line="265" w:lineRule="auto"/>
        <w:rPr>
          <w:sz w:val="20"/>
          <w:szCs w:val="20"/>
          <w:color w:val="auto"/>
        </w:rPr>
      </w:pPr>
      <w:r>
        <w:rPr>
          <w:rFonts w:ascii="Times New Roman" w:cs="Times New Roman" w:eastAsia="Times New Roman" w:hAnsi="Times New Roman"/>
          <w:sz w:val="21"/>
          <w:szCs w:val="21"/>
          <w:color w:val="auto"/>
        </w:rPr>
        <w:t>months the Participant has been employed from the Grant Date through the date of termination (the “</w:t>
      </w:r>
      <w:r>
        <w:rPr>
          <w:rFonts w:ascii="Times New Roman" w:cs="Times New Roman" w:eastAsia="Times New Roman" w:hAnsi="Times New Roman"/>
          <w:sz w:val="21"/>
          <w:szCs w:val="21"/>
          <w:b w:val="1"/>
          <w:bCs w:val="1"/>
          <w:color w:val="auto"/>
        </w:rPr>
        <w:t>Service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Months</w:t>
      </w:r>
      <w:r>
        <w:rPr>
          <w:rFonts w:ascii="Times New Roman" w:cs="Times New Roman" w:eastAsia="Times New Roman" w:hAnsi="Times New Roman"/>
          <w:sz w:val="21"/>
          <w:szCs w:val="21"/>
          <w:color w:val="auto"/>
        </w:rPr>
        <w:t>”) (for clarity and for all purposes as used in this Agreement, “full calendar months” means each full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calendar month after the Grant Date that ends on the numbered day immediately prior to the numbered day of the Grant Date) and the denominator of which is 24, plus (B) the number of RSUs equal to the product of</w:t>
      </w:r>
    </w:p>
    <w:p>
      <w:pPr>
        <w:spacing w:after="0" w:line="3" w:lineRule="exact"/>
        <w:rPr>
          <w:sz w:val="20"/>
          <w:szCs w:val="20"/>
          <w:color w:val="auto"/>
        </w:rPr>
      </w:pPr>
    </w:p>
    <w:p>
      <w:pPr>
        <w:ind w:left="500" w:right="140" w:firstLine="8"/>
        <w:spacing w:after="0" w:line="259" w:lineRule="auto"/>
        <w:tabs>
          <w:tab w:leader="none" w:pos="806"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that would have vested in the Third Vesting Period multiplied by (2) a fraction, the numerator of which is the Service Months and the denominator of which is 36.</w:t>
      </w:r>
    </w:p>
    <w:p>
      <w:pPr>
        <w:spacing w:after="0" w:line="170" w:lineRule="exact"/>
        <w:rPr>
          <w:rFonts w:ascii="Times New Roman" w:cs="Times New Roman" w:eastAsia="Times New Roman" w:hAnsi="Times New Roman"/>
          <w:sz w:val="22"/>
          <w:szCs w:val="22"/>
          <w:color w:val="auto"/>
        </w:rPr>
      </w:pPr>
    </w:p>
    <w:p>
      <w:pPr>
        <w:ind w:left="500" w:right="180" w:firstLine="494"/>
        <w:spacing w:after="0" w:line="267" w:lineRule="auto"/>
        <w:tabs>
          <w:tab w:leader="none" w:pos="1526"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Participant’s Termination of Service due to the Participant’s death following the second anniversary of the Grant Date and prior to the third anniversary of the Grant Date, as of the Participant’s Termination of Service the Participant shall vest in a number of RSUs equal to the product of</w:t>
      </w:r>
    </w:p>
    <w:p>
      <w:pPr>
        <w:spacing w:after="0" w:line="3" w:lineRule="exact"/>
        <w:rPr>
          <w:rFonts w:ascii="Times New Roman" w:cs="Times New Roman" w:eastAsia="Times New Roman" w:hAnsi="Times New Roman"/>
          <w:sz w:val="21"/>
          <w:szCs w:val="21"/>
          <w:color w:val="auto"/>
        </w:rPr>
      </w:pPr>
    </w:p>
    <w:p>
      <w:pPr>
        <w:ind w:left="500" w:right="60"/>
        <w:spacing w:after="0" w:line="25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the number of RSUs that would have vested in the Third Vesting Period multiplied by (B) a fraction, the numerator of which is the Service Months and the denominator of which is 36.</w:t>
      </w:r>
    </w:p>
    <w:p>
      <w:pPr>
        <w:spacing w:after="0" w:line="170" w:lineRule="exact"/>
        <w:rPr>
          <w:rFonts w:ascii="Times New Roman" w:cs="Times New Roman" w:eastAsia="Times New Roman" w:hAnsi="Times New Roman"/>
          <w:sz w:val="21"/>
          <w:szCs w:val="21"/>
          <w:color w:val="auto"/>
        </w:rPr>
      </w:pPr>
    </w:p>
    <w:p>
      <w:pPr>
        <w:ind w:left="500" w:right="20" w:firstLine="494"/>
        <w:spacing w:after="0" w:line="261" w:lineRule="auto"/>
        <w:tabs>
          <w:tab w:leader="none" w:pos="151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that vest upon the Participant’s Termination of Service pursuant to this Section 5(a) shall be distributed to the Participant pursuant to Section 3(d), and any RSUs that do not vest upon the Participant’s Termination of Service pursuant to this Section 5(a) shall be forfeited as of such Termination of Service.</w:t>
      </w:r>
    </w:p>
    <w:p>
      <w:pPr>
        <w:spacing w:after="0" w:line="168" w:lineRule="exact"/>
        <w:rPr>
          <w:rFonts w:ascii="Times New Roman" w:cs="Times New Roman" w:eastAsia="Times New Roman" w:hAnsi="Times New Roman"/>
          <w:sz w:val="22"/>
          <w:szCs w:val="22"/>
          <w:color w:val="auto"/>
        </w:rPr>
      </w:pPr>
    </w:p>
    <w:p>
      <w:pPr>
        <w:ind w:left="500" w:right="340" w:firstLine="494"/>
        <w:spacing w:after="0" w:line="271" w:lineRule="auto"/>
        <w:tabs>
          <w:tab w:leader="none" w:pos="1450" w:val="left"/>
        </w:tabs>
        <w:numPr>
          <w:ilvl w:val="1"/>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2022: none of such RSUs would vest.</w:t>
      </w:r>
    </w:p>
    <w:p>
      <w:pPr>
        <w:spacing w:after="0" w:line="246"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2023:</w:t>
      </w:r>
    </w:p>
    <w:p>
      <w:pPr>
        <w:spacing w:after="0" w:line="246"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RSUs would have already vested on February 10, 2023; and</w:t>
      </w:r>
    </w:p>
    <w:p>
      <w:pPr>
        <w:spacing w:after="0" w:line="260" w:lineRule="exact"/>
        <w:rPr>
          <w:rFonts w:ascii="Times New Roman" w:cs="Times New Roman" w:eastAsia="Times New Roman" w:hAnsi="Times New Roman"/>
          <w:sz w:val="22"/>
          <w:szCs w:val="22"/>
          <w:color w:val="auto"/>
        </w:rPr>
      </w:pPr>
    </w:p>
    <w:p>
      <w:pPr>
        <w:ind w:left="1480" w:right="120" w:firstLine="486"/>
        <w:spacing w:after="0" w:line="252" w:lineRule="auto"/>
        <w:tabs>
          <w:tab w:leader="none" w:pos="2434" w:val="left"/>
        </w:tabs>
        <w:numPr>
          <w:ilvl w:val="3"/>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800 unvested RSUs, 500 RSUs would vest at the time of death, which is the sum of: (a) the 300 RSUs that would vest related to the Second Vesting Period (400 x (18 months/24 months) = 300), and (b) the 200 RSUs that would vest related to the Third Vesting Period (400 x 18 months/36 months) = 200).</w:t>
      </w:r>
    </w:p>
    <w:p>
      <w:pPr>
        <w:spacing w:after="0" w:line="219"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2024:</w:t>
      </w:r>
    </w:p>
    <w:p>
      <w:pPr>
        <w:spacing w:after="0" w:line="246" w:lineRule="exact"/>
        <w:rPr>
          <w:rFonts w:ascii="Times New Roman" w:cs="Times New Roman" w:eastAsia="Times New Roman" w:hAnsi="Times New Roman"/>
          <w:sz w:val="22"/>
          <w:szCs w:val="22"/>
          <w:color w:val="auto"/>
        </w:rPr>
      </w:pPr>
    </w:p>
    <w:p>
      <w:pPr>
        <w:ind w:left="1480" w:right="860" w:firstLine="486"/>
        <w:spacing w:after="0" w:line="271" w:lineRule="auto"/>
        <w:tabs>
          <w:tab w:leader="none" w:pos="2434" w:val="left"/>
        </w:tabs>
        <w:numPr>
          <w:ilvl w:val="3"/>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 RSUs would have already vested, 400 on each of February 10, 2023 and February 10, 2024; and</w:t>
      </w:r>
    </w:p>
    <w:p>
      <w:pPr>
        <w:spacing w:after="0" w:line="200" w:lineRule="exact"/>
        <w:rPr>
          <w:sz w:val="20"/>
          <w:szCs w:val="20"/>
          <w:color w:val="auto"/>
        </w:rPr>
      </w:pPr>
    </w:p>
    <w:p>
      <w:pPr>
        <w:spacing w:after="0" w:line="35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20"/>
          </w:cols>
          <w:pgMar w:left="1440" w:top="1440" w:right="539" w:bottom="1440" w:gutter="0" w:footer="0" w:header="0"/>
        </w:sectPr>
      </w:pPr>
    </w:p>
    <w:bookmarkStart w:id="123" w:name="page124"/>
    <w:bookmarkEnd w:id="123"/>
    <w:p>
      <w:pPr>
        <w:spacing w:after="0" w:line="144" w:lineRule="exact"/>
        <w:rPr>
          <w:sz w:val="20"/>
          <w:szCs w:val="20"/>
          <w:color w:val="auto"/>
        </w:rPr>
      </w:pPr>
    </w:p>
    <w:p>
      <w:pPr>
        <w:ind w:left="1480" w:right="260" w:firstLine="486"/>
        <w:spacing w:after="0" w:line="284" w:lineRule="auto"/>
        <w:tabs>
          <w:tab w:leader="none" w:pos="2434" w:val="left"/>
        </w:tabs>
        <w:numPr>
          <w:ilvl w:val="3"/>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400 unvested RSUs, 333 would vest at the time of death (400 x 30 months/36 months = 333).</w:t>
      </w:r>
    </w:p>
    <w:p>
      <w:pPr>
        <w:spacing w:after="0" w:line="170" w:lineRule="exact"/>
        <w:rPr>
          <w:rFonts w:ascii="Times New Roman" w:cs="Times New Roman" w:eastAsia="Times New Roman" w:hAnsi="Times New Roman"/>
          <w:sz w:val="22"/>
          <w:szCs w:val="22"/>
          <w:color w:val="auto"/>
        </w:rPr>
      </w:pPr>
    </w:p>
    <w:p>
      <w:pPr>
        <w:ind w:left="980" w:hanging="472"/>
        <w:spacing w:after="0"/>
        <w:tabs>
          <w:tab w:leader="none" w:pos="9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06" w:lineRule="exact"/>
        <w:rPr>
          <w:rFonts w:ascii="Times New Roman" w:cs="Times New Roman" w:eastAsia="Times New Roman" w:hAnsi="Times New Roman"/>
          <w:sz w:val="22"/>
          <w:szCs w:val="22"/>
          <w:color w:val="auto"/>
        </w:rPr>
      </w:pPr>
    </w:p>
    <w:p>
      <w:pPr>
        <w:ind w:left="500" w:right="180" w:firstLine="494"/>
        <w:spacing w:after="0" w:line="263" w:lineRule="auto"/>
        <w:tabs>
          <w:tab w:leader="none" w:pos="140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prior to the first anniversary of the Grant Date, no portion of the Award shall vest and the Award shall be forfeited pursuant to Section 4 of this Agreement.</w:t>
      </w:r>
    </w:p>
    <w:p>
      <w:pPr>
        <w:spacing w:after="0" w:line="167" w:lineRule="exact"/>
        <w:rPr>
          <w:rFonts w:ascii="Times New Roman" w:cs="Times New Roman" w:eastAsia="Times New Roman" w:hAnsi="Times New Roman"/>
          <w:sz w:val="22"/>
          <w:szCs w:val="22"/>
          <w:color w:val="auto"/>
        </w:rPr>
      </w:pPr>
    </w:p>
    <w:p>
      <w:pPr>
        <w:ind w:left="500" w:right="40" w:firstLine="494"/>
        <w:spacing w:after="0" w:line="252" w:lineRule="auto"/>
        <w:tabs>
          <w:tab w:leader="none" w:pos="146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following the first anniversary of the Grant Date, a pro rata portion of the Award with respect to the applicable Vesting Period in which the Termination of Service occurs will vest on the first scheduled Vesting Date following such Termination of Service, which portion will equal (A) the number of RSUs that would have vested in the applicable Vesting Period in which the Termination of Service occurred had such Termination of Service not occurred, multiplied by (B) a fraction, the numerator of which is the number of full calendar months the Participant has been employed in the applicable Vesting Period through the date of termination, and the denominator of which is 12, subject to the Participant’s compliance with the Restrictive Covenant Agreement (as defined below), through such Vesting Date. For the avoidance of doubt, if the Participant violates the Restrictive Covenant Agreement, the Participant shall forfeit all outstanding, unvested RSUs as of the date of such violation.</w:t>
      </w:r>
    </w:p>
    <w:p>
      <w:pPr>
        <w:spacing w:after="0" w:line="183" w:lineRule="exact"/>
        <w:rPr>
          <w:rFonts w:ascii="Times New Roman" w:cs="Times New Roman" w:eastAsia="Times New Roman" w:hAnsi="Times New Roman"/>
          <w:sz w:val="22"/>
          <w:szCs w:val="22"/>
          <w:color w:val="auto"/>
        </w:rPr>
      </w:pPr>
    </w:p>
    <w:p>
      <w:pPr>
        <w:ind w:left="500" w:firstLine="494"/>
        <w:spacing w:after="0" w:line="263" w:lineRule="auto"/>
        <w:tabs>
          <w:tab w:leader="none" w:pos="151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5(b) shall be distributed to the Participant pursuant to Section 3(d) and any RSUs that do not vest pursuant to this Section 5(b) shall be forfeited.</w:t>
      </w:r>
    </w:p>
    <w:p>
      <w:pPr>
        <w:spacing w:after="0" w:line="163" w:lineRule="exact"/>
        <w:rPr>
          <w:rFonts w:ascii="Times New Roman" w:cs="Times New Roman" w:eastAsia="Times New Roman" w:hAnsi="Times New Roman"/>
          <w:sz w:val="22"/>
          <w:szCs w:val="22"/>
          <w:color w:val="auto"/>
        </w:rPr>
      </w:pPr>
    </w:p>
    <w:p>
      <w:pPr>
        <w:ind w:left="500" w:right="180" w:firstLine="494"/>
        <w:spacing w:after="0" w:line="257" w:lineRule="auto"/>
        <w:tabs>
          <w:tab w:leader="none" w:pos="1514"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4" w:lineRule="exact"/>
        <w:rPr>
          <w:rFonts w:ascii="Times New Roman" w:cs="Times New Roman" w:eastAsia="Times New Roman" w:hAnsi="Times New Roman"/>
          <w:sz w:val="22"/>
          <w:szCs w:val="22"/>
          <w:color w:val="auto"/>
        </w:rPr>
      </w:pPr>
    </w:p>
    <w:p>
      <w:pPr>
        <w:ind w:left="500" w:right="340" w:firstLine="494"/>
        <w:spacing w:after="0" w:line="271" w:lineRule="auto"/>
        <w:tabs>
          <w:tab w:leader="none" w:pos="145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2022: none of such RSUs would</w:t>
      </w:r>
    </w:p>
    <w:p>
      <w:pPr>
        <w:spacing w:after="0" w:line="27"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w:t>
      </w:r>
    </w:p>
    <w:p>
      <w:pPr>
        <w:spacing w:after="0" w:line="200" w:lineRule="exact"/>
        <w:rPr>
          <w:sz w:val="20"/>
          <w:szCs w:val="20"/>
          <w:color w:val="auto"/>
        </w:rPr>
      </w:pP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920"/>
          </w:cols>
          <w:pgMar w:left="1440" w:top="1440" w:right="539" w:bottom="1440" w:gutter="0" w:footer="0" w:header="0"/>
        </w:sectPr>
      </w:pPr>
    </w:p>
    <w:bookmarkStart w:id="124" w:name="page125"/>
    <w:bookmarkEnd w:id="124"/>
    <w:p>
      <w:pPr>
        <w:spacing w:after="0" w:line="144" w:lineRule="exact"/>
        <w:rPr>
          <w:sz w:val="20"/>
          <w:szCs w:val="20"/>
          <w:color w:val="auto"/>
        </w:rPr>
      </w:pPr>
    </w:p>
    <w:p>
      <w:pPr>
        <w:ind w:left="1980" w:hanging="500"/>
        <w:spacing w:after="0"/>
        <w:tabs>
          <w:tab w:leader="none" w:pos="19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2023:</w:t>
      </w:r>
    </w:p>
    <w:p>
      <w:pPr>
        <w:spacing w:after="0" w:line="260"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RSUs would have already vested on February 10, 2023; and</w:t>
      </w:r>
    </w:p>
    <w:p>
      <w:pPr>
        <w:spacing w:after="0" w:line="246" w:lineRule="exact"/>
        <w:rPr>
          <w:rFonts w:ascii="Times New Roman" w:cs="Times New Roman" w:eastAsia="Times New Roman" w:hAnsi="Times New Roman"/>
          <w:sz w:val="22"/>
          <w:szCs w:val="22"/>
          <w:color w:val="auto"/>
        </w:rPr>
      </w:pPr>
    </w:p>
    <w:p>
      <w:pPr>
        <w:ind w:left="1480" w:right="420" w:firstLine="486"/>
        <w:spacing w:after="0" w:line="271" w:lineRule="auto"/>
        <w:tabs>
          <w:tab w:leader="none" w:pos="2434" w:val="left"/>
        </w:tabs>
        <w:numPr>
          <w:ilvl w:val="3"/>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800 unvested RSUs, 200 RSUs would vest on February 10, 2024 (400 x (6 months/12 months) = 200).</w:t>
      </w:r>
    </w:p>
    <w:p>
      <w:pPr>
        <w:spacing w:after="0" w:line="184"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2024:</w:t>
      </w:r>
    </w:p>
    <w:p>
      <w:pPr>
        <w:spacing w:after="0" w:line="260" w:lineRule="exact"/>
        <w:rPr>
          <w:rFonts w:ascii="Times New Roman" w:cs="Times New Roman" w:eastAsia="Times New Roman" w:hAnsi="Times New Roman"/>
          <w:sz w:val="22"/>
          <w:szCs w:val="22"/>
          <w:color w:val="auto"/>
        </w:rPr>
      </w:pPr>
    </w:p>
    <w:p>
      <w:pPr>
        <w:ind w:left="1480" w:right="880" w:firstLine="486"/>
        <w:spacing w:after="0" w:line="271" w:lineRule="auto"/>
        <w:tabs>
          <w:tab w:leader="none" w:pos="2434" w:val="left"/>
        </w:tabs>
        <w:numPr>
          <w:ilvl w:val="3"/>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 RSUs would have already vested, 400 on each of February 10, 2023 and February 10, 2024; and</w:t>
      </w:r>
    </w:p>
    <w:p>
      <w:pPr>
        <w:spacing w:after="0" w:line="184" w:lineRule="exact"/>
        <w:rPr>
          <w:rFonts w:ascii="Times New Roman" w:cs="Times New Roman" w:eastAsia="Times New Roman" w:hAnsi="Times New Roman"/>
          <w:sz w:val="22"/>
          <w:szCs w:val="22"/>
          <w:color w:val="auto"/>
        </w:rPr>
      </w:pPr>
    </w:p>
    <w:p>
      <w:pPr>
        <w:ind w:left="1480" w:right="200" w:firstLine="486"/>
        <w:spacing w:after="0" w:line="271" w:lineRule="auto"/>
        <w:tabs>
          <w:tab w:leader="none" w:pos="2434" w:val="left"/>
        </w:tabs>
        <w:numPr>
          <w:ilvl w:val="3"/>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400 unvested RSUs, 200 would vest on February 10, 2025 (400 x 6 months/12 months = 200).</w:t>
      </w:r>
    </w:p>
    <w:p>
      <w:pPr>
        <w:spacing w:after="0" w:line="198" w:lineRule="exact"/>
        <w:rPr>
          <w:rFonts w:ascii="Times New Roman" w:cs="Times New Roman" w:eastAsia="Times New Roman" w:hAnsi="Times New Roman"/>
          <w:sz w:val="22"/>
          <w:szCs w:val="22"/>
          <w:color w:val="auto"/>
        </w:rPr>
      </w:pPr>
    </w:p>
    <w:p>
      <w:pPr>
        <w:ind w:left="960" w:hanging="452"/>
        <w:spacing w:after="0"/>
        <w:tabs>
          <w:tab w:leader="none" w:pos="96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06" w:lineRule="exact"/>
        <w:rPr>
          <w:rFonts w:ascii="Times New Roman" w:cs="Times New Roman" w:eastAsia="Times New Roman" w:hAnsi="Times New Roman"/>
          <w:sz w:val="22"/>
          <w:szCs w:val="22"/>
          <w:color w:val="auto"/>
        </w:rPr>
      </w:pPr>
    </w:p>
    <w:p>
      <w:pPr>
        <w:ind w:left="500" w:firstLine="494"/>
        <w:spacing w:after="0" w:line="256" w:lineRule="auto"/>
        <w:tabs>
          <w:tab w:leader="none" w:pos="140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first anniversary of the Grant Date, the RSUs shall remain outstanding and shall vest on each regularly scheduled Vesting Date following such Termination of Service as if the Participant had remained continuously employed or providing services to the Company or its Affiliates through each such Vesting Date, subject to the Participant’s continuous compliance with the Extended Non-Compete (as defined below) through each applicable Vesting Date.</w:t>
      </w:r>
    </w:p>
    <w:p>
      <w:pPr>
        <w:spacing w:after="0" w:line="176" w:lineRule="exact"/>
        <w:rPr>
          <w:rFonts w:ascii="Times New Roman" w:cs="Times New Roman" w:eastAsia="Times New Roman" w:hAnsi="Times New Roman"/>
          <w:sz w:val="22"/>
          <w:szCs w:val="22"/>
          <w:color w:val="auto"/>
        </w:rPr>
      </w:pPr>
    </w:p>
    <w:p>
      <w:pPr>
        <w:ind w:left="500" w:right="40" w:firstLine="494"/>
        <w:spacing w:after="0" w:line="252" w:lineRule="auto"/>
        <w:tabs>
          <w:tab w:leader="none" w:pos="1466"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six month anniversary of the Grant Date but prior to the first anniversary of the Grant Date, the Participant shall be eligible to vest in a pro rata portion of the Award on each scheduled Vesting Date following the Participant’s Retirement, subject to the Participant’s continuous compliance with the Extended Non-Compete through each applicable Vesting Date, determined as follows: (A) on the first Vesting Date following the Participant’s Termination of Service, the Participant shall vest in the number of RSUs equal to the product obtained by multiplying (1) the number of RSUs that would have vested in the First Vesting Period had the Participant’s Termination of Service not occurred, by (2) a fraction, the numerator of which is the Service Months (defined above as the number of full calendar months the Participant has been employed from the Grant Date through the date of termination) and the denominator of which is 12, (B) on the second Vesting Date following the</w:t>
      </w:r>
    </w:p>
    <w:p>
      <w:pPr>
        <w:spacing w:after="0" w:line="200" w:lineRule="exact"/>
        <w:rPr>
          <w:sz w:val="20"/>
          <w:szCs w:val="20"/>
          <w:color w:val="auto"/>
        </w:rPr>
      </w:pPr>
    </w:p>
    <w:p>
      <w:pPr>
        <w:spacing w:after="0" w:line="39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40"/>
          </w:cols>
          <w:pgMar w:left="1440" w:top="1440" w:right="519" w:bottom="1440" w:gutter="0" w:footer="0" w:header="0"/>
        </w:sectPr>
      </w:pPr>
    </w:p>
    <w:bookmarkStart w:id="125" w:name="page126"/>
    <w:bookmarkEnd w:id="125"/>
    <w:p>
      <w:pPr>
        <w:spacing w:after="0" w:line="117" w:lineRule="exact"/>
        <w:rPr>
          <w:sz w:val="20"/>
          <w:szCs w:val="20"/>
          <w:color w:val="auto"/>
        </w:rPr>
      </w:pPr>
    </w:p>
    <w:p>
      <w:pPr>
        <w:ind w:left="500"/>
        <w:spacing w:after="0" w:line="266" w:lineRule="auto"/>
        <w:rPr>
          <w:sz w:val="20"/>
          <w:szCs w:val="20"/>
          <w:color w:val="auto"/>
        </w:rPr>
      </w:pPr>
      <w:r>
        <w:rPr>
          <w:rFonts w:ascii="Times New Roman" w:cs="Times New Roman" w:eastAsia="Times New Roman" w:hAnsi="Times New Roman"/>
          <w:sz w:val="21"/>
          <w:szCs w:val="21"/>
          <w:color w:val="auto"/>
        </w:rPr>
        <w:t>Participant’s Termination of Service, the Participant shall vest in the number of RSUs equal to the product obtained by multiplying (1) the number of RSUs that would have vested in the Second Vesting Period had the Participant’s Termination of Service not occurred by (2) a fraction, the numerator of which is the Service Months and the denominator of which is 24, and (C) on the final Vesting Date following the Participant’s Termination of Service, the Participant shall vest in the number of RSUs equal to the product obtained by multiplying (1) the number of RSUs that would have vested in the Third Vesting Period had the Participant’s Termination of Service not occurred by (2) a fraction, the numerator of which is the Service Months and the denominator of which is 36. For the avoidance of doubt, if the Participant violates the Extended Non-Compete, the Participant shall forfeit all outstanding, unvested RSUs as of the date of such violation.</w:t>
      </w:r>
    </w:p>
    <w:p>
      <w:pPr>
        <w:spacing w:after="0" w:line="170" w:lineRule="exact"/>
        <w:rPr>
          <w:sz w:val="20"/>
          <w:szCs w:val="20"/>
          <w:color w:val="auto"/>
        </w:rPr>
      </w:pPr>
    </w:p>
    <w:p>
      <w:pPr>
        <w:ind w:left="500" w:right="100" w:firstLine="494"/>
        <w:spacing w:after="0" w:line="263" w:lineRule="auto"/>
        <w:tabs>
          <w:tab w:leader="none" w:pos="151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5(c) shall be distributed to the Participant pursuant to Section 3(d) and any RSUs that do not vest under this Section 5(c) shall be forfeited.</w:t>
      </w:r>
    </w:p>
    <w:p>
      <w:pPr>
        <w:spacing w:after="0" w:line="167" w:lineRule="exact"/>
        <w:rPr>
          <w:rFonts w:ascii="Times New Roman" w:cs="Times New Roman" w:eastAsia="Times New Roman" w:hAnsi="Times New Roman"/>
          <w:sz w:val="22"/>
          <w:szCs w:val="22"/>
          <w:color w:val="auto"/>
        </w:rPr>
      </w:pPr>
    </w:p>
    <w:p>
      <w:pPr>
        <w:ind w:left="1520" w:hanging="526"/>
        <w:spacing w:after="0"/>
        <w:tabs>
          <w:tab w:leader="none" w:pos="152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8" w:lineRule="exact"/>
        <w:rPr>
          <w:sz w:val="20"/>
          <w:szCs w:val="20"/>
          <w:color w:val="auto"/>
        </w:rPr>
      </w:pPr>
    </w:p>
    <w:p>
      <w:pPr>
        <w:ind w:left="500" w:right="180"/>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 each of the following conditions is met, as determined by the Committee in its sole discretion:</w:t>
      </w:r>
    </w:p>
    <w:p>
      <w:pPr>
        <w:spacing w:after="0" w:line="2" w:lineRule="exact"/>
        <w:rPr>
          <w:sz w:val="20"/>
          <w:szCs w:val="20"/>
          <w:color w:val="auto"/>
        </w:rPr>
      </w:pPr>
    </w:p>
    <w:p>
      <w:pPr>
        <w:ind w:left="1000" w:right="80" w:firstLine="480"/>
        <w:spacing w:after="0" w:line="246" w:lineRule="auto"/>
        <w:tabs>
          <w:tab w:leader="none" w:pos="2002"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15" w:lineRule="exact"/>
        <w:rPr>
          <w:rFonts w:ascii="Times New Roman" w:cs="Times New Roman" w:eastAsia="Times New Roman" w:hAnsi="Times New Roman"/>
          <w:sz w:val="22"/>
          <w:szCs w:val="22"/>
          <w:color w:val="auto"/>
        </w:rPr>
      </w:pPr>
    </w:p>
    <w:p>
      <w:pPr>
        <w:ind w:left="1000" w:right="240" w:firstLine="480"/>
        <w:spacing w:after="0" w:line="263" w:lineRule="auto"/>
        <w:tabs>
          <w:tab w:leader="none" w:pos="199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Participant’s Termination of Service, the Participant enters into an extended restrictive covenant agreement in the form provided by the Company, which agreement 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left="1000" w:right="40" w:firstLine="480"/>
        <w:spacing w:after="0" w:line="263" w:lineRule="auto"/>
        <w:tabs>
          <w:tab w:leader="none" w:pos="199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900"/>
          </w:cols>
          <w:pgMar w:left="1440" w:top="1440" w:right="559" w:bottom="1440" w:gutter="0" w:footer="0" w:header="0"/>
        </w:sectPr>
      </w:pPr>
    </w:p>
    <w:bookmarkStart w:id="126" w:name="page127"/>
    <w:bookmarkEnd w:id="126"/>
    <w:p>
      <w:pPr>
        <w:ind w:left="1700" w:right="120" w:firstLine="480"/>
        <w:spacing w:after="0" w:line="271" w:lineRule="auto"/>
        <w:tabs>
          <w:tab w:leader="none" w:pos="2702" w:val="left"/>
        </w:tabs>
        <w:numPr>
          <w:ilvl w:val="3"/>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ind w:left="1200" w:right="280" w:firstLine="494"/>
        <w:spacing w:after="0" w:line="284" w:lineRule="auto"/>
        <w:tabs>
          <w:tab w:leader="none" w:pos="2150" w:val="left"/>
        </w:tabs>
        <w:numPr>
          <w:ilvl w:val="2"/>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70" w:lineRule="exact"/>
        <w:rPr>
          <w:rFonts w:ascii="Times New Roman" w:cs="Times New Roman" w:eastAsia="Times New Roman" w:hAnsi="Times New Roman"/>
          <w:sz w:val="22"/>
          <w:szCs w:val="22"/>
          <w:color w:val="auto"/>
        </w:rPr>
      </w:pPr>
    </w:p>
    <w:p>
      <w:pPr>
        <w:ind w:left="1700" w:right="420" w:firstLine="480"/>
        <w:spacing w:after="0" w:line="271" w:lineRule="auto"/>
        <w:tabs>
          <w:tab w:leader="none" w:pos="2698" w:val="left"/>
        </w:tabs>
        <w:numPr>
          <w:ilvl w:val="3"/>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prior to August 10, 2022: none of such RSUs would vest.</w:t>
      </w:r>
    </w:p>
    <w:p>
      <w:pPr>
        <w:spacing w:after="0" w:line="198"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3"/>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August 20, 2022:</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2023, 200 RSUs would vest (400 x 6 months / 12 months = 200);</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February 10, 2024, 100 RSUs would vest (400 x 6 months / 24 months = 100); and</w:t>
      </w:r>
    </w:p>
    <w:p>
      <w:pPr>
        <w:spacing w:after="0" w:line="271" w:lineRule="exact"/>
        <w:rPr>
          <w:rFonts w:ascii="Times New Roman" w:cs="Times New Roman" w:eastAsia="Times New Roman" w:hAnsi="Times New Roman"/>
          <w:sz w:val="21"/>
          <w:szCs w:val="21"/>
          <w:color w:val="auto"/>
        </w:rPr>
      </w:pPr>
    </w:p>
    <w:p>
      <w:pPr>
        <w:ind w:left="3140" w:hanging="474"/>
        <w:spacing w:after="0"/>
        <w:tabs>
          <w:tab w:leader="none" w:pos="3140" w:val="left"/>
        </w:tabs>
        <w:numPr>
          <w:ilvl w:val="4"/>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2025, 67 RSUs would vest (400 x 6 months / 36 months = 67).</w:t>
      </w:r>
    </w:p>
    <w:p>
      <w:pPr>
        <w:spacing w:after="0" w:line="246"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3"/>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or after February 10, 2023:</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RSUs would have vested on February 10, 2023;</w:t>
      </w:r>
    </w:p>
    <w:p>
      <w:pPr>
        <w:spacing w:after="0" w:line="260"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2024, 400 RSUs would vest; and</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4"/>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2025, 400 RSUs would vest.</w:t>
      </w:r>
    </w:p>
    <w:p>
      <w:pPr>
        <w:spacing w:after="0" w:line="283" w:lineRule="exact"/>
        <w:rPr>
          <w:rFonts w:ascii="Times New Roman" w:cs="Times New Roman" w:eastAsia="Times New Roman" w:hAnsi="Times New Roman"/>
          <w:sz w:val="22"/>
          <w:szCs w:val="22"/>
          <w:color w:val="auto"/>
        </w:rPr>
      </w:pPr>
    </w:p>
    <w:p>
      <w:pPr>
        <w:ind w:right="700" w:firstLine="682"/>
        <w:spacing w:after="0" w:line="275" w:lineRule="auto"/>
        <w:tabs>
          <w:tab w:leader="none" w:pos="1058"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Change in Control prior to the final Vesting Date:</w:t>
      </w:r>
    </w:p>
    <w:p>
      <w:pPr>
        <w:spacing w:after="0" w:line="220" w:lineRule="exact"/>
        <w:rPr>
          <w:rFonts w:ascii="Times New Roman" w:cs="Times New Roman" w:eastAsia="Times New Roman" w:hAnsi="Times New Roman"/>
          <w:sz w:val="22"/>
          <w:szCs w:val="22"/>
          <w:color w:val="auto"/>
        </w:rPr>
      </w:pPr>
    </w:p>
    <w:p>
      <w:pPr>
        <w:ind w:left="640" w:right="140" w:firstLine="568"/>
        <w:spacing w:after="0" w:line="256" w:lineRule="auto"/>
        <w:tabs>
          <w:tab w:leader="none" w:pos="1654"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Award is continued, assumed or replaced in connection with the Change in Control and, within twelve (12) months following the effective date of the Change in Control, there is a Termination of Service without Cause or the Participant’s position is materially reduced in renumeration or scope of duties and the Participant voluntarily terminates employment, or</w:t>
      </w:r>
    </w:p>
    <w:p>
      <w:pPr>
        <w:spacing w:after="0" w:line="203" w:lineRule="exact"/>
        <w:rPr>
          <w:rFonts w:ascii="Times New Roman" w:cs="Times New Roman" w:eastAsia="Times New Roman" w:hAnsi="Times New Roman"/>
          <w:sz w:val="22"/>
          <w:szCs w:val="22"/>
          <w:color w:val="auto"/>
        </w:rPr>
      </w:pPr>
    </w:p>
    <w:p>
      <w:pPr>
        <w:ind w:left="1680" w:hanging="472"/>
        <w:spacing w:after="0"/>
        <w:tabs>
          <w:tab w:leader="none" w:pos="168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Award is not continued, assumed or replaced in connection with the Change in Control,</w:t>
      </w:r>
    </w:p>
    <w:p>
      <w:pPr>
        <w:spacing w:after="0" w:line="328"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then, subject to the Participant’s execution and non-revocation of a customary release of claims in favor of the Company and its Affiliates prior to such termination (in the</w:t>
      </w:r>
    </w:p>
    <w:p>
      <w:pPr>
        <w:spacing w:after="0" w:line="200" w:lineRule="exact"/>
        <w:rPr>
          <w:sz w:val="20"/>
          <w:szCs w:val="20"/>
          <w:color w:val="auto"/>
        </w:rPr>
      </w:pPr>
    </w:p>
    <w:p>
      <w:pPr>
        <w:spacing w:after="0" w:line="3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60"/>
          </w:cols>
          <w:pgMar w:left="740" w:top="1341" w:right="599" w:bottom="1440" w:gutter="0" w:footer="0" w:header="0"/>
        </w:sectPr>
      </w:pPr>
    </w:p>
    <w:bookmarkStart w:id="127" w:name="page128"/>
    <w:bookmarkEnd w:id="127"/>
    <w:p>
      <w:pPr>
        <w:ind w:right="240"/>
        <w:spacing w:after="0" w:line="247" w:lineRule="auto"/>
        <w:rPr>
          <w:sz w:val="20"/>
          <w:szCs w:val="20"/>
          <w:color w:val="auto"/>
        </w:rPr>
      </w:pPr>
      <w:r>
        <w:rPr>
          <w:rFonts w:ascii="Times New Roman" w:cs="Times New Roman" w:eastAsia="Times New Roman" w:hAnsi="Times New Roman"/>
          <w:sz w:val="22"/>
          <w:szCs w:val="22"/>
          <w:color w:val="auto"/>
        </w:rPr>
        <w:t xml:space="preserve">case of (a) above) or Change in Control (in the case of (b) above), any unvested RSUs that are outstanding as of immediately prior to such termination (in the case of (a) above) or Change in Control (in the case of (b) above) shall immediately become fully vested and non-forfeitable and the Shares underlying such vested RSUs shall be distributed to the Participant upon such termination (in the case of (a) above) or Change in Control (in the case of (b)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RSUs to which Section 19 of the Plan applies because such RSUs constitute “deferred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(as defined in Section 409A and 457A of the Code), the RSUs shall be treated as if (b) above applies and,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Date(s) set forth in this Agreement pursuant to Section 3(d), except to the extent that earlier distribution would not result in the Participant incurring any additional tax, penalty, interest or other expense under Section 409A and 457A of the Code.</w:t>
      </w:r>
    </w:p>
    <w:p>
      <w:pPr>
        <w:spacing w:after="0" w:line="30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2"/>
          <w:szCs w:val="22"/>
          <w:color w:val="auto"/>
        </w:rPr>
        <w:t>For purposes of this Section 6, this Award shall be considered assumed or replaced if, in connection with the Change in Control and in a manner consistent with Code Section 409A, either (i) the contractual obligations represented by the Award are expressly assumed by the surviving or successor entity (or its parent) with appropriate adjustments to the number and type of securities subject to the Award that preserves the intrinsic value of the Award existing at the time of the Change in Control, or (ii) the Participant has received a comparable equity-based award that preserves the intrinsic value of the Award existing at the time of the Change in Control and contains terms and conditions that are substantially similar to those of the Award.</w:t>
      </w:r>
    </w:p>
    <w:p>
      <w:pPr>
        <w:spacing w:after="0" w:line="203" w:lineRule="exact"/>
        <w:rPr>
          <w:sz w:val="20"/>
          <w:szCs w:val="20"/>
          <w:color w:val="auto"/>
        </w:rPr>
      </w:pPr>
    </w:p>
    <w:p>
      <w:pPr>
        <w:ind w:left="1060" w:hanging="378"/>
        <w:spacing w:after="0"/>
        <w:tabs>
          <w:tab w:leader="none" w:pos="10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640" w:firstLine="568"/>
        <w:spacing w:after="0" w:line="256" w:lineRule="auto"/>
        <w:tabs>
          <w:tab w:leader="none" w:pos="1650"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RSUs granted hereunder and any related dividend distribution.</w:t>
      </w:r>
    </w:p>
    <w:p>
      <w:pPr>
        <w:spacing w:after="0" w:line="203" w:lineRule="exact"/>
        <w:rPr>
          <w:rFonts w:ascii="Times New Roman" w:cs="Times New Roman" w:eastAsia="Times New Roman" w:hAnsi="Times New Roman"/>
          <w:sz w:val="22"/>
          <w:szCs w:val="22"/>
          <w:color w:val="auto"/>
        </w:rPr>
      </w:pPr>
    </w:p>
    <w:p>
      <w:pPr>
        <w:ind w:left="640" w:right="20" w:firstLine="568"/>
        <w:spacing w:after="0" w:line="250" w:lineRule="auto"/>
        <w:tabs>
          <w:tab w:leader="none" w:pos="1662" w:val="left"/>
        </w:tabs>
        <w:numPr>
          <w:ilvl w:val="1"/>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RSUs or Shares issuable under the RSUs that have a fair market value equal to the then-outstanding amount of such withholding tax obligations, unless,</w:t>
      </w:r>
    </w:p>
    <w:p>
      <w:pPr>
        <w:spacing w:after="0" w:line="200" w:lineRule="exact"/>
        <w:rPr>
          <w:sz w:val="20"/>
          <w:szCs w:val="20"/>
          <w:color w:val="auto"/>
        </w:rPr>
      </w:pPr>
    </w:p>
    <w:p>
      <w:pPr>
        <w:spacing w:after="0" w:line="37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60"/>
          </w:cols>
          <w:pgMar w:left="740" w:top="1381" w:right="599" w:bottom="1440" w:gutter="0" w:footer="0" w:header="0"/>
        </w:sectPr>
      </w:pPr>
    </w:p>
    <w:bookmarkStart w:id="128" w:name="page129"/>
    <w:bookmarkEnd w:id="128"/>
    <w:p>
      <w:pPr>
        <w:ind w:left="640" w:right="900"/>
        <w:spacing w:after="0" w:line="271" w:lineRule="auto"/>
        <w:rPr>
          <w:sz w:val="20"/>
          <w:szCs w:val="20"/>
          <w:color w:val="auto"/>
        </w:rPr>
      </w:pPr>
      <w:r>
        <w:rPr>
          <w:rFonts w:ascii="Times New Roman" w:cs="Times New Roman" w:eastAsia="Times New Roman" w:hAnsi="Times New Roman"/>
          <w:sz w:val="22"/>
          <w:szCs w:val="22"/>
          <w:color w:val="auto"/>
        </w:rPr>
        <w:t>only with respect to the settlement of Shares, the Participant elects prior to the settlement date such other permitted method or combination of methods to satisfy such withholding tax obligations.</w:t>
      </w:r>
    </w:p>
    <w:p>
      <w:pPr>
        <w:spacing w:after="0" w:line="194" w:lineRule="exact"/>
        <w:rPr>
          <w:sz w:val="20"/>
          <w:szCs w:val="20"/>
          <w:color w:val="auto"/>
        </w:rPr>
      </w:pPr>
    </w:p>
    <w:p>
      <w:pPr>
        <w:ind w:right="100" w:firstLine="682"/>
        <w:spacing w:after="0" w:line="252" w:lineRule="auto"/>
        <w:tabs>
          <w:tab w:leader="none" w:pos="105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01" w:lineRule="exact"/>
        <w:rPr>
          <w:rFonts w:ascii="Times New Roman" w:cs="Times New Roman" w:eastAsia="Times New Roman" w:hAnsi="Times New Roman"/>
          <w:sz w:val="22"/>
          <w:szCs w:val="22"/>
          <w:color w:val="auto"/>
        </w:rPr>
      </w:pPr>
    </w:p>
    <w:p>
      <w:pPr>
        <w:ind w:right="60" w:firstLine="682"/>
        <w:spacing w:after="0" w:line="251" w:lineRule="auto"/>
        <w:tabs>
          <w:tab w:leader="none" w:pos="105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cooperating 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272" w:lineRule="exact"/>
        <w:rPr>
          <w:rFonts w:ascii="Times New Roman" w:cs="Times New Roman" w:eastAsia="Times New Roman" w:hAnsi="Times New Roman"/>
          <w:sz w:val="22"/>
          <w:szCs w:val="22"/>
          <w:color w:val="auto"/>
        </w:rPr>
      </w:pPr>
    </w:p>
    <w:p>
      <w:pPr>
        <w:ind w:right="380" w:firstLine="574"/>
        <w:spacing w:after="0" w:line="299" w:lineRule="auto"/>
        <w:tabs>
          <w:tab w:leader="none" w:pos="1058"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67" w:lineRule="exact"/>
        <w:rPr>
          <w:rFonts w:ascii="Times New Roman" w:cs="Times New Roman" w:eastAsia="Times New Roman" w:hAnsi="Times New Roman"/>
          <w:sz w:val="21"/>
          <w:szCs w:val="21"/>
          <w:color w:val="auto"/>
        </w:rPr>
      </w:pPr>
    </w:p>
    <w:p>
      <w:pPr>
        <w:jc w:val="both"/>
        <w:ind w:right="420" w:firstLine="574"/>
        <w:spacing w:after="0" w:line="259" w:lineRule="auto"/>
        <w:tabs>
          <w:tab w:leader="none" w:pos="105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recoupment or “clawback” as may be required by applicable law, stock exchange rules or by any applicable Company policy or arrangement the Company has in place from time to time.</w:t>
      </w:r>
    </w:p>
    <w:p>
      <w:pPr>
        <w:spacing w:after="0" w:line="206" w:lineRule="exact"/>
        <w:rPr>
          <w:rFonts w:ascii="Times New Roman" w:cs="Times New Roman" w:eastAsia="Times New Roman" w:hAnsi="Times New Roman"/>
          <w:sz w:val="22"/>
          <w:szCs w:val="22"/>
          <w:color w:val="auto"/>
        </w:rPr>
      </w:pPr>
    </w:p>
    <w:p>
      <w:pPr>
        <w:ind w:firstLine="574"/>
        <w:spacing w:after="0" w:line="265" w:lineRule="auto"/>
        <w:tabs>
          <w:tab w:leader="none" w:pos="105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201" w:lineRule="exact"/>
        <w:rPr>
          <w:rFonts w:ascii="Times New Roman" w:cs="Times New Roman" w:eastAsia="Times New Roman" w:hAnsi="Times New Roman"/>
          <w:sz w:val="22"/>
          <w:szCs w:val="22"/>
          <w:color w:val="auto"/>
        </w:rPr>
      </w:pPr>
    </w:p>
    <w:p>
      <w:pPr>
        <w:ind w:left="1060" w:hanging="486"/>
        <w:spacing w:after="0"/>
        <w:tabs>
          <w:tab w:leader="none" w:pos="106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40" w:right="420" w:firstLine="568"/>
        <w:spacing w:after="0" w:line="259" w:lineRule="auto"/>
        <w:tabs>
          <w:tab w:leader="none" w:pos="165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Any notice required or permitted to be given under this Agreement shall be in writing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deemed to have been given when delivered personally or by courier, or sent by certified or registered mail, postage prepaid, return receipt requested, duly addressed to the party concerned at the</w:t>
      </w:r>
    </w:p>
    <w:p>
      <w:pPr>
        <w:spacing w:after="0" w:line="200" w:lineRule="exact"/>
        <w:rPr>
          <w:sz w:val="20"/>
          <w:szCs w:val="20"/>
          <w:color w:val="auto"/>
        </w:rPr>
      </w:pPr>
    </w:p>
    <w:p>
      <w:pPr>
        <w:spacing w:after="0" w:line="3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600"/>
          </w:cols>
          <w:pgMar w:left="740" w:top="1341" w:right="559" w:bottom="1440" w:gutter="0" w:footer="0" w:header="0"/>
        </w:sectPr>
      </w:pPr>
    </w:p>
    <w:bookmarkStart w:id="129" w:name="page130"/>
    <w:bookmarkEnd w:id="129"/>
    <w:p>
      <w:pPr>
        <w:spacing w:after="0" w:line="271" w:lineRule="auto"/>
        <w:rPr>
          <w:sz w:val="20"/>
          <w:szCs w:val="20"/>
          <w:color w:val="auto"/>
        </w:rPr>
      </w:pPr>
      <w:r>
        <w:rPr>
          <w:rFonts w:ascii="Times New Roman" w:cs="Times New Roman" w:eastAsia="Times New Roman" w:hAnsi="Times New Roman"/>
          <w:sz w:val="22"/>
          <w:szCs w:val="22"/>
          <w:color w:val="auto"/>
        </w:rPr>
        <w:t>address indicated below or to such changed address as such party may subsequently by similar process give notice of:</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Lake Forest, Illinois 60045 Attention: Valerie Miller Richards</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2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60" w:lineRule="exact"/>
        <w:rPr>
          <w:sz w:val="20"/>
          <w:szCs w:val="20"/>
          <w:color w:val="auto"/>
        </w:rPr>
      </w:pPr>
    </w:p>
    <w:p>
      <w:pPr>
        <w:ind w:left="660" w:right="200"/>
        <w:spacing w:after="0" w:line="263"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258" w:lineRule="exact"/>
        <w:rPr>
          <w:sz w:val="20"/>
          <w:szCs w:val="20"/>
          <w:color w:val="auto"/>
        </w:rPr>
      </w:pPr>
    </w:p>
    <w:p>
      <w:pPr>
        <w:ind w:firstLine="730"/>
        <w:spacing w:after="0" w:line="261" w:lineRule="auto"/>
        <w:tabs>
          <w:tab w:leader="none" w:pos="1188" w:val="left"/>
        </w:tabs>
        <w:numPr>
          <w:ilvl w:val="1"/>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This Agreement, the Plan and any other agreements, schedules, exhibits and other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208" w:lineRule="exact"/>
        <w:rPr>
          <w:rFonts w:ascii="Times New Roman" w:cs="Times New Roman" w:eastAsia="Times New Roman" w:hAnsi="Times New Roman"/>
          <w:sz w:val="21"/>
          <w:szCs w:val="21"/>
          <w:color w:val="auto"/>
        </w:rPr>
      </w:pPr>
    </w:p>
    <w:p>
      <w:pPr>
        <w:ind w:right="60" w:firstLine="568"/>
        <w:spacing w:after="0" w:line="254" w:lineRule="auto"/>
        <w:tabs>
          <w:tab w:leader="none" w:pos="1014"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Sections 409A and 457A of the Code</w:t>
      </w:r>
      <w:r>
        <w:rPr>
          <w:rFonts w:ascii="Times New Roman" w:cs="Times New Roman" w:eastAsia="Times New Roman" w:hAnsi="Times New Roman"/>
          <w:sz w:val="22"/>
          <w:szCs w:val="22"/>
          <w:color w:val="auto"/>
        </w:rPr>
        <w:t>. 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213" w:lineRule="exact"/>
        <w:rPr>
          <w:rFonts w:ascii="Times New Roman" w:cs="Times New Roman" w:eastAsia="Times New Roman" w:hAnsi="Times New Roman"/>
          <w:sz w:val="22"/>
          <w:szCs w:val="22"/>
          <w:color w:val="auto"/>
        </w:rPr>
      </w:pPr>
    </w:p>
    <w:p>
      <w:pPr>
        <w:ind w:right="140" w:firstLine="568"/>
        <w:spacing w:after="0" w:line="253" w:lineRule="auto"/>
        <w:tabs>
          <w:tab w:leader="none" w:pos="1026"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w:t>
      </w:r>
    </w:p>
    <w:p>
      <w:pPr>
        <w:spacing w:after="0" w:line="200" w:lineRule="exact"/>
        <w:rPr>
          <w:sz w:val="20"/>
          <w:szCs w:val="20"/>
          <w:color w:val="auto"/>
        </w:rPr>
      </w:pP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900"/>
          </w:cols>
          <w:pgMar w:left="1380" w:top="1341" w:right="619" w:bottom="1440" w:gutter="0" w:footer="0" w:header="0"/>
        </w:sectPr>
      </w:pPr>
    </w:p>
    <w:bookmarkStart w:id="130" w:name="page131"/>
    <w:bookmarkEnd w:id="130"/>
    <w:p>
      <w:pPr>
        <w:ind w:right="20"/>
        <w:spacing w:after="0" w:line="271" w:lineRule="auto"/>
        <w:rPr>
          <w:sz w:val="20"/>
          <w:szCs w:val="20"/>
          <w:color w:val="auto"/>
        </w:rPr>
      </w:pPr>
      <w:r>
        <w:rPr>
          <w:rFonts w:ascii="Times New Roman" w:cs="Times New Roman" w:eastAsia="Times New Roman" w:hAnsi="Times New Roman"/>
          <w:sz w:val="22"/>
          <w:szCs w:val="22"/>
          <w:color w:val="auto"/>
        </w:rPr>
        <w:t>the determination of the Board, materially altering the intent of this Agreement, such provision shall be stricken as to such jurisdiction, and the remainder of this Agreement shall remain in full force and effect.</w:t>
      </w:r>
    </w:p>
    <w:p>
      <w:pPr>
        <w:spacing w:after="0" w:line="198" w:lineRule="exact"/>
        <w:rPr>
          <w:sz w:val="20"/>
          <w:szCs w:val="20"/>
          <w:color w:val="auto"/>
        </w:rPr>
      </w:pPr>
    </w:p>
    <w:p>
      <w:pPr>
        <w:ind w:right="60" w:firstLine="568"/>
        <w:spacing w:after="0" w:line="249" w:lineRule="auto"/>
        <w:tabs>
          <w:tab w:leader="none" w:pos="100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Waiver. No amendment or modification of any provision of this Agreement that has a material adverse effect on the Participant shall be effective unless signed in writing by or on behalf of the Company and the Participant; provided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204" w:lineRule="exact"/>
        <w:rPr>
          <w:rFonts w:ascii="Times New Roman" w:cs="Times New Roman" w:eastAsia="Times New Roman" w:hAnsi="Times New Roman"/>
          <w:sz w:val="22"/>
          <w:szCs w:val="22"/>
          <w:color w:val="auto"/>
        </w:rPr>
      </w:pPr>
    </w:p>
    <w:p>
      <w:pPr>
        <w:ind w:right="140" w:firstLine="568"/>
        <w:spacing w:after="0" w:line="287" w:lineRule="auto"/>
        <w:tabs>
          <w:tab w:leader="none" w:pos="990"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Assignment. </w:t>
      </w:r>
      <w:r>
        <w:rPr>
          <w:rFonts w:ascii="Times New Roman" w:cs="Times New Roman" w:eastAsia="Times New Roman" w:hAnsi="Times New Roman"/>
          <w:sz w:val="22"/>
          <w:szCs w:val="22"/>
          <w:color w:val="auto"/>
        </w:rPr>
        <w:t>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64" w:lineRule="exact"/>
        <w:rPr>
          <w:rFonts w:ascii="Times New Roman" w:cs="Times New Roman" w:eastAsia="Times New Roman" w:hAnsi="Times New Roman"/>
          <w:sz w:val="22"/>
          <w:szCs w:val="22"/>
          <w:color w:val="auto"/>
        </w:rPr>
      </w:pPr>
    </w:p>
    <w:p>
      <w:pPr>
        <w:ind w:right="140" w:firstLine="568"/>
        <w:spacing w:after="0" w:line="269" w:lineRule="auto"/>
        <w:tabs>
          <w:tab w:leader="none" w:pos="1026"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Successors and Assigns</w:t>
      </w:r>
      <w:r>
        <w:rPr>
          <w:rFonts w:ascii="Times New Roman" w:cs="Times New Roman" w:eastAsia="Times New Roman" w:hAnsi="Times New Roman"/>
          <w:sz w:val="21"/>
          <w:szCs w:val="21"/>
          <w:color w:val="auto"/>
        </w:rPr>
        <w:t>; No Third-Party Beneficiaries. This Agreement shall inure to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185" w:lineRule="exact"/>
        <w:rPr>
          <w:rFonts w:ascii="Times New Roman" w:cs="Times New Roman" w:eastAsia="Times New Roman" w:hAnsi="Times New Roman"/>
          <w:sz w:val="21"/>
          <w:szCs w:val="21"/>
          <w:color w:val="auto"/>
        </w:rPr>
      </w:pPr>
    </w:p>
    <w:p>
      <w:pPr>
        <w:ind w:firstLine="568"/>
        <w:spacing w:after="0" w:line="252" w:lineRule="auto"/>
        <w:tabs>
          <w:tab w:leader="none" w:pos="1026"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 Waiver of Jury Trial</w:t>
      </w:r>
      <w:r>
        <w:rPr>
          <w:rFonts w:ascii="Times New Roman" w:cs="Times New Roman" w:eastAsia="Times New Roman" w:hAnsi="Times New Roman"/>
          <w:sz w:val="22"/>
          <w:szCs w:val="22"/>
          <w:color w:val="auto"/>
        </w:rPr>
        <w:t>. 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201" w:lineRule="exact"/>
        <w:rPr>
          <w:rFonts w:ascii="Times New Roman" w:cs="Times New Roman" w:eastAsia="Times New Roman" w:hAnsi="Times New Roman"/>
          <w:sz w:val="22"/>
          <w:szCs w:val="22"/>
          <w:color w:val="auto"/>
        </w:rPr>
      </w:pPr>
    </w:p>
    <w:p>
      <w:pPr>
        <w:ind w:right="220" w:firstLine="568"/>
        <w:spacing w:after="0" w:line="252" w:lineRule="auto"/>
        <w:tabs>
          <w:tab w:leader="none" w:pos="978"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Dispute Resolution. </w:t>
      </w:r>
      <w:r>
        <w:rPr>
          <w:rFonts w:ascii="Times New Roman" w:cs="Times New Roman" w:eastAsia="Times New Roman" w:hAnsi="Times New Roman"/>
          <w:sz w:val="22"/>
          <w:szCs w:val="22"/>
          <w:color w:val="auto"/>
        </w:rPr>
        <w:t>Any dispute or claim arising out of, under or in connection with the Plan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w:t>
      </w:r>
    </w:p>
    <w:p>
      <w:pPr>
        <w:spacing w:after="0" w:line="200" w:lineRule="exact"/>
        <w:rPr>
          <w:sz w:val="20"/>
          <w:szCs w:val="20"/>
          <w:color w:val="auto"/>
        </w:rPr>
      </w:pPr>
    </w:p>
    <w:p>
      <w:pPr>
        <w:spacing w:after="0" w:line="37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920"/>
          </w:cols>
          <w:pgMar w:left="1380" w:top="1341" w:right="599" w:bottom="1440" w:gutter="0" w:footer="0" w:header="0"/>
        </w:sectPr>
      </w:pPr>
    </w:p>
    <w:bookmarkStart w:id="131" w:name="page132"/>
    <w:bookmarkEnd w:id="131"/>
    <w:p>
      <w:pPr>
        <w:ind w:right="80"/>
        <w:spacing w:after="0" w:line="264" w:lineRule="auto"/>
        <w:rPr>
          <w:sz w:val="20"/>
          <w:szCs w:val="20"/>
          <w:color w:val="auto"/>
        </w:rPr>
      </w:pPr>
      <w:r>
        <w:rPr>
          <w:rFonts w:ascii="Times New Roman" w:cs="Times New Roman" w:eastAsia="Times New Roman" w:hAnsi="Times New Roman"/>
          <w:sz w:val="21"/>
          <w:szCs w:val="21"/>
          <w:color w:val="auto"/>
        </w:rPr>
        <w:t>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193" w:lineRule="exact"/>
        <w:rPr>
          <w:sz w:val="20"/>
          <w:szCs w:val="20"/>
          <w:color w:val="auto"/>
        </w:rPr>
      </w:pPr>
    </w:p>
    <w:p>
      <w:pPr>
        <w:ind w:right="20" w:firstLine="568"/>
        <w:spacing w:after="0" w:line="250" w:lineRule="auto"/>
        <w:tabs>
          <w:tab w:leader="none" w:pos="9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Participant Undertaking; Acceptance. </w:t>
      </w:r>
      <w:r>
        <w:rPr>
          <w:rFonts w:ascii="Times New Roman" w:cs="Times New Roman" w:eastAsia="Times New Roman" w:hAnsi="Times New Roman"/>
          <w:sz w:val="22"/>
          <w:szCs w:val="22"/>
          <w:color w:val="auto"/>
        </w:rPr>
        <w:t>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207" w:lineRule="exact"/>
        <w:rPr>
          <w:rFonts w:ascii="Times New Roman" w:cs="Times New Roman" w:eastAsia="Times New Roman" w:hAnsi="Times New Roman"/>
          <w:sz w:val="22"/>
          <w:szCs w:val="22"/>
          <w:color w:val="auto"/>
        </w:rPr>
      </w:pPr>
    </w:p>
    <w:p>
      <w:pPr>
        <w:ind w:right="140" w:firstLine="568"/>
        <w:spacing w:after="0" w:line="287" w:lineRule="auto"/>
        <w:tabs>
          <w:tab w:leader="none" w:pos="1026"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Captions. </w:t>
      </w:r>
      <w:r>
        <w:rPr>
          <w:rFonts w:ascii="Times New Roman" w:cs="Times New Roman" w:eastAsia="Times New Roman" w:hAnsi="Times New Roman"/>
          <w:sz w:val="22"/>
          <w:szCs w:val="22"/>
          <w:color w:val="auto"/>
        </w:rPr>
        <w:t>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164" w:lineRule="exact"/>
        <w:rPr>
          <w:rFonts w:ascii="Times New Roman" w:cs="Times New Roman" w:eastAsia="Times New Roman" w:hAnsi="Times New Roman"/>
          <w:sz w:val="22"/>
          <w:szCs w:val="22"/>
          <w:color w:val="auto"/>
        </w:rPr>
      </w:pPr>
    </w:p>
    <w:p>
      <w:pPr>
        <w:ind w:firstLine="568"/>
        <w:spacing w:after="0" w:line="275" w:lineRule="auto"/>
        <w:tabs>
          <w:tab w:leader="none" w:pos="978"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executed in two counterparts, each of which shall constitute one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same instrument.</w:t>
      </w:r>
    </w:p>
    <w:p>
      <w:pPr>
        <w:spacing w:after="0" w:line="19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9920"/>
          </w:cols>
          <w:pgMar w:left="1380" w:top="1341" w:right="599" w:bottom="1440" w:gutter="0" w:footer="0" w:header="0"/>
        </w:sectPr>
      </w:pPr>
    </w:p>
    <w:bookmarkStart w:id="132" w:name="page133"/>
    <w:bookmarkEnd w:id="132"/>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INC.</w:t>
      </w:r>
    </w:p>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27940</wp:posOffset>
            </wp:positionV>
            <wp:extent cx="24771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Scott E. Huckins</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10240"/>
          </w:cols>
          <w:pgMar w:left="420" w:top="1408" w:right="1239" w:bottom="1440" w:gutter="0" w:footer="0" w:header="0"/>
        </w:sectPr>
      </w:pPr>
    </w:p>
    <w:bookmarkStart w:id="133" w:name="page134"/>
    <w:bookmarkEnd w:id="13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%%FIRST_NAME_MIDDLE_NAME_LAST_NAME%-%</w:t>
      </w:r>
    </w:p>
    <w:p>
      <w:pPr>
        <w:spacing w:after="0" w:line="188" w:lineRule="exact"/>
        <w:rPr>
          <w:sz w:val="20"/>
          <w:szCs w:val="20"/>
          <w:color w:val="auto"/>
        </w:rPr>
      </w:pPr>
    </w:p>
    <w:p>
      <w:pPr>
        <w:sectPr>
          <w:pgSz w:w="11900" w:h="16838" w:orient="portrait"/>
          <w:cols w:equalWidth="0" w:num="2">
            <w:col w:w="320" w:space="300"/>
            <w:col w:w="9419"/>
          </w:cols>
          <w:pgMar w:left="420" w:top="1192" w:right="1440" w:bottom="1440" w:gutter="0" w:footer="0" w:header="0"/>
        </w:sectPr>
      </w:pPr>
    </w:p>
    <w:p>
      <w:pPr>
        <w:ind w:left="58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Address:</w:t>
      </w:r>
    </w:p>
    <w:p>
      <w:pPr>
        <w:spacing w:after="0" w:line="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%%ADDRESS_LINE_1%-%</w:t>
      </w:r>
    </w:p>
    <w:p>
      <w:pPr>
        <w:spacing w:after="0" w:line="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%%ADDRESS_LINE_2%-%</w:t>
      </w:r>
    </w:p>
    <w:p>
      <w:pPr>
        <w:spacing w:after="0" w:line="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1"/>
          <w:szCs w:val="21"/>
          <w:color w:val="auto"/>
        </w:rPr>
        <w:t>%%CITY_STATE_ZIPCODE%-%</w:t>
      </w:r>
    </w:p>
    <w:p>
      <w:pPr>
        <w:sectPr>
          <w:pgSz w:w="11900" w:h="16838" w:orient="portrait"/>
          <w:cols w:equalWidth="0" w:num="1">
            <w:col w:w="10039"/>
          </w:cols>
          <w:pgMar w:left="420" w:top="1192" w:right="1440" w:bottom="1440" w:gutter="0" w:footer="0" w:header="0"/>
          <w:type w:val="continuous"/>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REYNOLDS CONSUMER PRODUCTS INC. EQUITY INCENTIVE PLAN NOTICE OF PERFORMANCE</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SHARE UNIT AWARD</w:t>
      </w:r>
    </w:p>
    <w:p>
      <w:pPr>
        <w:spacing w:after="0" w:line="37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1"/>
          <w:szCs w:val="21"/>
          <w:color w:val="auto"/>
        </w:rPr>
        <w:t>%%OPTION_DATE,1'%-%</w:t>
      </w:r>
    </w:p>
    <w:p>
      <w:pPr>
        <w:spacing w:after="0" w:line="25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color w:val="auto"/>
        </w:rPr>
        <w:t>Reynolds Consumer Products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the Participant, effective as of the Grant Date (as set forth below), a Performance Share Unit Award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xml:space="preserve"> ”) under the Reynolds Consumer Products Inc. Equity Incentive Plan (as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 Award is subject to the terms and conditions set forth in this award grant letter (this “</w:t>
      </w:r>
      <w:r>
        <w:rPr>
          <w:rFonts w:ascii="Times New Roman" w:cs="Times New Roman" w:eastAsia="Times New Roman" w:hAnsi="Times New Roman"/>
          <w:sz w:val="21"/>
          <w:szCs w:val="21"/>
          <w:b w:val="1"/>
          <w:bCs w:val="1"/>
          <w:color w:val="auto"/>
        </w:rPr>
        <w:t>Grant Letter</w:t>
      </w:r>
      <w:r>
        <w:rPr>
          <w:rFonts w:ascii="Times New Roman" w:cs="Times New Roman" w:eastAsia="Times New Roman" w:hAnsi="Times New Roman"/>
          <w:sz w:val="21"/>
          <w:szCs w:val="21"/>
          <w:color w:val="auto"/>
        </w:rPr>
        <w:t xml:space="preserve">”), the Performance Share Unit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all exhibits and appendices thereto)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and, together with this Grant Letter,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AWARD TERMS</w:t>
      </w:r>
    </w:p>
    <w:p>
      <w:pPr>
        <w:sectPr>
          <w:pgSz w:w="11900" w:h="16838" w:orient="portrait"/>
          <w:cols w:equalWidth="0" w:num="1">
            <w:col w:w="11060"/>
          </w:cols>
          <w:pgMar w:left="500" w:top="117" w:right="339" w:bottom="1440" w:gutter="0" w:footer="0" w:header="0"/>
        </w:sectPr>
      </w:pPr>
    </w:p>
    <w:bookmarkStart w:id="135" w:name="page136"/>
    <w:bookmarkEnd w:id="135"/>
    <w:p>
      <w:pPr>
        <w:ind w:left="1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ind w:left="140"/>
        <w:spacing w:after="0" w:line="230" w:lineRule="auto"/>
        <w:rPr>
          <w:sz w:val="20"/>
          <w:szCs w:val="20"/>
          <w:color w:val="auto"/>
        </w:rPr>
      </w:pPr>
      <w:r>
        <w:rPr>
          <w:rFonts w:ascii="Times New Roman" w:cs="Times New Roman" w:eastAsia="Times New Roman" w:hAnsi="Times New Roman"/>
          <w:sz w:val="22"/>
          <w:szCs w:val="22"/>
          <w:b w:val="1"/>
          <w:bCs w:val="1"/>
          <w:color w:val="auto"/>
        </w:rPr>
        <w:t>Target Number of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Performance Condition:</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%%TOTAL_SHARES_GRANTED,7%-%</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1"/>
          <w:szCs w:val="21"/>
          <w:color w:val="auto"/>
        </w:rPr>
        <w:t>is the target number of performance share units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xml:space="preserve">”) granted under this Award. PSUs shall be settled in Shares at a range from zero percent (0%) to 200% of target based on the achieved results against the Performance Condition set forth on Attachment A to the Award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settlement shall occur unless both (i) Participant does not experience a Termination of Service (other than due to death, Retirement or Enhanced Retirement (as defined in the Award Agreement)) at any time prior to the applicable Vesting Date and (ii) the minimum Performance Condition (as such term is defined below) is satisfied. Each PSU shall correspond to a single Share.</w:t>
      </w:r>
    </w:p>
    <w:p>
      <w:pPr>
        <w:spacing w:after="0" w:line="9" w:lineRule="exact"/>
        <w:rPr>
          <w:sz w:val="20"/>
          <w:szCs w:val="20"/>
          <w:color w:val="auto"/>
        </w:rPr>
      </w:pPr>
    </w:p>
    <w:p>
      <w:pPr>
        <w:ind w:right="304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2"/>
          <w:szCs w:val="22"/>
          <w:color w:val="auto"/>
        </w:rPr>
        <w:t>The Award shall be subject to satisfaction of the Performance Condition as set forth on Attachment A, subject to the terms set forth in the Award Agreement. Subject to the terms and conditions of the Award Agreement (including the satisfaction of the Performance Condition), the Shares subject to the Award shall vest on the third anniversary of the Grant Date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040" w:space="640"/>
            <w:col w:w="7080"/>
          </w:cols>
          <w:pgMar w:left="500" w:top="1282" w:right="6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1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 Otherwise, please provide your signature, address and the date for this Agreement where indicated below.</w:t>
      </w:r>
    </w:p>
    <w:p>
      <w:pPr>
        <w:sectPr>
          <w:pgSz w:w="11900" w:h="16838" w:orient="portrait"/>
          <w:cols w:equalWidth="0" w:num="1">
            <w:col w:w="10760"/>
          </w:cols>
          <w:pgMar w:left="500" w:top="1282" w:right="639" w:bottom="1440" w:gutter="0" w:footer="0" w:header="0"/>
          <w:type w:val="continuous"/>
        </w:sectPr>
      </w:pPr>
    </w:p>
    <w:bookmarkStart w:id="136" w:name="page137"/>
    <w:bookmarkEnd w:id="136"/>
    <w:p>
      <w:pPr>
        <w:spacing w:after="0" w:line="72"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3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32"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2"/>
          <w:szCs w:val="22"/>
          <w:color w:val="auto"/>
        </w:rPr>
        <w:t>This Performance Share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as the Participant.</w:t>
      </w:r>
    </w:p>
    <w:p>
      <w:pPr>
        <w:spacing w:after="0" w:line="206" w:lineRule="exact"/>
        <w:rPr>
          <w:sz w:val="20"/>
          <w:szCs w:val="20"/>
          <w:color w:val="auto"/>
        </w:rPr>
      </w:pPr>
    </w:p>
    <w:p>
      <w:pPr>
        <w:ind w:right="44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58" w:lineRule="exact"/>
        <w:rPr>
          <w:sz w:val="20"/>
          <w:szCs w:val="20"/>
          <w:color w:val="auto"/>
        </w:rPr>
      </w:pPr>
    </w:p>
    <w:p>
      <w:pPr>
        <w:ind w:right="760" w:firstLine="648"/>
        <w:spacing w:after="0" w:line="270" w:lineRule="auto"/>
        <w:rPr>
          <w:sz w:val="20"/>
          <w:szCs w:val="20"/>
          <w:color w:val="auto"/>
        </w:rPr>
      </w:pPr>
      <w:r>
        <w:rPr>
          <w:rFonts w:ascii="Times New Roman" w:cs="Times New Roman" w:eastAsia="Times New Roman" w:hAnsi="Times New Roman"/>
          <w:sz w:val="22"/>
          <w:szCs w:val="22"/>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45"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80" w:lineRule="exact"/>
        <w:rPr>
          <w:sz w:val="20"/>
          <w:szCs w:val="20"/>
          <w:color w:val="auto"/>
        </w:rPr>
      </w:pPr>
    </w:p>
    <w:p>
      <w:pPr>
        <w:ind w:right="140" w:firstLine="688"/>
        <w:spacing w:after="0" w:line="258" w:lineRule="auto"/>
        <w:tabs>
          <w:tab w:leader="none" w:pos="105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share units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480" w:firstLine="688"/>
        <w:spacing w:after="0" w:line="258" w:lineRule="auto"/>
        <w:tabs>
          <w:tab w:leader="none" w:pos="105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PSUs</w:t>
      </w:r>
      <w:r>
        <w:rPr>
          <w:rFonts w:ascii="Times New Roman" w:cs="Times New Roman" w:eastAsia="Times New Roman" w:hAnsi="Times New Roman"/>
          <w:sz w:val="22"/>
          <w:szCs w:val="22"/>
          <w:color w:val="auto"/>
        </w:rPr>
        <w:t>. To the extent that the Award has vested, the PSUs associated with such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settled based on the level of attainment of the “</w:t>
      </w:r>
      <w:r>
        <w:rPr>
          <w:rFonts w:ascii="Times New Roman" w:cs="Times New Roman" w:eastAsia="Times New Roman" w:hAnsi="Times New Roman"/>
          <w:sz w:val="22"/>
          <w:szCs w:val="22"/>
          <w:b w:val="1"/>
          <w:bCs w:val="1"/>
          <w:color w:val="auto"/>
        </w:rPr>
        <w:t>Performance Condition</w:t>
      </w:r>
      <w:r>
        <w:rPr>
          <w:rFonts w:ascii="Times New Roman" w:cs="Times New Roman" w:eastAsia="Times New Roman" w:hAnsi="Times New Roman"/>
          <w:sz w:val="22"/>
          <w:szCs w:val="22"/>
          <w:color w:val="auto"/>
        </w:rPr>
        <w:t xml:space="preserve">” (as detailed in this Agreement or </w:t>
      </w:r>
      <w:r>
        <w:rPr>
          <w:rFonts w:ascii="Times New Roman" w:cs="Times New Roman" w:eastAsia="Times New Roman" w:hAnsi="Times New Roman"/>
          <w:sz w:val="22"/>
          <w:szCs w:val="22"/>
          <w:u w:val="single" w:color="auto"/>
          <w:color w:val="auto"/>
        </w:rPr>
        <w:t>Attachment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to this Agreement), determined by the Committee in accordance with and subject to the terms of this Award Agreement and the Plan.</w:t>
      </w:r>
    </w:p>
    <w:p>
      <w:pPr>
        <w:spacing w:after="0" w:line="208" w:lineRule="exact"/>
        <w:rPr>
          <w:rFonts w:ascii="Times New Roman" w:cs="Times New Roman" w:eastAsia="Times New Roman" w:hAnsi="Times New Roman"/>
          <w:sz w:val="22"/>
          <w:szCs w:val="22"/>
          <w:color w:val="auto"/>
        </w:rPr>
      </w:pPr>
    </w:p>
    <w:p>
      <w:pPr>
        <w:ind w:left="1060" w:hanging="372"/>
        <w:spacing w:after="0"/>
        <w:tabs>
          <w:tab w:leader="none" w:pos="106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terms and conditions:</w:t>
      </w:r>
    </w:p>
    <w:p>
      <w:pPr>
        <w:spacing w:after="0" w:line="230" w:lineRule="exact"/>
        <w:rPr>
          <w:sz w:val="20"/>
          <w:szCs w:val="20"/>
          <w:color w:val="auto"/>
        </w:rPr>
      </w:pPr>
    </w:p>
    <w:p>
      <w:pPr>
        <w:ind w:left="660" w:firstLine="729"/>
        <w:spacing w:after="0" w:line="253" w:lineRule="auto"/>
        <w:tabs>
          <w:tab w:leader="none" w:pos="184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of Award</w:t>
      </w:r>
      <w:r>
        <w:rPr>
          <w:rFonts w:ascii="Times New Roman" w:cs="Times New Roman" w:eastAsia="Times New Roman" w:hAnsi="Times New Roman"/>
          <w:sz w:val="22"/>
          <w:szCs w:val="22"/>
          <w:color w:val="auto"/>
        </w:rPr>
        <w:t>. 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 subject to (i) the satisfaction of the Performance Condition, as determined by the Committee, and (ii) the Participant’s continuous service with the Company or any of its Affiliates through the Vesting Date.</w:t>
      </w:r>
    </w:p>
    <w:p>
      <w:pPr>
        <w:spacing w:after="0" w:line="202" w:lineRule="exact"/>
        <w:rPr>
          <w:rFonts w:ascii="Times New Roman" w:cs="Times New Roman" w:eastAsia="Times New Roman" w:hAnsi="Times New Roman"/>
          <w:sz w:val="22"/>
          <w:szCs w:val="22"/>
          <w:color w:val="auto"/>
        </w:rPr>
      </w:pPr>
    </w:p>
    <w:p>
      <w:pPr>
        <w:ind w:left="660" w:right="360" w:firstLine="716"/>
        <w:spacing w:after="0" w:line="287" w:lineRule="auto"/>
        <w:tabs>
          <w:tab w:leader="none" w:pos="1847"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PSUs unless</w:t>
      </w:r>
    </w:p>
    <w:p>
      <w:pPr>
        <w:spacing w:after="0" w:line="200" w:lineRule="exact"/>
        <w:rPr>
          <w:sz w:val="20"/>
          <w:szCs w:val="20"/>
          <w:color w:val="auto"/>
        </w:rPr>
      </w:pPr>
    </w:p>
    <w:p>
      <w:pPr>
        <w:spacing w:after="0" w:line="3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780"/>
          </w:cols>
          <w:pgMar w:left="500" w:top="1440" w:right="6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22"/>
          <w:szCs w:val="22"/>
          <w:color w:val="auto"/>
        </w:rPr>
        <w:t>and until the Participant becomes the record owner of the Shares underlying such PSUs.</w:t>
      </w:r>
    </w:p>
    <w:p>
      <w:pPr>
        <w:spacing w:after="0" w:line="256" w:lineRule="exact"/>
        <w:rPr>
          <w:sz w:val="20"/>
          <w:szCs w:val="20"/>
          <w:color w:val="auto"/>
        </w:rPr>
      </w:pPr>
    </w:p>
    <w:p>
      <w:pPr>
        <w:ind w:right="160" w:firstLine="716"/>
        <w:spacing w:after="0" w:line="255" w:lineRule="auto"/>
        <w:tabs>
          <w:tab w:leader="none" w:pos="1175"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w:t>
      </w:r>
      <w:r>
        <w:rPr>
          <w:rFonts w:ascii="Times New Roman" w:cs="Times New Roman" w:eastAsia="Times New Roman" w:hAnsi="Times New Roman"/>
          <w:sz w:val="22"/>
          <w:szCs w:val="22"/>
          <w:color w:val="auto"/>
        </w:rPr>
        <w:t>. 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PSUs are distributed to the Participant pursuant to Section 3(d), then as of each dividend payment date, the Participant shall be credited with cash per PSU equal to the per Share amount of such dividend. Any amounts credited pursuant to the immediately preceding sentence shall be subject to the same applicable terms and conditions (including vesting, payment and forfeitability) as apply to the PSUs based on which the dividend equivalents were credited, and such amounts shall be paid in cash (without interest) at the same time as the PSUs to which they relate are settled.</w:t>
      </w:r>
    </w:p>
    <w:p>
      <w:pPr>
        <w:spacing w:after="0" w:line="156" w:lineRule="exact"/>
        <w:rPr>
          <w:rFonts w:ascii="Times New Roman" w:cs="Times New Roman" w:eastAsia="Times New Roman" w:hAnsi="Times New Roman"/>
          <w:sz w:val="22"/>
          <w:szCs w:val="22"/>
          <w:color w:val="auto"/>
        </w:rPr>
      </w:pPr>
    </w:p>
    <w:p>
      <w:pPr>
        <w:ind w:firstLine="716"/>
        <w:spacing w:after="0" w:line="249" w:lineRule="auto"/>
        <w:tabs>
          <w:tab w:leader="none" w:pos="1187"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 of Shares</w:t>
      </w:r>
      <w:r>
        <w:rPr>
          <w:rFonts w:ascii="Times New Roman" w:cs="Times New Roman" w:eastAsia="Times New Roman" w:hAnsi="Times New Roman"/>
          <w:sz w:val="22"/>
          <w:szCs w:val="22"/>
          <w:color w:val="auto"/>
        </w:rPr>
        <w:t>. Subject to the provisions of this Agreement, upon the vesting of any of the PSUs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on the scheduled Vesting Date or the Participant’s Termination of Service due to death, the Company shall deliver to the Participant, as soon as reasonably practicable after the applicable Vesting Date (or the date of the Participant’s Termination of Service due to death, as applicable), (i) one Share for each such PSU plus (ii) such cash attributable to dividends to which the Participant has become entitled under Section 3(c);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settlement shall be made no later than the 15th day of the third calendar month following the Vesting Date (or the date of the Participant’s Termination of Service due to death, as applicable). Upon such delivery, such Shares shall be fully assignable, alienable, saleable and transferrable by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 alienation, sale, transfer or other alienation with respect to such Shares shall be in accordance with applicable securities laws and any applicable Company policy.</w:t>
      </w:r>
    </w:p>
    <w:p>
      <w:pPr>
        <w:spacing w:after="0" w:line="210" w:lineRule="exact"/>
        <w:rPr>
          <w:rFonts w:ascii="Times New Roman" w:cs="Times New Roman" w:eastAsia="Times New Roman" w:hAnsi="Times New Roman"/>
          <w:sz w:val="22"/>
          <w:szCs w:val="22"/>
          <w:color w:val="auto"/>
        </w:rPr>
      </w:pPr>
    </w:p>
    <w:p>
      <w:pPr>
        <w:ind w:right="20" w:firstLine="729"/>
        <w:spacing w:after="0" w:line="266" w:lineRule="auto"/>
        <w:tabs>
          <w:tab w:leader="none" w:pos="1188" w:val="left"/>
        </w:tabs>
        <w:numPr>
          <w:ilvl w:val="1"/>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 in Capitalization</w:t>
      </w:r>
      <w:r>
        <w:rPr>
          <w:rFonts w:ascii="Times New Roman" w:cs="Times New Roman" w:eastAsia="Times New Roman" w:hAnsi="Times New Roman"/>
          <w:sz w:val="21"/>
          <w:szCs w:val="21"/>
          <w:color w:val="auto"/>
        </w:rPr>
        <w:t>. In the event that, as a result of any dividend (other than ordinary cash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PSUs in a manner which would cause the PSUs to be subject to the provisions of Section 409A or 457A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80"/>
          </w:cols>
          <w:pgMar w:left="1160" w:top="1340" w:right="559" w:bottom="1440" w:gutter="0" w:footer="0" w:header="0"/>
        </w:sectPr>
      </w:pPr>
    </w:p>
    <w:bookmarkStart w:id="138" w:name="page139"/>
    <w:bookmarkEnd w:id="138"/>
    <w:p>
      <w:pPr>
        <w:ind w:left="660" w:right="40" w:firstLine="755"/>
        <w:spacing w:after="0" w:line="257" w:lineRule="auto"/>
        <w:tabs>
          <w:tab w:leader="none" w:pos="1850"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Transferability</w:t>
      </w:r>
      <w:r>
        <w:rPr>
          <w:rFonts w:ascii="Times New Roman" w:cs="Times New Roman" w:eastAsia="Times New Roman" w:hAnsi="Times New Roman"/>
          <w:sz w:val="22"/>
          <w:szCs w:val="22"/>
          <w:color w:val="auto"/>
        </w:rPr>
        <w:t>. 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171" w:lineRule="exact"/>
        <w:rPr>
          <w:rFonts w:ascii="Times New Roman" w:cs="Times New Roman" w:eastAsia="Times New Roman" w:hAnsi="Times New Roman"/>
          <w:sz w:val="22"/>
          <w:szCs w:val="22"/>
          <w:color w:val="auto"/>
        </w:rPr>
      </w:pPr>
    </w:p>
    <w:p>
      <w:pPr>
        <w:jc w:val="both"/>
        <w:ind w:left="660" w:right="40" w:firstLine="716"/>
        <w:spacing w:after="0" w:line="258" w:lineRule="auto"/>
        <w:tabs>
          <w:tab w:leader="none" w:pos="184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Continued Service</w:t>
      </w:r>
      <w:r>
        <w:rPr>
          <w:rFonts w:ascii="Times New Roman" w:cs="Times New Roman" w:eastAsia="Times New Roman" w:hAnsi="Times New Roman"/>
          <w:sz w:val="22"/>
          <w:szCs w:val="22"/>
          <w:color w:val="auto"/>
        </w:rPr>
        <w:t>. 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208" w:lineRule="exact"/>
        <w:rPr>
          <w:rFonts w:ascii="Times New Roman" w:cs="Times New Roman" w:eastAsia="Times New Roman" w:hAnsi="Times New Roman"/>
          <w:sz w:val="22"/>
          <w:szCs w:val="22"/>
          <w:color w:val="auto"/>
        </w:rPr>
      </w:pPr>
    </w:p>
    <w:p>
      <w:pPr>
        <w:ind w:left="660" w:right="20" w:firstLine="716"/>
        <w:spacing w:after="0" w:line="265" w:lineRule="auto"/>
        <w:tabs>
          <w:tab w:leader="none" w:pos="1847" w:val="left"/>
        </w:tabs>
        <w:numPr>
          <w:ilvl w:val="1"/>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 Right to Future Awards</w:t>
      </w:r>
      <w:r>
        <w:rPr>
          <w:rFonts w:ascii="Times New Roman" w:cs="Times New Roman" w:eastAsia="Times New Roman" w:hAnsi="Times New Roman"/>
          <w:sz w:val="22"/>
          <w:szCs w:val="22"/>
          <w:color w:val="auto"/>
        </w:rPr>
        <w:t>. Any Award granted under the Plan shall be a one-time Award that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 promise of future grants. The Company, in its sole discretion, maintains the right to make available future grants under the Plan.</w:t>
      </w:r>
    </w:p>
    <w:p>
      <w:pPr>
        <w:spacing w:after="0" w:line="161" w:lineRule="exact"/>
        <w:rPr>
          <w:rFonts w:ascii="Times New Roman" w:cs="Times New Roman" w:eastAsia="Times New Roman" w:hAnsi="Times New Roman"/>
          <w:sz w:val="22"/>
          <w:szCs w:val="22"/>
          <w:color w:val="auto"/>
        </w:rPr>
      </w:pPr>
    </w:p>
    <w:p>
      <w:pPr>
        <w:ind w:left="1060" w:hanging="372"/>
        <w:spacing w:after="0"/>
        <w:tabs>
          <w:tab w:leader="none" w:pos="106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p>
    <w:p>
      <w:pPr>
        <w:spacing w:after="0" w:line="32" w:lineRule="exact"/>
        <w:rPr>
          <w:sz w:val="20"/>
          <w:szCs w:val="20"/>
          <w:color w:val="auto"/>
        </w:rPr>
      </w:pPr>
    </w:p>
    <w:p>
      <w:pPr>
        <w:ind w:right="420"/>
        <w:spacing w:after="0" w:line="258" w:lineRule="auto"/>
        <w:rPr>
          <w:sz w:val="20"/>
          <w:szCs w:val="20"/>
          <w:color w:val="auto"/>
        </w:rPr>
      </w:pP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155" w:lineRule="exact"/>
        <w:rPr>
          <w:sz w:val="20"/>
          <w:szCs w:val="20"/>
          <w:color w:val="auto"/>
        </w:rPr>
      </w:pPr>
    </w:p>
    <w:p>
      <w:pPr>
        <w:ind w:right="20" w:firstLine="688"/>
        <w:spacing w:after="0" w:line="258" w:lineRule="auto"/>
        <w:tabs>
          <w:tab w:leader="none" w:pos="1058"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provisions of the Plan to the contrary, in the event of the Participant’s Termination of Service due to the Participant’s death, Retirement (as defined below) or Enhanced Retirement (as defined below), a portion of the Award may vest or remain eligible to vest upon or following such Termination of Service as follows:</w:t>
      </w:r>
    </w:p>
    <w:p>
      <w:pPr>
        <w:spacing w:after="0" w:line="171" w:lineRule="exact"/>
        <w:rPr>
          <w:rFonts w:ascii="Times New Roman" w:cs="Times New Roman" w:eastAsia="Times New Roman" w:hAnsi="Times New Roman"/>
          <w:sz w:val="22"/>
          <w:szCs w:val="22"/>
          <w:color w:val="auto"/>
        </w:rPr>
      </w:pPr>
    </w:p>
    <w:p>
      <w:pPr>
        <w:ind w:left="1840" w:hanging="464"/>
        <w:spacing w:after="0"/>
        <w:tabs>
          <w:tab w:leader="none" w:pos="184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360" w:firstLine="574"/>
        <w:spacing w:after="0" w:line="268" w:lineRule="auto"/>
        <w:tabs>
          <w:tab w:leader="none" w:pos="2347" w:val="left"/>
        </w:tabs>
        <w:numPr>
          <w:ilvl w:val="2"/>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Participant’s Termination of Service due to the Participant’s death prior to the Vesting Date, the Committee shall determine the number of the Participant’s PSUs that would have vested based on the likely level of achievement of the Performance Condition, which number shall then be prorated based on a fraction, the numerator of which is the number of full calendar months the Participant has been employed from the Grant Date through the date of such Termination of Service (the “</w:t>
      </w:r>
      <w:r>
        <w:rPr>
          <w:rFonts w:ascii="Times New Roman" w:cs="Times New Roman" w:eastAsia="Times New Roman" w:hAnsi="Times New Roman"/>
          <w:sz w:val="21"/>
          <w:szCs w:val="21"/>
          <w:b w:val="1"/>
          <w:bCs w:val="1"/>
          <w:color w:val="auto"/>
        </w:rPr>
        <w:t>Service Months</w:t>
      </w:r>
      <w:r>
        <w:rPr>
          <w:rFonts w:ascii="Times New Roman" w:cs="Times New Roman" w:eastAsia="Times New Roman" w:hAnsi="Times New Roman"/>
          <w:sz w:val="21"/>
          <w:szCs w:val="21"/>
          <w:color w:val="auto"/>
        </w:rPr>
        <w:t>”) (for clarity and for all purposes as used in this Agreement, “full calendar months” means each full calendar month after the Grant Date that ends on the numbered day immediately prior to the numbered day of the Grant Date), and the denominator of which is 36, to determine the actual number of PSUs that vest pursuant to</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840"/>
          </w:cols>
          <w:pgMar w:left="500" w:top="1417" w:right="559" w:bottom="1440" w:gutter="0" w:footer="0" w:header="0"/>
        </w:sectPr>
      </w:pPr>
    </w:p>
    <w:bookmarkStart w:id="139" w:name="page140"/>
    <w:bookmarkEnd w:id="139"/>
    <w:p>
      <w:pPr>
        <w:spacing w:after="0" w:line="113" w:lineRule="exact"/>
        <w:rPr>
          <w:sz w:val="20"/>
          <w:szCs w:val="20"/>
          <w:color w:val="auto"/>
        </w:rPr>
      </w:pPr>
    </w:p>
    <w:p>
      <w:pPr>
        <w:ind w:left="420" w:right="380"/>
        <w:spacing w:after="0" w:line="275" w:lineRule="auto"/>
        <w:rPr>
          <w:sz w:val="20"/>
          <w:szCs w:val="20"/>
          <w:color w:val="auto"/>
        </w:rPr>
      </w:pPr>
      <w:r>
        <w:rPr>
          <w:rFonts w:ascii="Times New Roman" w:cs="Times New Roman" w:eastAsia="Times New Roman" w:hAnsi="Times New Roman"/>
          <w:sz w:val="22"/>
          <w:szCs w:val="22"/>
          <w:color w:val="auto"/>
        </w:rPr>
        <w:t xml:space="preserve">this Section 5(a);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Participant must have been employed by the Company or an Affiliate for at least twelve (12) months following the Grant Date.</w:t>
      </w:r>
    </w:p>
    <w:p>
      <w:pPr>
        <w:spacing w:after="0" w:line="153" w:lineRule="exact"/>
        <w:rPr>
          <w:sz w:val="20"/>
          <w:szCs w:val="20"/>
          <w:color w:val="auto"/>
        </w:rPr>
      </w:pPr>
    </w:p>
    <w:p>
      <w:pPr>
        <w:ind w:left="420" w:right="100" w:firstLine="574"/>
        <w:spacing w:after="0" w:line="263" w:lineRule="auto"/>
        <w:tabs>
          <w:tab w:leader="none" w:pos="146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underlying the prorated PSUs that vest upon the Participant’s Termination of Service due to death pursuant to this Section 5(a), if any, shall be distributed to the Participant pursuant to Section 3(d), and the remaining PSUs shall be forfeited.</w:t>
      </w:r>
    </w:p>
    <w:p>
      <w:pPr>
        <w:spacing w:after="0" w:line="167" w:lineRule="exact"/>
        <w:rPr>
          <w:rFonts w:ascii="Times New Roman" w:cs="Times New Roman" w:eastAsia="Times New Roman" w:hAnsi="Times New Roman"/>
          <w:sz w:val="22"/>
          <w:szCs w:val="22"/>
          <w:color w:val="auto"/>
        </w:rPr>
      </w:pPr>
    </w:p>
    <w:p>
      <w:pPr>
        <w:ind w:left="420" w:right="280" w:firstLine="574"/>
        <w:spacing w:after="0" w:line="284" w:lineRule="auto"/>
        <w:tabs>
          <w:tab w:leader="none" w:pos="1523" w:val="left"/>
        </w:tabs>
        <w:numPr>
          <w:ilvl w:val="1"/>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PSUs on February 10, 2022:</w:t>
      </w:r>
    </w:p>
    <w:p>
      <w:pPr>
        <w:spacing w:after="0" w:line="130"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2022: none of such PSUs would vest.</w:t>
      </w:r>
    </w:p>
    <w:p>
      <w:pPr>
        <w:spacing w:after="0" w:line="219" w:lineRule="exact"/>
        <w:rPr>
          <w:rFonts w:ascii="Times New Roman" w:cs="Times New Roman" w:eastAsia="Times New Roman" w:hAnsi="Times New Roman"/>
          <w:sz w:val="22"/>
          <w:szCs w:val="22"/>
          <w:color w:val="auto"/>
        </w:rPr>
      </w:pPr>
    </w:p>
    <w:p>
      <w:pPr>
        <w:ind w:left="1000" w:right="200" w:firstLine="480"/>
        <w:spacing w:after="0" w:line="261" w:lineRule="auto"/>
        <w:tabs>
          <w:tab w:leader="none" w:pos="1986"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2023: assuming the Committee determines that 120% of the PSUs would have vested based on the likely level of achievement of the Performance Condition, then 720 PSUs would vest at the time of death (1,200 x 120% = 1,440 x (18 months / 36 months) = 720.</w:t>
      </w:r>
    </w:p>
    <w:p>
      <w:pPr>
        <w:spacing w:after="0" w:line="168" w:lineRule="exact"/>
        <w:rPr>
          <w:rFonts w:ascii="Times New Roman" w:cs="Times New Roman" w:eastAsia="Times New Roman" w:hAnsi="Times New Roman"/>
          <w:sz w:val="22"/>
          <w:szCs w:val="22"/>
          <w:color w:val="auto"/>
        </w:rPr>
      </w:pPr>
    </w:p>
    <w:p>
      <w:pPr>
        <w:ind w:left="1000" w:right="320" w:firstLine="480"/>
        <w:spacing w:after="0" w:line="256" w:lineRule="auto"/>
        <w:tabs>
          <w:tab w:leader="none" w:pos="1986" w:val="left"/>
        </w:tabs>
        <w:numPr>
          <w:ilvl w:val="2"/>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2024: assuming the Committee determines that 90% of the PSUs would have vested based on the likely level of achievement of the Performance Condition, then 900 PSUs would vest at the time of death (1,200 x 90% = 1,080 x 30 months / 36 months) = 900.</w:t>
      </w:r>
    </w:p>
    <w:p>
      <w:pPr>
        <w:spacing w:after="0" w:line="176" w:lineRule="exact"/>
        <w:rPr>
          <w:rFonts w:ascii="Times New Roman" w:cs="Times New Roman" w:eastAsia="Times New Roman" w:hAnsi="Times New Roman"/>
          <w:sz w:val="22"/>
          <w:szCs w:val="22"/>
          <w:color w:val="auto"/>
        </w:rPr>
      </w:pPr>
    </w:p>
    <w:p>
      <w:pPr>
        <w:ind w:left="1120" w:hanging="684"/>
        <w:spacing w:after="0"/>
        <w:tabs>
          <w:tab w:leader="none" w:pos="1120"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9" w:lineRule="exact"/>
        <w:rPr>
          <w:rFonts w:ascii="Times New Roman" w:cs="Times New Roman" w:eastAsia="Times New Roman" w:hAnsi="Times New Roman"/>
          <w:sz w:val="22"/>
          <w:szCs w:val="22"/>
          <w:color w:val="auto"/>
        </w:rPr>
      </w:pPr>
    </w:p>
    <w:p>
      <w:pPr>
        <w:ind w:left="420" w:firstLine="574"/>
        <w:spacing w:after="0" w:line="252" w:lineRule="auto"/>
        <w:tabs>
          <w:tab w:leader="none" w:pos="1407"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Retirement after the first anniversary of the Grant Date and prior to the Vesting Date, subject to the Participant’s execution and non-revocation of a customary release of claims in favor of the Company and its Affiliates and the Participant’s continuous compliance with the Restrictive Covenant Agreement, the Participant’s PSUs shall remain outstanding and eligible to vest on the Vesting Date, and the number of the Participant’s PSUs that vest on the Vesting Date will be equal to the product obtained by multiplying (i) the number of the Participant’s PSUs that would have vested pursuant to this Agreement if the Participant’s Termination of Service had not occurred, as determined by the Committee, by (ii) a fraction, the numerator of which is the Service Months (defined above as the number of full calendar months the Participant has been employed from the Grant Date through the date of termination) and the denominator of which is 36. For the avoidance of doubt, if the Participant violates the Restrictive Covenant Agreement prior to the Vesting Date, the Participant shall forfeit all outstanding, unvested PSUs as of the date of such violation.</w:t>
      </w:r>
    </w:p>
    <w:p>
      <w:pPr>
        <w:spacing w:after="0" w:line="200" w:lineRule="exact"/>
        <w:rPr>
          <w:sz w:val="20"/>
          <w:szCs w:val="20"/>
          <w:color w:val="auto"/>
        </w:rPr>
      </w:pPr>
    </w:p>
    <w:p>
      <w:pPr>
        <w:spacing w:after="0" w:line="3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20"/>
          </w:cols>
          <w:pgMar w:left="1440" w:top="1440" w:right="539" w:bottom="1440" w:gutter="0" w:footer="0" w:header="0"/>
        </w:sectPr>
      </w:pPr>
    </w:p>
    <w:bookmarkStart w:id="140" w:name="page141"/>
    <w:bookmarkEnd w:id="140"/>
    <w:p>
      <w:pPr>
        <w:spacing w:after="0" w:line="117" w:lineRule="exact"/>
        <w:rPr>
          <w:sz w:val="20"/>
          <w:szCs w:val="20"/>
          <w:color w:val="auto"/>
        </w:rPr>
      </w:pPr>
    </w:p>
    <w:p>
      <w:pPr>
        <w:ind w:left="420" w:right="300" w:firstLine="574"/>
        <w:spacing w:after="0" w:line="263" w:lineRule="auto"/>
        <w:tabs>
          <w:tab w:leader="none" w:pos="1463"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underlying the PSUs that vest following the Participant’s Termination of Service pursuant to this Section 5(b), if any, shall be distributed to the Participant pursuant to Section 3(d), and the remaining PSUs shall be forfeited.</w:t>
      </w:r>
    </w:p>
    <w:p>
      <w:pPr>
        <w:spacing w:after="0" w:line="163" w:lineRule="exact"/>
        <w:rPr>
          <w:rFonts w:ascii="Times New Roman" w:cs="Times New Roman" w:eastAsia="Times New Roman" w:hAnsi="Times New Roman"/>
          <w:sz w:val="22"/>
          <w:szCs w:val="22"/>
          <w:color w:val="auto"/>
        </w:rPr>
      </w:pPr>
    </w:p>
    <w:p>
      <w:pPr>
        <w:ind w:left="420" w:firstLine="574"/>
        <w:spacing w:after="0" w:line="254" w:lineRule="auto"/>
        <w:tabs>
          <w:tab w:leader="none" w:pos="1527"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9" w:lineRule="exact"/>
        <w:rPr>
          <w:rFonts w:ascii="Times New Roman" w:cs="Times New Roman" w:eastAsia="Times New Roman" w:hAnsi="Times New Roman"/>
          <w:sz w:val="22"/>
          <w:szCs w:val="22"/>
          <w:color w:val="auto"/>
        </w:rPr>
      </w:pPr>
    </w:p>
    <w:p>
      <w:pPr>
        <w:ind w:left="420" w:right="280" w:firstLine="574"/>
        <w:spacing w:after="0" w:line="284" w:lineRule="auto"/>
        <w:tabs>
          <w:tab w:leader="none" w:pos="1511"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PSUs on February 10, 2022:</w:t>
      </w:r>
    </w:p>
    <w:p>
      <w:pPr>
        <w:spacing w:after="0" w:line="130"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2022: none of such PSUs would</w:t>
      </w:r>
    </w:p>
    <w:p>
      <w:pPr>
        <w:spacing w:after="0" w:line="29"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w:t>
      </w:r>
    </w:p>
    <w:p>
      <w:pPr>
        <w:spacing w:after="0" w:line="207" w:lineRule="exact"/>
        <w:rPr>
          <w:rFonts w:ascii="Times New Roman" w:cs="Times New Roman" w:eastAsia="Times New Roman" w:hAnsi="Times New Roman"/>
          <w:sz w:val="22"/>
          <w:szCs w:val="22"/>
          <w:color w:val="auto"/>
        </w:rPr>
      </w:pPr>
    </w:p>
    <w:p>
      <w:pPr>
        <w:jc w:val="both"/>
        <w:ind w:left="1000" w:right="80" w:firstLine="480"/>
        <w:spacing w:after="0" w:line="256" w:lineRule="auto"/>
        <w:tabs>
          <w:tab w:leader="none" w:pos="1986"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2023: assuming the Committee determines that 120% of the PSUs vest based on the actual level of achievement of the Performance Condition, then on February 10, 2025, 720 PSUs would vest (1,200 x 120% = 1,440 x (18 months / 36 months) = 720.</w:t>
      </w:r>
    </w:p>
    <w:p>
      <w:pPr>
        <w:spacing w:after="0" w:line="176" w:lineRule="exact"/>
        <w:rPr>
          <w:rFonts w:ascii="Times New Roman" w:cs="Times New Roman" w:eastAsia="Times New Roman" w:hAnsi="Times New Roman"/>
          <w:sz w:val="22"/>
          <w:szCs w:val="22"/>
          <w:color w:val="auto"/>
        </w:rPr>
      </w:pPr>
    </w:p>
    <w:p>
      <w:pPr>
        <w:jc w:val="both"/>
        <w:ind w:left="1000" w:right="260" w:firstLine="480"/>
        <w:spacing w:after="0" w:line="261" w:lineRule="auto"/>
        <w:tabs>
          <w:tab w:leader="none" w:pos="1986" w:val="left"/>
        </w:tabs>
        <w:numPr>
          <w:ilvl w:val="2"/>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2024: assuming the Committee determines that 90% of the PSUs vest based on the actual level of achievement of the Performance Condition, then on February 10, 2025, 900 PSUs would vest (1,200 x 90% = 1,080 x 30 months / 36 months) = 900.</w:t>
      </w:r>
    </w:p>
    <w:p>
      <w:pPr>
        <w:spacing w:after="0" w:line="168" w:lineRule="exact"/>
        <w:rPr>
          <w:rFonts w:ascii="Times New Roman" w:cs="Times New Roman" w:eastAsia="Times New Roman" w:hAnsi="Times New Roman"/>
          <w:sz w:val="22"/>
          <w:szCs w:val="22"/>
          <w:color w:val="auto"/>
        </w:rPr>
      </w:pPr>
    </w:p>
    <w:p>
      <w:pPr>
        <w:ind w:left="900" w:hanging="464"/>
        <w:spacing w:after="0"/>
        <w:tabs>
          <w:tab w:leader="none" w:pos="900"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19" w:lineRule="exact"/>
        <w:rPr>
          <w:rFonts w:ascii="Times New Roman" w:cs="Times New Roman" w:eastAsia="Times New Roman" w:hAnsi="Times New Roman"/>
          <w:sz w:val="22"/>
          <w:szCs w:val="22"/>
          <w:color w:val="auto"/>
        </w:rPr>
      </w:pPr>
    </w:p>
    <w:p>
      <w:pPr>
        <w:ind w:left="420" w:right="120" w:firstLine="574"/>
        <w:spacing w:after="0" w:line="266" w:lineRule="auto"/>
        <w:tabs>
          <w:tab w:leader="none" w:pos="1407"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Enhanced Retirement More than Six Months but Less than Twelve Months Following the Grant Date. In the event of the Participant’s Termination of Service due to the Participant’s Enhanced Retirement more than six months after the Grant Date but prior to the first anniversary of the Grant Date, subject to the Participant’s execution and non-revocation of a customary release of claims in favor of the Company and its Affiliates and the Participant’s continuous compliance with the Extended Non-Compete (as defined below), the Participant’s PSUs shall remain outstanding and eligible to vest on the Vesting Date, and the number of the Participant’s PSUs that vest on the Vesting Date will be equal to the product obtained by multiplying (A) the number of the Participant’s PSUs that would have vested pursuant to this Agreement if</w:t>
      </w:r>
    </w:p>
    <w:p>
      <w:pPr>
        <w:spacing w:after="0" w:line="200" w:lineRule="exact"/>
        <w:rPr>
          <w:sz w:val="20"/>
          <w:szCs w:val="20"/>
          <w:color w:val="auto"/>
        </w:rPr>
      </w:pPr>
    </w:p>
    <w:p>
      <w:pPr>
        <w:spacing w:after="0" w:line="36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920"/>
          </w:cols>
          <w:pgMar w:left="1440" w:top="1440" w:right="539" w:bottom="1440" w:gutter="0" w:footer="0" w:header="0"/>
        </w:sectPr>
      </w:pPr>
    </w:p>
    <w:bookmarkStart w:id="141" w:name="page142"/>
    <w:bookmarkEnd w:id="141"/>
    <w:p>
      <w:pPr>
        <w:spacing w:after="0" w:line="117" w:lineRule="exact"/>
        <w:rPr>
          <w:sz w:val="20"/>
          <w:szCs w:val="20"/>
          <w:color w:val="auto"/>
        </w:rPr>
      </w:pPr>
    </w:p>
    <w:p>
      <w:pPr>
        <w:ind w:left="420" w:right="60"/>
        <w:spacing w:after="0" w:line="252" w:lineRule="auto"/>
        <w:rPr>
          <w:sz w:val="20"/>
          <w:szCs w:val="20"/>
          <w:color w:val="auto"/>
        </w:rPr>
      </w:pPr>
      <w:r>
        <w:rPr>
          <w:rFonts w:ascii="Times New Roman" w:cs="Times New Roman" w:eastAsia="Times New Roman" w:hAnsi="Times New Roman"/>
          <w:sz w:val="22"/>
          <w:szCs w:val="22"/>
          <w:color w:val="auto"/>
        </w:rPr>
        <w:t>the Participant’s Termination of Service had not occurred, as determined by the Committee, by (B) a fraction, the numerator of which is the Service Months (defined above as the number of full calendar months the Participant has been employed from the Grant Date through the date of termination) and the denominator of which is 36. For the avoidance of doubt, if the Participant violates the Extended Non-Compete prior to the Vesting Date, the Participant shall forfeit all outstanding, unvested PSUs as of the date of such violation. The Shares underlying the PSUs that vest following the Participant’s Termination of Service pursuant to this Section 5(c)(i), if any, shall be distributed to the Participant pursuant to Section 3(d) and the remaining PSUs shall be forfeited.</w:t>
      </w:r>
    </w:p>
    <w:p>
      <w:pPr>
        <w:spacing w:after="0" w:line="183" w:lineRule="exact"/>
        <w:rPr>
          <w:sz w:val="20"/>
          <w:szCs w:val="20"/>
          <w:color w:val="auto"/>
        </w:rPr>
      </w:pPr>
    </w:p>
    <w:p>
      <w:pPr>
        <w:ind w:left="420" w:firstLine="574"/>
        <w:spacing w:after="0" w:line="265" w:lineRule="auto"/>
        <w:tabs>
          <w:tab w:leader="none" w:pos="1467"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Enhanced Retirement After the First Anniversary of the Grant Date. In the event of the Participant’s Termination of Service due to the Participant’s Enhanced Retirement following the first anniversary of the Grant Date, subject to the Participant’s execution and non-revocation of a customary release of claims in favor of the Company and its Affiliates and the Participant’s continuous compliance with the Extended Non-Compete, the Participant’s PSUs shall remain outstanding and eligible to vest on the Vesting Date, and the number of PSUs that vest on the Vesting Date shall be determined by the Committee pursuant to this Agreement as if the Participant’s Termination of Services had not occurred. For the avoidance of doubt, if the Participant violates the Extended Non-Compete prior to the Vesting Date, the Participant shall forfeit all outstanding, unvested PSUs as of the date of such violation. The Shares underlying the PSUs that vest following the Participant’s Termination of Service pursuant to this Section 5(d)(ii), if any, shall be distributed to the Participant pursuant to Section 3(d) and the remaining PSUs shall be forfeited.</w:t>
      </w:r>
    </w:p>
    <w:p>
      <w:pPr>
        <w:spacing w:after="0" w:line="172" w:lineRule="exact"/>
        <w:rPr>
          <w:rFonts w:ascii="Times New Roman" w:cs="Times New Roman" w:eastAsia="Times New Roman" w:hAnsi="Times New Roman"/>
          <w:sz w:val="21"/>
          <w:szCs w:val="21"/>
          <w:color w:val="auto"/>
        </w:rPr>
      </w:pPr>
    </w:p>
    <w:p>
      <w:pPr>
        <w:ind w:left="1540" w:hanging="546"/>
        <w:spacing w:after="0"/>
        <w:tabs>
          <w:tab w:leader="none" w:pos="15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9" w:lineRule="exact"/>
        <w:rPr>
          <w:sz w:val="20"/>
          <w:szCs w:val="20"/>
          <w:color w:val="auto"/>
        </w:rPr>
      </w:pPr>
    </w:p>
    <w:p>
      <w:pPr>
        <w:ind w:left="420" w:right="30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 each of the following conditions is met, as determined by the Committee in its sole discretion:</w:t>
      </w:r>
    </w:p>
    <w:p>
      <w:pPr>
        <w:spacing w:after="0" w:line="171" w:lineRule="exact"/>
        <w:rPr>
          <w:sz w:val="20"/>
          <w:szCs w:val="20"/>
          <w:color w:val="auto"/>
        </w:rPr>
      </w:pPr>
    </w:p>
    <w:p>
      <w:pPr>
        <w:ind w:left="1000" w:right="120" w:firstLine="480"/>
        <w:spacing w:after="0" w:line="256" w:lineRule="auto"/>
        <w:tabs>
          <w:tab w:leader="none" w:pos="2002"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00" w:lineRule="exact"/>
        <w:rPr>
          <w:sz w:val="20"/>
          <w:szCs w:val="20"/>
          <w:color w:val="auto"/>
        </w:rPr>
      </w:pPr>
    </w:p>
    <w:p>
      <w:pPr>
        <w:spacing w:after="0" w:line="35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40"/>
          </w:cols>
          <w:pgMar w:left="1440" w:top="1440" w:right="519" w:bottom="1440" w:gutter="0" w:footer="0" w:header="0"/>
        </w:sectPr>
      </w:pPr>
    </w:p>
    <w:bookmarkStart w:id="142" w:name="page143"/>
    <w:bookmarkEnd w:id="142"/>
    <w:p>
      <w:pPr>
        <w:spacing w:after="0" w:line="117" w:lineRule="exact"/>
        <w:rPr>
          <w:sz w:val="20"/>
          <w:szCs w:val="20"/>
          <w:color w:val="auto"/>
        </w:rPr>
      </w:pPr>
    </w:p>
    <w:p>
      <w:pPr>
        <w:ind w:left="1880" w:right="220" w:firstLine="480"/>
        <w:spacing w:after="0" w:line="263" w:lineRule="auto"/>
        <w:tabs>
          <w:tab w:leader="none" w:pos="2870" w:val="left"/>
        </w:tabs>
        <w:numPr>
          <w:ilvl w:val="3"/>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Participant’s Termination of Service, the Participant enters into an extended restrictive covenant agreement in the form provided by the Company, which agreement 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ind w:left="1880" w:right="20" w:firstLine="480"/>
        <w:spacing w:after="0" w:line="263" w:lineRule="auto"/>
        <w:tabs>
          <w:tab w:leader="none" w:pos="2870" w:val="left"/>
        </w:tabs>
        <w:numPr>
          <w:ilvl w:val="3"/>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167" w:lineRule="exact"/>
        <w:rPr>
          <w:rFonts w:ascii="Times New Roman" w:cs="Times New Roman" w:eastAsia="Times New Roman" w:hAnsi="Times New Roman"/>
          <w:sz w:val="22"/>
          <w:szCs w:val="22"/>
          <w:color w:val="auto"/>
        </w:rPr>
      </w:pPr>
    </w:p>
    <w:p>
      <w:pPr>
        <w:ind w:left="1880" w:right="140" w:firstLine="480"/>
        <w:spacing w:after="0" w:line="271" w:lineRule="auto"/>
        <w:tabs>
          <w:tab w:leader="none" w:pos="2882" w:val="left"/>
        </w:tabs>
        <w:numPr>
          <w:ilvl w:val="3"/>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157" w:lineRule="exact"/>
        <w:rPr>
          <w:rFonts w:ascii="Times New Roman" w:cs="Times New Roman" w:eastAsia="Times New Roman" w:hAnsi="Times New Roman"/>
          <w:sz w:val="22"/>
          <w:szCs w:val="22"/>
          <w:color w:val="auto"/>
        </w:rPr>
      </w:pPr>
    </w:p>
    <w:p>
      <w:pPr>
        <w:ind w:left="1300" w:right="240" w:firstLine="574"/>
        <w:spacing w:after="0" w:line="271" w:lineRule="auto"/>
        <w:tabs>
          <w:tab w:leader="none" w:pos="2391" w:val="left"/>
        </w:tabs>
        <w:numPr>
          <w:ilvl w:val="2"/>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PSUs on February 10, 2022:</w:t>
      </w:r>
    </w:p>
    <w:p>
      <w:pPr>
        <w:spacing w:after="0" w:line="157" w:lineRule="exact"/>
        <w:rPr>
          <w:rFonts w:ascii="Times New Roman" w:cs="Times New Roman" w:eastAsia="Times New Roman" w:hAnsi="Times New Roman"/>
          <w:sz w:val="22"/>
          <w:szCs w:val="22"/>
          <w:color w:val="auto"/>
        </w:rPr>
      </w:pPr>
    </w:p>
    <w:p>
      <w:pPr>
        <w:ind w:left="1880" w:firstLine="480"/>
        <w:spacing w:after="0" w:line="284" w:lineRule="auto"/>
        <w:tabs>
          <w:tab w:leader="none" w:pos="2878" w:val="left"/>
        </w:tabs>
        <w:numPr>
          <w:ilvl w:val="3"/>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prior to August 10, 2022: none of such PSUs would vest.</w:t>
      </w:r>
    </w:p>
    <w:p>
      <w:pPr>
        <w:spacing w:after="0" w:line="143" w:lineRule="exact"/>
        <w:rPr>
          <w:rFonts w:ascii="Times New Roman" w:cs="Times New Roman" w:eastAsia="Times New Roman" w:hAnsi="Times New Roman"/>
          <w:sz w:val="22"/>
          <w:szCs w:val="22"/>
          <w:color w:val="auto"/>
        </w:rPr>
      </w:pPr>
    </w:p>
    <w:p>
      <w:pPr>
        <w:jc w:val="both"/>
        <w:ind w:left="1880" w:right="60" w:firstLine="480"/>
        <w:spacing w:after="0" w:line="256" w:lineRule="auto"/>
        <w:tabs>
          <w:tab w:leader="none" w:pos="2866" w:val="left"/>
        </w:tabs>
        <w:numPr>
          <w:ilvl w:val="3"/>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August 20, 2022: assuming the Committee determines that 120% of the PSUs vest based on the actual level of achievement of the Performance Condition, then on February 10, 2025, 240 PSUs would vest (1,200 x 120% = 1,440 x (6 months / 36 months) = 240.</w:t>
      </w:r>
    </w:p>
    <w:p>
      <w:pPr>
        <w:spacing w:after="0" w:line="176" w:lineRule="exact"/>
        <w:rPr>
          <w:rFonts w:ascii="Times New Roman" w:cs="Times New Roman" w:eastAsia="Times New Roman" w:hAnsi="Times New Roman"/>
          <w:sz w:val="22"/>
          <w:szCs w:val="22"/>
          <w:color w:val="auto"/>
        </w:rPr>
      </w:pPr>
    </w:p>
    <w:p>
      <w:pPr>
        <w:ind w:left="1880" w:right="280" w:firstLine="480"/>
        <w:spacing w:after="0" w:line="281" w:lineRule="auto"/>
        <w:tabs>
          <w:tab w:leader="none" w:pos="2866" w:val="left"/>
        </w:tabs>
        <w:numPr>
          <w:ilvl w:val="3"/>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Service due to Enhanced Retirement on August 20, 2023: assuming the Committee determines that 90% of the PSUs vest based on the actual level of achievement of the Performance Condition, then on February 10, 2025, 1,080 PSUs would vest (1,200 x 90% = 1,080).</w:t>
      </w:r>
    </w:p>
    <w:p>
      <w:pPr>
        <w:spacing w:after="0" w:line="150" w:lineRule="exact"/>
        <w:rPr>
          <w:rFonts w:ascii="Times New Roman" w:cs="Times New Roman" w:eastAsia="Times New Roman" w:hAnsi="Times New Roman"/>
          <w:sz w:val="21"/>
          <w:szCs w:val="21"/>
          <w:color w:val="auto"/>
        </w:rPr>
      </w:pPr>
    </w:p>
    <w:p>
      <w:pPr>
        <w:jc w:val="both"/>
        <w:ind w:left="1880" w:right="260" w:firstLine="480"/>
        <w:spacing w:after="0" w:line="281" w:lineRule="auto"/>
        <w:tabs>
          <w:tab w:leader="none" w:pos="2878" w:val="left"/>
        </w:tabs>
        <w:numPr>
          <w:ilvl w:val="3"/>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Service due to Retirement on August 20, 2024: assuming the Committee determines that 110% of the PSUs vest based on the actual level of achievement of the Performance Condition, then on February 10, 2025, 1,320 PSUs would vest (1,200 x 110% = 1,320).</w:t>
      </w:r>
    </w:p>
    <w:p>
      <w:pPr>
        <w:spacing w:after="0" w:line="133" w:lineRule="exact"/>
        <w:rPr>
          <w:rFonts w:ascii="Times New Roman" w:cs="Times New Roman" w:eastAsia="Times New Roman" w:hAnsi="Times New Roman"/>
          <w:sz w:val="21"/>
          <w:szCs w:val="21"/>
          <w:color w:val="auto"/>
        </w:rPr>
      </w:pPr>
    </w:p>
    <w:p>
      <w:pPr>
        <w:ind w:left="-60" w:firstLine="688"/>
        <w:spacing w:after="0" w:line="287" w:lineRule="auto"/>
        <w:tabs>
          <w:tab w:leader="none" w:pos="99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 Change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 prior to the Vesting Date:</w:t>
      </w:r>
    </w:p>
    <w:p>
      <w:pPr>
        <w:spacing w:after="0" w:line="141" w:lineRule="exact"/>
        <w:rPr>
          <w:rFonts w:ascii="Times New Roman" w:cs="Times New Roman" w:eastAsia="Times New Roman" w:hAnsi="Times New Roman"/>
          <w:sz w:val="22"/>
          <w:szCs w:val="22"/>
          <w:color w:val="auto"/>
        </w:rPr>
      </w:pPr>
    </w:p>
    <w:p>
      <w:pPr>
        <w:ind w:left="600" w:right="200" w:firstLine="716"/>
        <w:spacing w:after="0" w:line="252" w:lineRule="auto"/>
        <w:tabs>
          <w:tab w:leader="none" w:pos="1707"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Award is continued, assumed or replaced in connection with the Change in Control and, within twelve (12) months following the effective date of the Change in Control, there is a Termination of Service without Cause or the Participant’s position is materially reduced in renumeration or scope of duties and the Participant voluntarily terminates employment, or</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760"/>
          </w:cols>
          <w:pgMar w:left="560" w:top="1440" w:right="579" w:bottom="1440" w:gutter="0" w:footer="0" w:header="0"/>
        </w:sectPr>
      </w:pPr>
    </w:p>
    <w:bookmarkStart w:id="143" w:name="page144"/>
    <w:bookmarkEnd w:id="143"/>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22"/>
          <w:szCs w:val="22"/>
          <w:color w:val="auto"/>
        </w:rPr>
        <w:t>(b) if this Award is not continued, assumed or replaced in connection with the Change in Control,</w:t>
      </w:r>
    </w:p>
    <w:p>
      <w:pPr>
        <w:spacing w:after="0" w:line="19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 xml:space="preserve">then, subject to the Participant’s execution and non-revocation of a customary release of claims in favor of the Company and its Affiliates prior to such termination (in the case of (a) above) or Change in Control (in the case of (b) above), any unvested PSUs shall vest effective as of the date of such termination (in the case of (a) above) or Change in Control (in the case of (b) above) based on the likely level of achievement of the Performance Condition or, with respect to any unvested PSUs for which the Performance Period was completed prior to such termination (in the case of (a) above) or Change in Control (in the case of (b) above), based on the actual level of achievement of the Performance Condition, in each case, as determined in the sole discretion of the Committee, and the Shares underlying the PSUs shall be distributed to the Participant pursuant to Section 3(d) upon such termination (in the case of (a) above) or Change in Control (in the case of (b) above);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PSUs to which Section 19 of the Plan applies because such PSUs constitute “deferred compensation” (as defined in Section 409A and 457A of the Code), the PSUs shall be treated as if (b) above applies and,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 set forth in this Agreement pursuant to Section 3(d), except to the extent that earlier distribution would not result in the Participant incurring any additional tax, penalty, interest or other expense under Section 409A and 457A of the Code.</w:t>
      </w:r>
    </w:p>
    <w:p>
      <w:pPr>
        <w:spacing w:after="0" w:line="16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2"/>
          <w:szCs w:val="22"/>
          <w:color w:val="auto"/>
        </w:rPr>
        <w:t>For purposes of this Section 6, this Award shall be considered assumed or replaced if, in connection with the Change in Control and in a manner consistent with Code Section 409A, either (i) the contractual obligations represented by the Award are expressly assumed by the surviving or successor entity (or its parent) with appropriate adjustments to the number and type of securities subject to the Award that preserves the intrinsic value of the Award existing at the time of the Change in Control, or (ii) the Participant has received a comparable equity-based award that preserves the intrinsic value of the Award existing at the time of the Change in Control and contains terms and conditions that are substantially similar to those of the Award.</w:t>
      </w:r>
    </w:p>
    <w:p>
      <w:pPr>
        <w:spacing w:after="0" w:line="336" w:lineRule="exact"/>
        <w:rPr>
          <w:sz w:val="20"/>
          <w:szCs w:val="20"/>
          <w:color w:val="auto"/>
        </w:rPr>
      </w:pPr>
    </w:p>
    <w:p>
      <w:pPr>
        <w:ind w:left="1060" w:hanging="372"/>
        <w:spacing w:after="0"/>
        <w:tabs>
          <w:tab w:leader="none" w:pos="1060"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ind w:left="660" w:right="280" w:firstLine="729"/>
        <w:spacing w:after="0" w:line="256" w:lineRule="auto"/>
        <w:tabs>
          <w:tab w:leader="none" w:pos="1844"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PSUs granted hereunder and any related dividend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820"/>
          </w:cols>
          <w:pgMar w:left="500" w:top="1440" w:right="579" w:bottom="1440" w:gutter="0" w:footer="0" w:header="0"/>
        </w:sectPr>
      </w:pPr>
    </w:p>
    <w:bookmarkStart w:id="144" w:name="page145"/>
    <w:bookmarkEnd w:id="144"/>
    <w:p>
      <w:pPr>
        <w:ind w:left="600" w:right="40" w:firstLine="729"/>
        <w:spacing w:after="0" w:line="268" w:lineRule="auto"/>
        <w:tabs>
          <w:tab w:leader="none" w:pos="1797" w:val="left"/>
        </w:tabs>
        <w:numPr>
          <w:ilvl w:val="1"/>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PSUs or Shares issuable under the PSUs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133" w:lineRule="exact"/>
        <w:rPr>
          <w:rFonts w:ascii="Times New Roman" w:cs="Times New Roman" w:eastAsia="Times New Roman" w:hAnsi="Times New Roman"/>
          <w:sz w:val="21"/>
          <w:szCs w:val="21"/>
          <w:color w:val="auto"/>
        </w:rPr>
      </w:pPr>
    </w:p>
    <w:p>
      <w:pPr>
        <w:ind w:left="-60" w:right="340" w:firstLine="688"/>
        <w:spacing w:after="0" w:line="254" w:lineRule="auto"/>
        <w:tabs>
          <w:tab w:leader="none" w:pos="99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175" w:lineRule="exact"/>
        <w:rPr>
          <w:rFonts w:ascii="Times New Roman" w:cs="Times New Roman" w:eastAsia="Times New Roman" w:hAnsi="Times New Roman"/>
          <w:sz w:val="22"/>
          <w:szCs w:val="22"/>
          <w:color w:val="auto"/>
        </w:rPr>
      </w:pPr>
    </w:p>
    <w:p>
      <w:pPr>
        <w:ind w:left="-60" w:firstLine="688"/>
        <w:spacing w:after="0" w:line="249" w:lineRule="auto"/>
        <w:tabs>
          <w:tab w:leader="none" w:pos="99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 cooperating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181" w:lineRule="exact"/>
        <w:rPr>
          <w:rFonts w:ascii="Times New Roman" w:cs="Times New Roman" w:eastAsia="Times New Roman" w:hAnsi="Times New Roman"/>
          <w:sz w:val="22"/>
          <w:szCs w:val="22"/>
          <w:color w:val="auto"/>
        </w:rPr>
      </w:pPr>
    </w:p>
    <w:p>
      <w:pPr>
        <w:ind w:left="-60" w:right="620" w:firstLine="579"/>
        <w:spacing w:after="0" w:line="299" w:lineRule="auto"/>
        <w:tabs>
          <w:tab w:leader="none" w:pos="997"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27" w:lineRule="exact"/>
        <w:rPr>
          <w:rFonts w:ascii="Times New Roman" w:cs="Times New Roman" w:eastAsia="Times New Roman" w:hAnsi="Times New Roman"/>
          <w:sz w:val="21"/>
          <w:szCs w:val="21"/>
          <w:color w:val="auto"/>
        </w:rPr>
      </w:pPr>
    </w:p>
    <w:p>
      <w:pPr>
        <w:ind w:left="-60" w:right="60" w:firstLine="579"/>
        <w:spacing w:after="0" w:line="265" w:lineRule="auto"/>
        <w:tabs>
          <w:tab w:leader="none" w:pos="988"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recoupment or “clawback” as may be required by applicable law, stock exchange rules or by any applicable Company policy or arrangement the Company has in place from time to time.</w:t>
      </w:r>
    </w:p>
    <w:p>
      <w:pPr>
        <w:spacing w:after="0" w:line="161" w:lineRule="exact"/>
        <w:rPr>
          <w:rFonts w:ascii="Times New Roman" w:cs="Times New Roman" w:eastAsia="Times New Roman" w:hAnsi="Times New Roman"/>
          <w:sz w:val="22"/>
          <w:szCs w:val="22"/>
          <w:color w:val="auto"/>
        </w:rPr>
      </w:pPr>
    </w:p>
    <w:p>
      <w:pPr>
        <w:ind w:left="-60" w:right="240" w:firstLine="579"/>
        <w:spacing w:after="0" w:line="287" w:lineRule="auto"/>
        <w:tabs>
          <w:tab w:leader="none" w:pos="99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80"/>
          </w:cols>
          <w:pgMar w:left="560" w:top="1340" w:right="559" w:bottom="1440" w:gutter="0" w:footer="0" w:header="0"/>
        </w:sectPr>
      </w:pPr>
    </w:p>
    <w:bookmarkStart w:id="145" w:name="page146"/>
    <w:bookmarkEnd w:id="145"/>
    <w:p>
      <w:pPr>
        <w:spacing w:after="0" w:line="103" w:lineRule="exact"/>
        <w:rPr>
          <w:sz w:val="20"/>
          <w:szCs w:val="20"/>
          <w:color w:val="auto"/>
        </w:rPr>
      </w:pPr>
    </w:p>
    <w:p>
      <w:pPr>
        <w:ind w:right="680"/>
        <w:spacing w:after="0" w:line="284" w:lineRule="auto"/>
        <w:rPr>
          <w:sz w:val="20"/>
          <w:szCs w:val="20"/>
          <w:color w:val="auto"/>
        </w:rPr>
      </w:pPr>
      <w:r>
        <w:rPr>
          <w:rFonts w:ascii="Times New Roman" w:cs="Times New Roman" w:eastAsia="Times New Roman" w:hAnsi="Times New Roman"/>
          <w:sz w:val="22"/>
          <w:szCs w:val="22"/>
          <w:color w:val="auto"/>
        </w:rPr>
        <w:t>regard to whether specific reference to such legal representative or estate is contained in a particular provision of this Agreement.</w:t>
      </w:r>
    </w:p>
    <w:p>
      <w:pPr>
        <w:spacing w:after="0" w:line="180" w:lineRule="exact"/>
        <w:rPr>
          <w:sz w:val="20"/>
          <w:szCs w:val="20"/>
          <w:color w:val="auto"/>
        </w:rPr>
      </w:pPr>
    </w:p>
    <w:p>
      <w:pPr>
        <w:ind w:left="1060" w:hanging="481"/>
        <w:spacing w:after="0"/>
        <w:tabs>
          <w:tab w:leader="none" w:pos="106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46" w:lineRule="exact"/>
        <w:rPr>
          <w:rFonts w:ascii="Times New Roman" w:cs="Times New Roman" w:eastAsia="Times New Roman" w:hAnsi="Times New Roman"/>
          <w:sz w:val="22"/>
          <w:szCs w:val="22"/>
          <w:color w:val="auto"/>
        </w:rPr>
      </w:pPr>
    </w:p>
    <w:p>
      <w:pPr>
        <w:ind w:left="660" w:right="140" w:firstLine="729"/>
        <w:spacing w:after="0" w:line="262" w:lineRule="auto"/>
        <w:tabs>
          <w:tab w:leader="none" w:pos="1848"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Any notice required or permitted to be given under this Agreement shall be in writing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4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Lake Forest, Illinois 60045 Attention: Valerie Miller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34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47" w:lineRule="exact"/>
        <w:rPr>
          <w:sz w:val="20"/>
          <w:szCs w:val="20"/>
          <w:color w:val="auto"/>
        </w:rPr>
      </w:pPr>
    </w:p>
    <w:p>
      <w:pPr>
        <w:ind w:left="1300" w:right="100"/>
        <w:spacing w:after="0" w:line="263"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163" w:lineRule="exact"/>
        <w:rPr>
          <w:sz w:val="20"/>
          <w:szCs w:val="20"/>
          <w:color w:val="auto"/>
        </w:rPr>
      </w:pPr>
    </w:p>
    <w:p>
      <w:pPr>
        <w:ind w:left="660" w:firstLine="716"/>
        <w:spacing w:after="0" w:line="253" w:lineRule="auto"/>
        <w:tabs>
          <w:tab w:leader="none" w:pos="1847"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the Plan and any other agreements, schedules, exhibits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 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168" w:lineRule="exact"/>
        <w:rPr>
          <w:rFonts w:ascii="Times New Roman" w:cs="Times New Roman" w:eastAsia="Times New Roman" w:hAnsi="Times New Roman"/>
          <w:sz w:val="22"/>
          <w:szCs w:val="22"/>
          <w:color w:val="auto"/>
        </w:rPr>
      </w:pPr>
    </w:p>
    <w:p>
      <w:pPr>
        <w:ind w:left="660" w:right="80" w:firstLine="729"/>
        <w:spacing w:after="0" w:line="299" w:lineRule="auto"/>
        <w:tabs>
          <w:tab w:leader="none" w:pos="184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Sections 409A and 457A of the Code</w:t>
      </w:r>
      <w:r>
        <w:rPr>
          <w:rFonts w:ascii="Times New Roman" w:cs="Times New Roman" w:eastAsia="Times New Roman" w:hAnsi="Times New Roman"/>
          <w:sz w:val="21"/>
          <w:szCs w:val="21"/>
          <w:color w:val="auto"/>
        </w:rPr>
        <w:t>. For the avoidance of doubt, to the extent that this Award is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subject to Section 409A and/or Section 457A of the Code, the Award is intended to comply with the requirements of</w:t>
      </w:r>
    </w:p>
    <w:p>
      <w:pPr>
        <w:spacing w:after="0" w:line="200" w:lineRule="exact"/>
        <w:rPr>
          <w:sz w:val="20"/>
          <w:szCs w:val="20"/>
          <w:color w:val="auto"/>
        </w:rPr>
      </w:pP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800"/>
          </w:cols>
          <w:pgMar w:left="500" w:top="1440" w:right="599" w:bottom="1440" w:gutter="0" w:footer="0" w:header="0"/>
        </w:sectPr>
      </w:pPr>
    </w:p>
    <w:bookmarkStart w:id="146" w:name="page147"/>
    <w:bookmarkEnd w:id="146"/>
    <w:p>
      <w:pPr>
        <w:spacing w:after="0" w:line="10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Sections 409A and 457A of the Code, and the provisions of the Award shall be interpreted in a manner that satisfies the requirements of Sections 409A and 457A of the Code. Section 19 of the Plan is hereby incorporated by reference.</w:t>
      </w:r>
    </w:p>
    <w:p>
      <w:pPr>
        <w:spacing w:after="0" w:line="163" w:lineRule="exact"/>
        <w:rPr>
          <w:sz w:val="20"/>
          <w:szCs w:val="20"/>
          <w:color w:val="auto"/>
        </w:rPr>
      </w:pPr>
    </w:p>
    <w:p>
      <w:pPr>
        <w:ind w:right="40" w:firstLine="716"/>
        <w:spacing w:after="0" w:line="254" w:lineRule="auto"/>
        <w:tabs>
          <w:tab w:leader="none" w:pos="11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175" w:lineRule="exact"/>
        <w:rPr>
          <w:rFonts w:ascii="Times New Roman" w:cs="Times New Roman" w:eastAsia="Times New Roman" w:hAnsi="Times New Roman"/>
          <w:sz w:val="22"/>
          <w:szCs w:val="22"/>
          <w:color w:val="auto"/>
        </w:rPr>
      </w:pPr>
    </w:p>
    <w:p>
      <w:pPr>
        <w:ind w:firstLine="729"/>
        <w:spacing w:after="0" w:line="249" w:lineRule="auto"/>
        <w:tabs>
          <w:tab w:leader="none" w:pos="118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Waiver</w:t>
      </w:r>
      <w:r>
        <w:rPr>
          <w:rFonts w:ascii="Times New Roman" w:cs="Times New Roman" w:eastAsia="Times New Roman" w:hAnsi="Times New Roman"/>
          <w:sz w:val="22"/>
          <w:szCs w:val="22"/>
          <w:color w:val="auto"/>
        </w:rPr>
        <w:t>. 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material adverse effect on the Participant shall be effective unless signed in writing by or on behalf of the Company and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181" w:lineRule="exact"/>
        <w:rPr>
          <w:rFonts w:ascii="Times New Roman" w:cs="Times New Roman" w:eastAsia="Times New Roman" w:hAnsi="Times New Roman"/>
          <w:sz w:val="22"/>
          <w:szCs w:val="22"/>
          <w:color w:val="auto"/>
        </w:rPr>
      </w:pPr>
    </w:p>
    <w:p>
      <w:pPr>
        <w:ind w:right="200" w:firstLine="755"/>
        <w:spacing w:after="0" w:line="275" w:lineRule="auto"/>
        <w:tabs>
          <w:tab w:leader="none" w:pos="1190"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49" w:lineRule="exact"/>
        <w:rPr>
          <w:rFonts w:ascii="Times New Roman" w:cs="Times New Roman" w:eastAsia="Times New Roman" w:hAnsi="Times New Roman"/>
          <w:sz w:val="22"/>
          <w:szCs w:val="22"/>
          <w:color w:val="auto"/>
        </w:rPr>
      </w:pPr>
    </w:p>
    <w:p>
      <w:pPr>
        <w:ind w:right="20" w:firstLine="716"/>
        <w:spacing w:after="0" w:line="257" w:lineRule="auto"/>
        <w:tabs>
          <w:tab w:leader="none" w:pos="11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 and Assigns; No Third-Party Beneficiaries</w:t>
      </w:r>
      <w:r>
        <w:rPr>
          <w:rFonts w:ascii="Times New Roman" w:cs="Times New Roman" w:eastAsia="Times New Roman" w:hAnsi="Times New Roman"/>
          <w:sz w:val="22"/>
          <w:szCs w:val="22"/>
          <w:color w:val="auto"/>
        </w:rPr>
        <w:t>. This Agreement shall inure to the benefit of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211" w:lineRule="exact"/>
        <w:rPr>
          <w:rFonts w:ascii="Times New Roman" w:cs="Times New Roman" w:eastAsia="Times New Roman" w:hAnsi="Times New Roman"/>
          <w:sz w:val="22"/>
          <w:szCs w:val="22"/>
          <w:color w:val="auto"/>
        </w:rPr>
      </w:pPr>
    </w:p>
    <w:p>
      <w:pPr>
        <w:ind w:right="240" w:firstLine="716"/>
        <w:spacing w:after="0" w:line="254" w:lineRule="auto"/>
        <w:tabs>
          <w:tab w:leader="none" w:pos="1187"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Governing Law; Waiver of Jury Trial</w:t>
      </w:r>
      <w:r>
        <w:rPr>
          <w:rFonts w:ascii="Times New Roman" w:cs="Times New Roman" w:eastAsia="Times New Roman" w:hAnsi="Times New Roman"/>
          <w:sz w:val="22"/>
          <w:szCs w:val="22"/>
          <w:color w:val="auto"/>
        </w:rPr>
        <w:t>. 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200" w:lineRule="exact"/>
        <w:rPr>
          <w:sz w:val="20"/>
          <w:szCs w:val="20"/>
          <w:color w:val="auto"/>
        </w:rPr>
      </w:pPr>
    </w:p>
    <w:p>
      <w:pPr>
        <w:spacing w:after="0" w:line="37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160"/>
          </w:cols>
          <w:pgMar w:left="1160" w:top="1440" w:right="579" w:bottom="1440" w:gutter="0" w:footer="0" w:header="0"/>
        </w:sectPr>
      </w:pPr>
    </w:p>
    <w:bookmarkStart w:id="147" w:name="page148"/>
    <w:bookmarkEnd w:id="147"/>
    <w:p>
      <w:pPr>
        <w:spacing w:after="0" w:line="99" w:lineRule="exact"/>
        <w:rPr>
          <w:sz w:val="20"/>
          <w:szCs w:val="20"/>
          <w:color w:val="auto"/>
        </w:rPr>
      </w:pPr>
    </w:p>
    <w:p>
      <w:pPr>
        <w:ind w:firstLine="768"/>
        <w:spacing w:after="0" w:line="262" w:lineRule="auto"/>
        <w:tabs>
          <w:tab w:leader="none" w:pos="1191"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Dispute Resolution</w:t>
      </w:r>
      <w:r>
        <w:rPr>
          <w:rFonts w:ascii="Times New Roman" w:cs="Times New Roman" w:eastAsia="Times New Roman" w:hAnsi="Times New Roman"/>
          <w:sz w:val="21"/>
          <w:szCs w:val="21"/>
          <w:color w:val="auto"/>
        </w:rPr>
        <w:t>. Any dispute or claim arising out of, under or in connection with the Plan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136" w:lineRule="exact"/>
        <w:rPr>
          <w:rFonts w:ascii="Times New Roman" w:cs="Times New Roman" w:eastAsia="Times New Roman" w:hAnsi="Times New Roman"/>
          <w:sz w:val="21"/>
          <w:szCs w:val="21"/>
          <w:color w:val="auto"/>
        </w:rPr>
      </w:pPr>
    </w:p>
    <w:p>
      <w:pPr>
        <w:ind w:right="320" w:firstLine="768"/>
        <w:spacing w:after="0" w:line="250" w:lineRule="auto"/>
        <w:tabs>
          <w:tab w:leader="none" w:pos="11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Participant Undertaking; Acceptance</w:t>
      </w:r>
      <w:r>
        <w:rPr>
          <w:rFonts w:ascii="Times New Roman" w:cs="Times New Roman" w:eastAsia="Times New Roman" w:hAnsi="Times New Roman"/>
          <w:sz w:val="22"/>
          <w:szCs w:val="22"/>
          <w:color w:val="auto"/>
        </w:rPr>
        <w:t>. 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166" w:lineRule="exact"/>
        <w:rPr>
          <w:rFonts w:ascii="Times New Roman" w:cs="Times New Roman" w:eastAsia="Times New Roman" w:hAnsi="Times New Roman"/>
          <w:sz w:val="22"/>
          <w:szCs w:val="22"/>
          <w:color w:val="auto"/>
        </w:rPr>
      </w:pPr>
    </w:p>
    <w:p>
      <w:pPr>
        <w:ind w:right="280" w:firstLine="716"/>
        <w:spacing w:after="0" w:line="287" w:lineRule="auto"/>
        <w:tabs>
          <w:tab w:leader="none" w:pos="1187"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Captions</w:t>
      </w:r>
      <w:r>
        <w:rPr>
          <w:rFonts w:ascii="Times New Roman" w:cs="Times New Roman" w:eastAsia="Times New Roman" w:hAnsi="Times New Roman"/>
          <w:sz w:val="22"/>
          <w:szCs w:val="22"/>
          <w:color w:val="auto"/>
        </w:rPr>
        <w:t>. 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137" w:lineRule="exact"/>
        <w:rPr>
          <w:rFonts w:ascii="Times New Roman" w:cs="Times New Roman" w:eastAsia="Times New Roman" w:hAnsi="Times New Roman"/>
          <w:sz w:val="22"/>
          <w:szCs w:val="22"/>
          <w:color w:val="auto"/>
        </w:rPr>
      </w:pPr>
    </w:p>
    <w:p>
      <w:pPr>
        <w:ind w:left="1180" w:hanging="412"/>
        <w:spacing w:after="0"/>
        <w:tabs>
          <w:tab w:leader="none" w:pos="1180"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two counterparts, each of which shall</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constitute one and the same instrument.</w:t>
      </w:r>
    </w:p>
    <w:p>
      <w:pPr>
        <w:spacing w:after="0" w:line="246"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0200"/>
          </w:cols>
          <w:pgMar w:left="1160" w:top="1440" w:right="539" w:bottom="1440" w:gutter="0" w:footer="0" w:header="0"/>
        </w:sectPr>
      </w:pPr>
    </w:p>
    <w:bookmarkStart w:id="148" w:name="page149"/>
    <w:bookmarkEnd w:id="148"/>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36830</wp:posOffset>
            </wp:positionV>
            <wp:extent cx="23914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Scott E. Huckins</w:t>
      </w:r>
    </w:p>
    <w:p>
      <w:pPr>
        <w:ind w:left="342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%%FIRST_NAME_LAST_NAME%-%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35560</wp:posOffset>
            </wp:positionV>
            <wp:extent cx="343725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-7620</wp:posOffset>
            </wp:positionV>
            <wp:extent cx="5708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ectPr>
          <w:pgSz w:w="11900" w:h="16838" w:orient="portrait"/>
          <w:cols w:equalWidth="0" w:num="1">
            <w:col w:w="10360"/>
          </w:cols>
          <w:pgMar w:left="400" w:top="1016" w:right="1139" w:bottom="1440" w:gutter="0" w:footer="0" w:header="0"/>
        </w:sectPr>
      </w:pPr>
    </w:p>
    <w:bookmarkStart w:id="149" w:name="page150"/>
    <w:bookmarkEnd w:id="149"/>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Conditions</w:t>
      </w:r>
    </w:p>
    <w:p>
      <w:pPr>
        <w:sectPr>
          <w:pgSz w:w="11900" w:h="16838" w:orient="portrait"/>
          <w:cols w:equalWidth="0" w:num="1">
            <w:col w:w="9019"/>
          </w:cols>
          <w:pgMar w:left="1440" w:top="1012" w:right="1440"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2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b w:val="1"/>
          <w:bCs w:val="1"/>
          <w:color w:val="auto"/>
        </w:rPr>
        <w:t>NOTICE OF RESTRICTED STOCK UNIT AWARD</w:t>
      </w:r>
    </w:p>
    <w:p>
      <w:pPr>
        <w:spacing w:after="0" w:line="1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%%OPTION_DATE,'Month DD, YYYY'%-%</w:t>
      </w:r>
    </w:p>
    <w:p>
      <w:pPr>
        <w:spacing w:after="0" w:line="243" w:lineRule="exact"/>
        <w:rPr>
          <w:sz w:val="20"/>
          <w:szCs w:val="20"/>
          <w:color w:val="auto"/>
        </w:rPr>
      </w:pPr>
    </w:p>
    <w:p>
      <w:pPr>
        <w:ind w:left="100" w:right="260"/>
        <w:spacing w:after="0" w:line="252" w:lineRule="auto"/>
        <w:rPr>
          <w:sz w:val="20"/>
          <w:szCs w:val="20"/>
          <w:color w:val="auto"/>
        </w:rPr>
      </w:pPr>
      <w:r>
        <w:rPr>
          <w:rFonts w:ascii="Times New Roman" w:cs="Times New Roman" w:eastAsia="Times New Roman" w:hAnsi="Times New Roman"/>
          <w:sz w:val="22"/>
          <w:szCs w:val="22"/>
          <w:color w:val="auto"/>
        </w:rPr>
        <w:t>Reynolds Consumer Products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has granted the Participant, effective as of the Grant Date (as set forth below), a Restricted Stock Unit Award (the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under the Reynolds Consumer Products Inc. Equity Incentive Plan (as amended from time to time,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The Award is subject to the terms and conditions set forth in this award grant letter (this “</w:t>
      </w:r>
      <w:r>
        <w:rPr>
          <w:rFonts w:ascii="Times New Roman" w:cs="Times New Roman" w:eastAsia="Times New Roman" w:hAnsi="Times New Roman"/>
          <w:sz w:val="22"/>
          <w:szCs w:val="22"/>
          <w:b w:val="1"/>
          <w:bCs w:val="1"/>
          <w:color w:val="auto"/>
        </w:rPr>
        <w:t>Grant Letter</w:t>
      </w:r>
      <w:r>
        <w:rPr>
          <w:rFonts w:ascii="Times New Roman" w:cs="Times New Roman" w:eastAsia="Times New Roman" w:hAnsi="Times New Roman"/>
          <w:sz w:val="22"/>
          <w:szCs w:val="22"/>
          <w:color w:val="auto"/>
        </w:rPr>
        <w:t xml:space="preserve">”), the Restricted Stock Unit award agreement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all exhibits and appendices thereto) (the “</w:t>
      </w:r>
      <w:r>
        <w:rPr>
          <w:rFonts w:ascii="Times New Roman" w:cs="Times New Roman" w:eastAsia="Times New Roman" w:hAnsi="Times New Roman"/>
          <w:sz w:val="22"/>
          <w:szCs w:val="22"/>
          <w:b w:val="1"/>
          <w:bCs w:val="1"/>
          <w:color w:val="auto"/>
        </w:rPr>
        <w:t>Award Agreement</w:t>
      </w:r>
      <w:r>
        <w:rPr>
          <w:rFonts w:ascii="Times New Roman" w:cs="Times New Roman" w:eastAsia="Times New Roman" w:hAnsi="Times New Roman"/>
          <w:sz w:val="22"/>
          <w:szCs w:val="22"/>
          <w:color w:val="auto"/>
        </w:rPr>
        <w:t>” and, together with this Grant Letter,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219" w:lineRule="exact"/>
        <w:rPr>
          <w:sz w:val="20"/>
          <w:szCs w:val="20"/>
          <w:color w:val="auto"/>
        </w:rPr>
      </w:pPr>
    </w:p>
    <w:p>
      <w:pPr>
        <w:ind w:left="100" w:right="24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ectPr>
          <w:pgSz w:w="11900" w:h="16838" w:orient="portrait"/>
          <w:cols w:equalWidth="0" w:num="1">
            <w:col w:w="10920"/>
          </w:cols>
          <w:pgMar w:left="64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Number Restricted Stock Units:</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jc w:val="center"/>
        <w:ind w:right="3820"/>
        <w:spacing w:after="0"/>
        <w:rPr>
          <w:sz w:val="20"/>
          <w:szCs w:val="20"/>
          <w:color w:val="auto"/>
        </w:rPr>
      </w:pPr>
      <w:r>
        <w:rPr>
          <w:rFonts w:ascii="Times New Roman" w:cs="Times New Roman" w:eastAsia="Times New Roman" w:hAnsi="Times New Roman"/>
          <w:sz w:val="22"/>
          <w:szCs w:val="22"/>
          <w:b w:val="1"/>
          <w:bCs w:val="1"/>
          <w:color w:val="auto"/>
        </w:rPr>
        <w:t>AWARD TERMS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ind w:right="2640"/>
        <w:spacing w:after="0" w:line="268" w:lineRule="auto"/>
        <w:rPr>
          <w:sz w:val="20"/>
          <w:szCs w:val="20"/>
          <w:color w:val="auto"/>
        </w:rPr>
      </w:pPr>
      <w:r>
        <w:rPr>
          <w:rFonts w:ascii="Times New Roman" w:cs="Times New Roman" w:eastAsia="Times New Roman" w:hAnsi="Times New Roman"/>
          <w:sz w:val="22"/>
          <w:szCs w:val="22"/>
          <w:color w:val="auto"/>
        </w:rPr>
        <w:t>%%TOTAL_SHARES_GRANTED,'999,999,999'%-% Shares</w:t>
      </w:r>
    </w:p>
    <w:p>
      <w:pPr>
        <w:spacing w:after="0" w:line="2" w:lineRule="exact"/>
        <w:rPr>
          <w:sz w:val="20"/>
          <w:szCs w:val="20"/>
          <w:color w:val="auto"/>
        </w:rPr>
      </w:pPr>
    </w:p>
    <w:p>
      <w:pPr>
        <w:ind w:right="336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560"/>
        <w:spacing w:after="0" w:line="248" w:lineRule="auto"/>
        <w:rPr>
          <w:sz w:val="20"/>
          <w:szCs w:val="20"/>
          <w:color w:val="auto"/>
        </w:rPr>
      </w:pPr>
      <w:r>
        <w:rPr>
          <w:rFonts w:ascii="Times New Roman" w:cs="Times New Roman" w:eastAsia="Times New Roman" w:hAnsi="Times New Roman"/>
          <w:sz w:val="22"/>
          <w:szCs w:val="22"/>
          <w:color w:val="auto"/>
        </w:rPr>
        <w:t>Subject to the terms and conditions of the Award Agreement, the Restricted Stock Units shall vest ratably on each of the first three anniversaries of the Grant Date (each, a scheduled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and each such one-year period, a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it being understood that the Vesting Period ending on the first anniversary of the Grant Date shall be further referred to as the “</w:t>
      </w: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Vesting Period,</w:t>
      </w:r>
      <w:r>
        <w:rPr>
          <w:rFonts w:ascii="Times New Roman" w:cs="Times New Roman" w:eastAsia="Times New Roman" w:hAnsi="Times New Roman"/>
          <w:sz w:val="22"/>
          <w:szCs w:val="22"/>
          <w:color w:val="auto"/>
        </w:rPr>
        <w:t>” the Vesting Period ending on the second anniversary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Date shall be further referred to as the “</w:t>
      </w:r>
      <w:r>
        <w:rPr>
          <w:rFonts w:ascii="Times New Roman" w:cs="Times New Roman" w:eastAsia="Times New Roman" w:hAnsi="Times New Roman"/>
          <w:sz w:val="22"/>
          <w:szCs w:val="22"/>
          <w:b w:val="1"/>
          <w:bCs w:val="1"/>
          <w:color w:val="auto"/>
        </w:rPr>
        <w:t>Second Vesting Period,</w:t>
      </w:r>
      <w:r>
        <w:rPr>
          <w:rFonts w:ascii="Times New Roman" w:cs="Times New Roman" w:eastAsia="Times New Roman" w:hAnsi="Times New Roman"/>
          <w:sz w:val="22"/>
          <w:szCs w:val="22"/>
          <w:color w:val="auto"/>
        </w:rPr>
        <w:t>” and the Vesting Period ending on the third anniversary of the Grant Date shall be referred to as the “</w:t>
      </w:r>
      <w:r>
        <w:rPr>
          <w:rFonts w:ascii="Times New Roman" w:cs="Times New Roman" w:eastAsia="Times New Roman" w:hAnsi="Times New Roman"/>
          <w:sz w:val="22"/>
          <w:szCs w:val="22"/>
          <w:b w:val="1"/>
          <w:bCs w:val="1"/>
          <w:color w:val="auto"/>
        </w:rPr>
        <w:t>Third Vesting Period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Participant does not experience a Termination of Service at any time prior to the applicable Vesting Date.</w:t>
      </w:r>
    </w:p>
    <w:p>
      <w:pPr>
        <w:sectPr>
          <w:pgSz w:w="11900" w:h="16838" w:orient="portrait"/>
          <w:cols w:equalWidth="0" w:num="2">
            <w:col w:w="2960" w:space="540"/>
            <w:col w:w="7420"/>
          </w:cols>
          <w:pgMar w:left="640" w:top="114" w:right="339" w:bottom="1440" w:gutter="0" w:footer="0" w:header="0"/>
          <w:type w:val="continuous"/>
        </w:sectPr>
      </w:pPr>
    </w:p>
    <w:bookmarkStart w:id="151" w:name="page152"/>
    <w:bookmarkEnd w:id="151"/>
    <w:p>
      <w:pPr>
        <w:ind w:right="680"/>
        <w:spacing w:after="0" w:line="257"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2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2"/>
          <w:szCs w:val="22"/>
          <w:color w:val="auto"/>
        </w:rPr>
        <w:t xml:space="preserve">If you have questions please contact Valerie Miller Richards, the Company’s Executive Vice President of Human Resources, via email at </w:t>
      </w:r>
      <w:r>
        <w:rPr>
          <w:rFonts w:ascii="Times New Roman" w:cs="Times New Roman" w:eastAsia="Times New Roman" w:hAnsi="Times New Roman"/>
          <w:sz w:val="22"/>
          <w:szCs w:val="22"/>
          <w:u w:val="single" w:color="auto"/>
          <w:color w:val="0000FF"/>
        </w:rPr>
        <w:t>Valerie.Miller@ReynoldsBrands.com</w:t>
      </w:r>
      <w:r>
        <w:rPr>
          <w:rFonts w:ascii="Times New Roman" w:cs="Times New Roman" w:eastAsia="Times New Roman" w:hAnsi="Times New Roman"/>
          <w:sz w:val="22"/>
          <w:szCs w:val="22"/>
          <w:color w:val="auto"/>
        </w:rPr>
        <w:t>. Otherwise, please provide your signature, address and the date for this Agreement where indicated below.</w:t>
      </w:r>
    </w:p>
    <w:p>
      <w:pPr>
        <w:sectPr>
          <w:pgSz w:w="11900" w:h="16838" w:orient="portrait"/>
          <w:cols w:equalWidth="0" w:num="1">
            <w:col w:w="10400"/>
          </w:cols>
          <w:pgMar w:left="740" w:top="1273" w:right="75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47"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1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b w:val="1"/>
          <w:bCs w:val="1"/>
          <w:color w:val="auto"/>
        </w:rPr>
        <w:t>RESTRICTED STOCK UNIT AWARD AGREEMENT</w:t>
      </w:r>
    </w:p>
    <w:p>
      <w:pPr>
        <w:spacing w:after="0" w:line="219" w:lineRule="exact"/>
        <w:rPr>
          <w:sz w:val="20"/>
          <w:szCs w:val="20"/>
          <w:color w:val="auto"/>
        </w:rPr>
      </w:pPr>
    </w:p>
    <w:p>
      <w:pPr>
        <w:ind w:right="440" w:firstLine="648"/>
        <w:spacing w:after="0" w:line="259" w:lineRule="auto"/>
        <w:rPr>
          <w:sz w:val="20"/>
          <w:szCs w:val="20"/>
          <w:color w:val="auto"/>
        </w:rPr>
      </w:pPr>
      <w:r>
        <w:rPr>
          <w:rFonts w:ascii="Times New Roman" w:cs="Times New Roman" w:eastAsia="Times New Roman" w:hAnsi="Times New Roman"/>
          <w:sz w:val="22"/>
          <w:szCs w:val="22"/>
          <w:color w:val="auto"/>
        </w:rPr>
        <w:t>This Restricted Stock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 Letter as the Participant.</w:t>
      </w:r>
    </w:p>
    <w:p>
      <w:pPr>
        <w:spacing w:after="0" w:line="211"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98" w:lineRule="exact"/>
        <w:rPr>
          <w:sz w:val="20"/>
          <w:szCs w:val="20"/>
          <w:color w:val="auto"/>
        </w:rPr>
      </w:pPr>
    </w:p>
    <w:p>
      <w:pPr>
        <w:ind w:right="100" w:firstLine="648"/>
        <w:spacing w:after="0" w:line="295" w:lineRule="auto"/>
        <w:rPr>
          <w:sz w:val="20"/>
          <w:szCs w:val="20"/>
          <w:color w:val="auto"/>
        </w:rPr>
      </w:pPr>
      <w:r>
        <w:rPr>
          <w:rFonts w:ascii="Times New Roman" w:cs="Times New Roman" w:eastAsia="Times New Roman" w:hAnsi="Times New Roman"/>
          <w:sz w:val="21"/>
          <w:szCs w:val="21"/>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76" w:lineRule="exact"/>
        <w:rPr>
          <w:sz w:val="20"/>
          <w:szCs w:val="20"/>
          <w:color w:val="auto"/>
        </w:rPr>
      </w:pPr>
    </w:p>
    <w:p>
      <w:pPr>
        <w:ind w:right="120"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94" w:lineRule="exact"/>
        <w:rPr>
          <w:sz w:val="20"/>
          <w:szCs w:val="20"/>
          <w:color w:val="auto"/>
        </w:rPr>
      </w:pPr>
    </w:p>
    <w:p>
      <w:pPr>
        <w:jc w:val="both"/>
        <w:ind w:right="380" w:firstLine="682"/>
        <w:spacing w:after="0" w:line="258" w:lineRule="auto"/>
        <w:tabs>
          <w:tab w:leader="none" w:pos="105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restricted stock units (“</w:t>
      </w:r>
      <w:r>
        <w:rPr>
          <w:rFonts w:ascii="Times New Roman" w:cs="Times New Roman" w:eastAsia="Times New Roman" w:hAnsi="Times New Roman"/>
          <w:sz w:val="22"/>
          <w:szCs w:val="22"/>
          <w:b w:val="1"/>
          <w:bCs w:val="1"/>
          <w:color w:val="auto"/>
        </w:rPr>
        <w:t>RSUs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100" w:firstLine="682"/>
        <w:spacing w:after="0" w:line="275" w:lineRule="auto"/>
        <w:tabs>
          <w:tab w:leader="none" w:pos="1072"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RSUs</w:t>
      </w:r>
      <w:r>
        <w:rPr>
          <w:rFonts w:ascii="Times New Roman" w:cs="Times New Roman" w:eastAsia="Times New Roman" w:hAnsi="Times New Roman"/>
          <w:sz w:val="22"/>
          <w:szCs w:val="22"/>
          <w:color w:val="auto"/>
        </w:rPr>
        <w:t>. Each RSU shall represent the right to receive one Share upon the vesting of such RSU, 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determined in accordance with and subject to the terms of this Agreement and the Plan.</w:t>
      </w:r>
    </w:p>
    <w:p>
      <w:pPr>
        <w:spacing w:after="0" w:line="189" w:lineRule="exact"/>
        <w:rPr>
          <w:rFonts w:ascii="Times New Roman" w:cs="Times New Roman" w:eastAsia="Times New Roman" w:hAnsi="Times New Roman"/>
          <w:sz w:val="22"/>
          <w:szCs w:val="22"/>
          <w:color w:val="auto"/>
        </w:rPr>
      </w:pPr>
    </w:p>
    <w:p>
      <w:pPr>
        <w:ind w:right="940" w:firstLine="682"/>
        <w:spacing w:after="0" w:line="275" w:lineRule="auto"/>
        <w:tabs>
          <w:tab w:leader="none" w:pos="1058"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following terms and conditions:</w:t>
      </w:r>
    </w:p>
    <w:p>
      <w:pPr>
        <w:spacing w:after="0" w:line="189" w:lineRule="exact"/>
        <w:rPr>
          <w:rFonts w:ascii="Times New Roman" w:cs="Times New Roman" w:eastAsia="Times New Roman" w:hAnsi="Times New Roman"/>
          <w:sz w:val="22"/>
          <w:szCs w:val="22"/>
          <w:color w:val="auto"/>
        </w:rPr>
      </w:pPr>
    </w:p>
    <w:p>
      <w:pPr>
        <w:ind w:left="640" w:right="240" w:firstLine="568"/>
        <w:spacing w:after="0" w:line="275" w:lineRule="auto"/>
        <w:tabs>
          <w:tab w:leader="none" w:pos="165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Vesting of Award. </w:t>
      </w:r>
      <w:r>
        <w:rPr>
          <w:rFonts w:ascii="Times New Roman" w:cs="Times New Roman" w:eastAsia="Times New Roman" w:hAnsi="Times New Roman"/>
          <w:sz w:val="22"/>
          <w:szCs w:val="22"/>
          <w:color w:val="auto"/>
        </w:rPr>
        <w:t>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w:t>
      </w:r>
    </w:p>
    <w:p>
      <w:pPr>
        <w:spacing w:after="0" w:line="176" w:lineRule="exact"/>
        <w:rPr>
          <w:rFonts w:ascii="Times New Roman" w:cs="Times New Roman" w:eastAsia="Times New Roman" w:hAnsi="Times New Roman"/>
          <w:sz w:val="22"/>
          <w:szCs w:val="22"/>
          <w:color w:val="auto"/>
        </w:rPr>
      </w:pPr>
    </w:p>
    <w:p>
      <w:pPr>
        <w:ind w:left="640" w:right="380" w:firstLine="568"/>
        <w:spacing w:after="0" w:line="259" w:lineRule="auto"/>
        <w:tabs>
          <w:tab w:leader="none" w:pos="166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Voting Rights. </w:t>
      </w:r>
      <w:r>
        <w:rPr>
          <w:rFonts w:ascii="Times New Roman" w:cs="Times New Roman" w:eastAsia="Times New Roman" w:hAnsi="Times New Roman"/>
          <w:sz w:val="22"/>
          <w:szCs w:val="22"/>
          <w:color w:val="auto"/>
        </w:rPr>
        <w:t>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RSUs unless and until the Participant becomes the record owner of the Shares underlying such RSUs.</w:t>
      </w:r>
    </w:p>
    <w:p>
      <w:pPr>
        <w:spacing w:after="0" w:line="206" w:lineRule="exact"/>
        <w:rPr>
          <w:rFonts w:ascii="Times New Roman" w:cs="Times New Roman" w:eastAsia="Times New Roman" w:hAnsi="Times New Roman"/>
          <w:sz w:val="22"/>
          <w:szCs w:val="22"/>
          <w:color w:val="auto"/>
        </w:rPr>
      </w:pPr>
    </w:p>
    <w:p>
      <w:pPr>
        <w:ind w:left="640" w:right="120" w:firstLine="568"/>
        <w:spacing w:after="0" w:line="275" w:lineRule="auto"/>
        <w:tabs>
          <w:tab w:leader="none" w:pos="165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Cash Dividends. </w:t>
      </w:r>
      <w:r>
        <w:rPr>
          <w:rFonts w:ascii="Times New Roman" w:cs="Times New Roman" w:eastAsia="Times New Roman" w:hAnsi="Times New Roman"/>
          <w:sz w:val="22"/>
          <w:szCs w:val="22"/>
          <w:color w:val="auto"/>
        </w:rPr>
        <w:t>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w:t>
      </w:r>
    </w:p>
    <w:p>
      <w:pPr>
        <w:spacing w:after="0" w:line="200" w:lineRule="exact"/>
        <w:rPr>
          <w:sz w:val="20"/>
          <w:szCs w:val="20"/>
          <w:color w:val="auto"/>
        </w:rPr>
      </w:pPr>
    </w:p>
    <w:p>
      <w:pPr>
        <w:spacing w:after="0" w:line="3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0640"/>
          </w:cols>
          <w:pgMar w:left="740" w:top="1418" w:right="519" w:bottom="1440" w:gutter="0" w:footer="0" w:header="0"/>
        </w:sectPr>
      </w:pPr>
    </w:p>
    <w:bookmarkStart w:id="153" w:name="page154"/>
    <w:bookmarkEnd w:id="153"/>
    <w:p>
      <w:pPr>
        <w:ind w:right="20"/>
        <w:spacing w:after="0" w:line="251" w:lineRule="auto"/>
        <w:rPr>
          <w:sz w:val="20"/>
          <w:szCs w:val="20"/>
          <w:color w:val="auto"/>
        </w:rPr>
      </w:pPr>
      <w:r>
        <w:rPr>
          <w:rFonts w:ascii="Times New Roman" w:cs="Times New Roman" w:eastAsia="Times New Roman" w:hAnsi="Times New Roman"/>
          <w:sz w:val="22"/>
          <w:szCs w:val="22"/>
          <w:color w:val="auto"/>
        </w:rPr>
        <w:t>Shares underlying the RSUs are distributed to the Participant pursuant to Section 3(d), then as of each dividend payment date, the Participant shall be credited with cash per RSU equal to the per Share amount of such dividend. Any amounts credited pursuant to the immediately preceding sentence shall be subject to the same applicable terms and conditions (including vesting, payment and forfeitability) as apply to the RSUs based on which the dividend equivalents were credited, and such amounts shall be paid in cash (without interest) at the same time as the RSUs to which they relate are settled.</w:t>
      </w:r>
    </w:p>
    <w:p>
      <w:pPr>
        <w:spacing w:after="0" w:line="218" w:lineRule="exact"/>
        <w:rPr>
          <w:sz w:val="20"/>
          <w:szCs w:val="20"/>
          <w:color w:val="auto"/>
        </w:rPr>
      </w:pPr>
    </w:p>
    <w:p>
      <w:pPr>
        <w:ind w:right="40" w:firstLine="568"/>
        <w:spacing w:after="0" w:line="260" w:lineRule="auto"/>
        <w:tabs>
          <w:tab w:leader="none" w:pos="1026"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Distribution of Shares. </w:t>
      </w:r>
      <w:r>
        <w:rPr>
          <w:rFonts w:ascii="Times New Roman" w:cs="Times New Roman" w:eastAsia="Times New Roman" w:hAnsi="Times New Roman"/>
          <w:sz w:val="21"/>
          <w:szCs w:val="21"/>
          <w:color w:val="auto"/>
        </w:rPr>
        <w:t>Subject to the provisions of this Agreement, upon the vesting of any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RSUs on the applicable Vesting Date or the Participant’s Termination of Service due to death, the Company shall settle and deliver to the Participant, as soon as reasonably practicable after such applicable Vesting Date (or in the case of the Participant’s Termination of Service due to death, such Termination of Service, as applicable), (i) one Share for each such RSU plus (ii) such cash attributable to dividends to which the Participant has become entitled under Section 3(c); provided that such settlement shall be made no later than the 15th day of the third calendar month following the applicable Vesting Date (or, in the case of the Participant’s Termination of Service due to death, the 15th day of the third calendar month following the date of the Participant’s Termination of Service due to death). Upon such delivery, such Shares shall be fully assignable, alienable, saleable and transferable by the Participant; provided that any such assignment, alienation, sale, transfer or other alienation with respect to such Shares shall be in accordance with applicable securities laws and any applicable Company policy.</w:t>
      </w:r>
    </w:p>
    <w:p>
      <w:pPr>
        <w:spacing w:after="0" w:line="213" w:lineRule="exact"/>
        <w:rPr>
          <w:rFonts w:ascii="Times New Roman" w:cs="Times New Roman" w:eastAsia="Times New Roman" w:hAnsi="Times New Roman"/>
          <w:sz w:val="21"/>
          <w:szCs w:val="21"/>
          <w:color w:val="auto"/>
        </w:rPr>
      </w:pPr>
    </w:p>
    <w:p>
      <w:pPr>
        <w:ind w:firstLine="568"/>
        <w:spacing w:after="0" w:line="248" w:lineRule="auto"/>
        <w:tabs>
          <w:tab w:leader="none" w:pos="1014"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Adjustment in Capitalization. </w:t>
      </w:r>
      <w:r>
        <w:rPr>
          <w:rFonts w:ascii="Times New Roman" w:cs="Times New Roman" w:eastAsia="Times New Roman" w:hAnsi="Times New Roman"/>
          <w:sz w:val="22"/>
          <w:szCs w:val="22"/>
          <w:color w:val="auto"/>
        </w:rPr>
        <w:t>In the event that, as a result of any dividend (other than ordinary cash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RSUs in a manner which would cause the RSUs to be subject to the provisions of Section 409A or 457A of the Code.</w:t>
      </w:r>
    </w:p>
    <w:p>
      <w:pPr>
        <w:spacing w:after="0" w:line="211" w:lineRule="exact"/>
        <w:rPr>
          <w:rFonts w:ascii="Times New Roman" w:cs="Times New Roman" w:eastAsia="Times New Roman" w:hAnsi="Times New Roman"/>
          <w:sz w:val="22"/>
          <w:szCs w:val="22"/>
          <w:color w:val="auto"/>
        </w:rPr>
      </w:pPr>
    </w:p>
    <w:p>
      <w:pPr>
        <w:ind w:firstLine="568"/>
        <w:spacing w:after="0" w:line="299" w:lineRule="auto"/>
        <w:tabs>
          <w:tab w:leader="none" w:pos="990" w:val="left"/>
        </w:tabs>
        <w:numPr>
          <w:ilvl w:val="0"/>
          <w:numId w:val="1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Restrictions on Transferability. </w:t>
      </w:r>
      <w:r>
        <w:rPr>
          <w:rFonts w:ascii="Times New Roman" w:cs="Times New Roman" w:eastAsia="Times New Roman" w:hAnsi="Times New Roman"/>
          <w:sz w:val="21"/>
          <w:szCs w:val="21"/>
          <w:color w:val="auto"/>
        </w:rPr>
        <w:t>Except as may be permitted by the Committee, neither this Award nor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any right under this Award shall be assignable, alienable, saleable or transferable by the Participant otherwise than</w:t>
      </w:r>
    </w:p>
    <w:p>
      <w:pPr>
        <w:spacing w:after="0" w:line="200" w:lineRule="exact"/>
        <w:rPr>
          <w:sz w:val="20"/>
          <w:szCs w:val="20"/>
          <w:color w:val="auto"/>
        </w:rPr>
      </w:pPr>
    </w:p>
    <w:p>
      <w:pPr>
        <w:spacing w:after="0" w:line="3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880"/>
          </w:cols>
          <w:pgMar w:left="1380" w:top="1341" w:right="639" w:bottom="1440" w:gutter="0" w:footer="0" w:header="0"/>
        </w:sectPr>
      </w:pPr>
    </w:p>
    <w:bookmarkStart w:id="154" w:name="page155"/>
    <w:bookmarkEnd w:id="154"/>
    <w:p>
      <w:pPr>
        <w:jc w:val="both"/>
        <w:ind w:left="640" w:right="160"/>
        <w:spacing w:after="0" w:line="263" w:lineRule="auto"/>
        <w:rPr>
          <w:sz w:val="20"/>
          <w:szCs w:val="20"/>
          <w:color w:val="auto"/>
        </w:rPr>
      </w:pPr>
      <w:r>
        <w:rPr>
          <w:rFonts w:ascii="Times New Roman" w:cs="Times New Roman" w:eastAsia="Times New Roman" w:hAnsi="Times New Roman"/>
          <w:sz w:val="22"/>
          <w:szCs w:val="22"/>
          <w:color w:val="auto"/>
        </w:rPr>
        <w:t>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190" w:lineRule="exact"/>
        <w:rPr>
          <w:sz w:val="20"/>
          <w:szCs w:val="20"/>
          <w:color w:val="auto"/>
        </w:rPr>
      </w:pPr>
    </w:p>
    <w:p>
      <w:pPr>
        <w:ind w:left="640" w:right="120" w:firstLine="568"/>
        <w:spacing w:after="0" w:line="258" w:lineRule="auto"/>
        <w:tabs>
          <w:tab w:leader="none" w:pos="166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194" w:lineRule="exact"/>
        <w:rPr>
          <w:rFonts w:ascii="Times New Roman" w:cs="Times New Roman" w:eastAsia="Times New Roman" w:hAnsi="Times New Roman"/>
          <w:sz w:val="22"/>
          <w:szCs w:val="22"/>
          <w:color w:val="auto"/>
        </w:rPr>
      </w:pPr>
    </w:p>
    <w:p>
      <w:pPr>
        <w:ind w:left="640" w:right="340" w:firstLine="568"/>
        <w:spacing w:after="0" w:line="259" w:lineRule="auto"/>
        <w:tabs>
          <w:tab w:leader="none" w:pos="1666"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not constitute a promise of future grants. The Company, in its sole discretion, maintains the right to make available future grants under the Plan.</w:t>
      </w:r>
    </w:p>
    <w:p>
      <w:pPr>
        <w:spacing w:after="0" w:line="206" w:lineRule="exact"/>
        <w:rPr>
          <w:rFonts w:ascii="Times New Roman" w:cs="Times New Roman" w:eastAsia="Times New Roman" w:hAnsi="Times New Roman"/>
          <w:sz w:val="22"/>
          <w:szCs w:val="22"/>
          <w:color w:val="auto"/>
        </w:rPr>
      </w:pPr>
    </w:p>
    <w:p>
      <w:pPr>
        <w:ind w:right="520" w:firstLine="682"/>
        <w:spacing w:after="0" w:line="258" w:lineRule="auto"/>
        <w:tabs>
          <w:tab w:leader="none" w:pos="105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194" w:lineRule="exact"/>
        <w:rPr>
          <w:rFonts w:ascii="Times New Roman" w:cs="Times New Roman" w:eastAsia="Times New Roman" w:hAnsi="Times New Roman"/>
          <w:sz w:val="22"/>
          <w:szCs w:val="22"/>
          <w:color w:val="auto"/>
        </w:rPr>
      </w:pPr>
    </w:p>
    <w:p>
      <w:pPr>
        <w:ind w:right="120" w:firstLine="681"/>
        <w:spacing w:after="0" w:line="258" w:lineRule="auto"/>
        <w:tabs>
          <w:tab w:leader="none" w:pos="105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any other provisions of the Plan to the contrary, in the event of the Participant’s Termination of Service due to the Participant’s death, Retirement (as defined below) or Enhanced Retirement (as defined below), a pro rata portion of the Award may vest or be eligible to vest following such Termination of Service as follows:</w:t>
      </w:r>
    </w:p>
    <w:p>
      <w:pPr>
        <w:spacing w:after="0" w:line="198" w:lineRule="exact"/>
        <w:rPr>
          <w:rFonts w:ascii="Times New Roman" w:cs="Times New Roman" w:eastAsia="Times New Roman" w:hAnsi="Times New Roman"/>
          <w:sz w:val="22"/>
          <w:szCs w:val="22"/>
          <w:color w:val="auto"/>
        </w:rPr>
      </w:pPr>
    </w:p>
    <w:p>
      <w:pPr>
        <w:ind w:left="1660" w:hanging="452"/>
        <w:spacing w:after="0"/>
        <w:tabs>
          <w:tab w:leader="none" w:pos="1660" w:val="left"/>
        </w:tabs>
        <w:numPr>
          <w:ilvl w:val="1"/>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200" w:right="140" w:firstLine="494"/>
        <w:spacing w:after="0" w:line="271" w:lineRule="auto"/>
        <w:tabs>
          <w:tab w:leader="none" w:pos="2106"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prior to the first anniversary of the Grant Date, no portion of the Award shall vest.</w:t>
      </w:r>
    </w:p>
    <w:p>
      <w:pPr>
        <w:spacing w:after="0" w:line="157" w:lineRule="exact"/>
        <w:rPr>
          <w:rFonts w:ascii="Times New Roman" w:cs="Times New Roman" w:eastAsia="Times New Roman" w:hAnsi="Times New Roman"/>
          <w:sz w:val="22"/>
          <w:szCs w:val="22"/>
          <w:color w:val="auto"/>
        </w:rPr>
      </w:pPr>
    </w:p>
    <w:p>
      <w:pPr>
        <w:ind w:left="1200" w:firstLine="494"/>
        <w:spacing w:after="0" w:line="254" w:lineRule="auto"/>
        <w:tabs>
          <w:tab w:leader="none" w:pos="2166" w:val="left"/>
        </w:tabs>
        <w:numPr>
          <w:ilvl w:val="2"/>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following the first anniversary of the Grant Date and prior to the second anniversary of the Grant Date, as of the Participant’s Termination of Service the Participant shall vest in a number of RSUs equal to the result obtained by adding (A) the number of RSUs equal to the product of (1) the RSUs that would have vested in the Second Vesting Period had the Participant’s Termination of Service not occurred multiplied by (2) a fraction, the numerator of which is the number of full calendar months the Participant has been employed from the Grant Date through the date of termination (the “</w:t>
      </w:r>
      <w:r>
        <w:rPr>
          <w:rFonts w:ascii="Times New Roman" w:cs="Times New Roman" w:eastAsia="Times New Roman" w:hAnsi="Times New Roman"/>
          <w:sz w:val="22"/>
          <w:szCs w:val="22"/>
          <w:b w:val="1"/>
          <w:bCs w:val="1"/>
          <w:color w:val="auto"/>
        </w:rPr>
        <w:t>Service Months</w:t>
      </w:r>
      <w:r>
        <w:rPr>
          <w:rFonts w:ascii="Times New Roman" w:cs="Times New Roman" w:eastAsia="Times New Roman" w:hAnsi="Times New Roman"/>
          <w:sz w:val="22"/>
          <w:szCs w:val="22"/>
          <w:color w:val="auto"/>
        </w:rPr>
        <w:t>”) (for clarity and for all purposes as used in this Agreement, “full calendar months” means each full calendar</w:t>
      </w:r>
    </w:p>
    <w:p>
      <w:pPr>
        <w:spacing w:after="0" w:line="200" w:lineRule="exact"/>
        <w:rPr>
          <w:sz w:val="20"/>
          <w:szCs w:val="20"/>
          <w:color w:val="auto"/>
        </w:rPr>
      </w:pPr>
    </w:p>
    <w:p>
      <w:pPr>
        <w:spacing w:after="0" w:line="376"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580"/>
          </w:cols>
          <w:pgMar w:left="740" w:top="1341" w:right="579" w:bottom="1440" w:gutter="0" w:footer="0" w:header="0"/>
        </w:sectPr>
      </w:pPr>
    </w:p>
    <w:bookmarkStart w:id="155" w:name="page156"/>
    <w:bookmarkEnd w:id="155"/>
    <w:p>
      <w:pPr>
        <w:spacing w:after="0" w:line="117" w:lineRule="exact"/>
        <w:rPr>
          <w:sz w:val="20"/>
          <w:szCs w:val="20"/>
          <w:color w:val="auto"/>
        </w:rPr>
      </w:pPr>
    </w:p>
    <w:p>
      <w:pPr>
        <w:ind w:left="500"/>
        <w:spacing w:after="0" w:line="256" w:lineRule="auto"/>
        <w:rPr>
          <w:sz w:val="20"/>
          <w:szCs w:val="20"/>
          <w:color w:val="auto"/>
        </w:rPr>
      </w:pPr>
      <w:r>
        <w:rPr>
          <w:rFonts w:ascii="Times New Roman" w:cs="Times New Roman" w:eastAsia="Times New Roman" w:hAnsi="Times New Roman"/>
          <w:sz w:val="22"/>
          <w:szCs w:val="22"/>
          <w:color w:val="auto"/>
        </w:rPr>
        <w:t>month after the Grant Date that ends on the numbered day immediately prior to the numbered day of the Grant Date) and the denominator of which is 24, plus (B) the number of RSUs equal to the product of (1) the RSUs that would have vested in the Third Vesting Period multiplied by (2) a fraction, the numerator of which is the Service Months and the denominator of which is 36.</w:t>
      </w:r>
    </w:p>
    <w:p>
      <w:pPr>
        <w:spacing w:after="0" w:line="176" w:lineRule="exact"/>
        <w:rPr>
          <w:sz w:val="20"/>
          <w:szCs w:val="20"/>
          <w:color w:val="auto"/>
        </w:rPr>
      </w:pPr>
    </w:p>
    <w:p>
      <w:pPr>
        <w:ind w:left="500" w:right="180" w:firstLine="494"/>
        <w:spacing w:after="0" w:line="267" w:lineRule="auto"/>
        <w:tabs>
          <w:tab w:leader="none" w:pos="1526" w:val="left"/>
        </w:tabs>
        <w:numPr>
          <w:ilvl w:val="1"/>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the Participant’s Termination of Service due to the Participant’s death following the second anniversary of the Grant Date and prior to the third anniversary of the Grant Date, as of the Participant’s Termination of Service the Participant shall vest in a number of RSUs equal to the product of</w:t>
      </w:r>
    </w:p>
    <w:p>
      <w:pPr>
        <w:spacing w:after="0" w:line="3" w:lineRule="exact"/>
        <w:rPr>
          <w:rFonts w:ascii="Times New Roman" w:cs="Times New Roman" w:eastAsia="Times New Roman" w:hAnsi="Times New Roman"/>
          <w:sz w:val="21"/>
          <w:szCs w:val="21"/>
          <w:color w:val="auto"/>
        </w:rPr>
      </w:pPr>
    </w:p>
    <w:p>
      <w:pPr>
        <w:ind w:left="500" w:right="60" w:firstLine="8"/>
        <w:spacing w:after="0" w:line="259" w:lineRule="auto"/>
        <w:tabs>
          <w:tab w:leader="none" w:pos="85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RSUs that would have vested in the Third Vesting Period multiplied by (B) a fraction, the numerator of which is the Service Months and the denominator of which is 36.</w:t>
      </w:r>
    </w:p>
    <w:p>
      <w:pPr>
        <w:spacing w:after="0" w:line="170" w:lineRule="exact"/>
        <w:rPr>
          <w:rFonts w:ascii="Times New Roman" w:cs="Times New Roman" w:eastAsia="Times New Roman" w:hAnsi="Times New Roman"/>
          <w:sz w:val="22"/>
          <w:szCs w:val="22"/>
          <w:color w:val="auto"/>
        </w:rPr>
      </w:pPr>
    </w:p>
    <w:p>
      <w:pPr>
        <w:ind w:left="500" w:right="20" w:firstLine="494"/>
        <w:spacing w:after="0" w:line="261" w:lineRule="auto"/>
        <w:tabs>
          <w:tab w:leader="none" w:pos="151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RSUs that vest upon the Participant’s Termination of Service pursuant to this Section 5(a) shall be distributed to the Participant pursuant to Section 3(d), and any RSUs that do not vest upon the Participant’s Termination of Service pursuant to this Section 5(a) shall be forfeited as of such Termination of Service.</w:t>
      </w:r>
    </w:p>
    <w:p>
      <w:pPr>
        <w:spacing w:after="0" w:line="168" w:lineRule="exact"/>
        <w:rPr>
          <w:rFonts w:ascii="Times New Roman" w:cs="Times New Roman" w:eastAsia="Times New Roman" w:hAnsi="Times New Roman"/>
          <w:sz w:val="22"/>
          <w:szCs w:val="22"/>
          <w:color w:val="auto"/>
        </w:rPr>
      </w:pPr>
    </w:p>
    <w:p>
      <w:pPr>
        <w:ind w:left="500" w:right="340" w:firstLine="494"/>
        <w:spacing w:after="0" w:line="271" w:lineRule="auto"/>
        <w:tabs>
          <w:tab w:leader="none" w:pos="1450" w:val="left"/>
        </w:tabs>
        <w:numPr>
          <w:ilvl w:val="1"/>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2022: none of such RSUs would vest.</w:t>
      </w:r>
    </w:p>
    <w:p>
      <w:pPr>
        <w:spacing w:after="0" w:line="246"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2023:</w:t>
      </w:r>
    </w:p>
    <w:p>
      <w:pPr>
        <w:spacing w:after="0" w:line="246" w:lineRule="exact"/>
        <w:rPr>
          <w:rFonts w:ascii="Times New Roman" w:cs="Times New Roman" w:eastAsia="Times New Roman" w:hAnsi="Times New Roman"/>
          <w:sz w:val="22"/>
          <w:szCs w:val="22"/>
          <w:color w:val="auto"/>
        </w:rPr>
      </w:pPr>
    </w:p>
    <w:p>
      <w:pPr>
        <w:ind w:left="2440" w:hanging="474"/>
        <w:spacing w:after="0"/>
        <w:tabs>
          <w:tab w:leader="none" w:pos="2440" w:val="left"/>
        </w:tabs>
        <w:numPr>
          <w:ilvl w:val="3"/>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RSUs would have already vested on February 10, 2023; and</w:t>
      </w:r>
    </w:p>
    <w:p>
      <w:pPr>
        <w:spacing w:after="0" w:line="260" w:lineRule="exact"/>
        <w:rPr>
          <w:rFonts w:ascii="Times New Roman" w:cs="Times New Roman" w:eastAsia="Times New Roman" w:hAnsi="Times New Roman"/>
          <w:sz w:val="22"/>
          <w:szCs w:val="22"/>
          <w:color w:val="auto"/>
        </w:rPr>
      </w:pPr>
    </w:p>
    <w:p>
      <w:pPr>
        <w:ind w:left="1480" w:right="120" w:firstLine="486"/>
        <w:spacing w:after="0" w:line="252" w:lineRule="auto"/>
        <w:tabs>
          <w:tab w:leader="none" w:pos="2434" w:val="left"/>
        </w:tabs>
        <w:numPr>
          <w:ilvl w:val="3"/>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800 unvested RSUs, 500 RSUs would vest at the time of death, which is the sum of: (a) the 300 RSUs that would vest related to the Second Vesting Period (400 x (18 months/24 months) = 300), and (b) the 200 RSUs that would vest related to the Third Vesting Period (400 x 18 months/36 months) = 200).</w:t>
      </w:r>
    </w:p>
    <w:p>
      <w:pPr>
        <w:spacing w:after="0" w:line="206"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2024:</w:t>
      </w:r>
    </w:p>
    <w:p>
      <w:pPr>
        <w:spacing w:after="0" w:line="260" w:lineRule="exact"/>
        <w:rPr>
          <w:rFonts w:ascii="Times New Roman" w:cs="Times New Roman" w:eastAsia="Times New Roman" w:hAnsi="Times New Roman"/>
          <w:sz w:val="22"/>
          <w:szCs w:val="22"/>
          <w:color w:val="auto"/>
        </w:rPr>
      </w:pPr>
    </w:p>
    <w:p>
      <w:pPr>
        <w:ind w:left="1480" w:right="860" w:firstLine="486"/>
        <w:spacing w:after="0" w:line="271" w:lineRule="auto"/>
        <w:tabs>
          <w:tab w:leader="none" w:pos="2434" w:val="left"/>
        </w:tabs>
        <w:numPr>
          <w:ilvl w:val="3"/>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 RSUs would have already vested, 400 on each of February 10, 2023 and February 10, 2024; and</w:t>
      </w:r>
    </w:p>
    <w:p>
      <w:pPr>
        <w:spacing w:after="0" w:line="184" w:lineRule="exact"/>
        <w:rPr>
          <w:rFonts w:ascii="Times New Roman" w:cs="Times New Roman" w:eastAsia="Times New Roman" w:hAnsi="Times New Roman"/>
          <w:sz w:val="22"/>
          <w:szCs w:val="22"/>
          <w:color w:val="auto"/>
        </w:rPr>
      </w:pPr>
    </w:p>
    <w:p>
      <w:pPr>
        <w:ind w:left="1480" w:right="260" w:firstLine="486"/>
        <w:spacing w:after="0" w:line="271" w:lineRule="auto"/>
        <w:tabs>
          <w:tab w:leader="none" w:pos="2434" w:val="left"/>
        </w:tabs>
        <w:numPr>
          <w:ilvl w:val="3"/>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400 unvested RSUs, 333 would vest at the time of death (400 x 30 months/36 months = 333).</w:t>
      </w:r>
    </w:p>
    <w:p>
      <w:pPr>
        <w:spacing w:after="0" w:line="200" w:lineRule="exact"/>
        <w:rPr>
          <w:sz w:val="20"/>
          <w:szCs w:val="20"/>
          <w:color w:val="auto"/>
        </w:rPr>
      </w:pPr>
    </w:p>
    <w:p>
      <w:pPr>
        <w:spacing w:after="0" w:line="36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20"/>
          </w:cols>
          <w:pgMar w:left="1440" w:top="1440" w:right="539" w:bottom="1440" w:gutter="0" w:footer="0" w:header="0"/>
        </w:sectPr>
      </w:pPr>
    </w:p>
    <w:bookmarkStart w:id="156" w:name="page157"/>
    <w:bookmarkEnd w:id="156"/>
    <w:p>
      <w:pPr>
        <w:spacing w:after="0" w:line="144" w:lineRule="exact"/>
        <w:rPr>
          <w:sz w:val="20"/>
          <w:szCs w:val="20"/>
          <w:color w:val="auto"/>
        </w:rPr>
      </w:pPr>
    </w:p>
    <w:p>
      <w:pPr>
        <w:ind w:left="980" w:hanging="472"/>
        <w:spacing w:after="0"/>
        <w:tabs>
          <w:tab w:leader="none" w:pos="980"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9" w:lineRule="exact"/>
        <w:rPr>
          <w:rFonts w:ascii="Times New Roman" w:cs="Times New Roman" w:eastAsia="Times New Roman" w:hAnsi="Times New Roman"/>
          <w:sz w:val="22"/>
          <w:szCs w:val="22"/>
          <w:color w:val="auto"/>
        </w:rPr>
      </w:pPr>
    </w:p>
    <w:p>
      <w:pPr>
        <w:ind w:left="500" w:right="180" w:firstLine="494"/>
        <w:spacing w:after="0" w:line="263" w:lineRule="auto"/>
        <w:tabs>
          <w:tab w:leader="none" w:pos="140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prior to the first anniversary of the Grant Date, no portion of the Award shall vest and the Award shall be forfeited pursuant to Section 4 of this Agreement.</w:t>
      </w:r>
    </w:p>
    <w:p>
      <w:pPr>
        <w:spacing w:after="0" w:line="167" w:lineRule="exact"/>
        <w:rPr>
          <w:rFonts w:ascii="Times New Roman" w:cs="Times New Roman" w:eastAsia="Times New Roman" w:hAnsi="Times New Roman"/>
          <w:sz w:val="22"/>
          <w:szCs w:val="22"/>
          <w:color w:val="auto"/>
        </w:rPr>
      </w:pPr>
    </w:p>
    <w:p>
      <w:pPr>
        <w:ind w:left="500" w:right="40" w:firstLine="494"/>
        <w:spacing w:after="0" w:line="252" w:lineRule="auto"/>
        <w:tabs>
          <w:tab w:leader="none" w:pos="1466"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Retirement following the first anniversary of the Grant Date, a pro rata portion of the Award with respect to the applicable Vesting Period in which the Termination of Service occurs will vest on the first scheduled Vesting Date following such Termination of Service, which portion will equal (A) the number of RSUs that would have vested in the applicable Vesting Period in which the Termination of Service occurred had such Termination of Service not occurred, multiplied by (B) a fraction, the numerator of which is the number of full calendar months the Participant has been employed in the applicable Vesting Period through the date of termination, and the denominator of which is 12, subject to the Participant’s compliance with the Restrictive Covenant Agreement (as defined below), through such Vesting Date. For the avoidance of doubt, if the Participant violates the Restrictive Covenant Agreement, the Participant shall forfeit all outstanding, unvested RSUs as of the date of such violation.</w:t>
      </w:r>
    </w:p>
    <w:p>
      <w:pPr>
        <w:spacing w:after="0" w:line="183" w:lineRule="exact"/>
        <w:rPr>
          <w:rFonts w:ascii="Times New Roman" w:cs="Times New Roman" w:eastAsia="Times New Roman" w:hAnsi="Times New Roman"/>
          <w:sz w:val="22"/>
          <w:szCs w:val="22"/>
          <w:color w:val="auto"/>
        </w:rPr>
      </w:pPr>
    </w:p>
    <w:p>
      <w:pPr>
        <w:ind w:left="500" w:firstLine="494"/>
        <w:spacing w:after="0" w:line="263" w:lineRule="auto"/>
        <w:tabs>
          <w:tab w:leader="none" w:pos="151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5(b) shall be distributed to the Participant pursuant to Section 3(d) and any RSUs that do not vest pursuant to this Section 5(b) shall be forfeited.</w:t>
      </w:r>
    </w:p>
    <w:p>
      <w:pPr>
        <w:spacing w:after="0" w:line="163" w:lineRule="exact"/>
        <w:rPr>
          <w:rFonts w:ascii="Times New Roman" w:cs="Times New Roman" w:eastAsia="Times New Roman" w:hAnsi="Times New Roman"/>
          <w:sz w:val="22"/>
          <w:szCs w:val="22"/>
          <w:color w:val="auto"/>
        </w:rPr>
      </w:pPr>
    </w:p>
    <w:p>
      <w:pPr>
        <w:ind w:left="500" w:right="180" w:firstLine="494"/>
        <w:spacing w:after="0" w:line="254" w:lineRule="auto"/>
        <w:tabs>
          <w:tab w:leader="none" w:pos="1514"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xml:space="preserve">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9" w:lineRule="exact"/>
        <w:rPr>
          <w:rFonts w:ascii="Times New Roman" w:cs="Times New Roman" w:eastAsia="Times New Roman" w:hAnsi="Times New Roman"/>
          <w:sz w:val="22"/>
          <w:szCs w:val="22"/>
          <w:color w:val="auto"/>
        </w:rPr>
      </w:pPr>
    </w:p>
    <w:p>
      <w:pPr>
        <w:ind w:left="500" w:right="340" w:firstLine="494"/>
        <w:spacing w:after="0" w:line="284" w:lineRule="auto"/>
        <w:tabs>
          <w:tab w:leader="none" w:pos="1450" w:val="left"/>
        </w:tabs>
        <w:numPr>
          <w:ilvl w:val="1"/>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84"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2022: none of such RSUs would</w:t>
      </w:r>
    </w:p>
    <w:p>
      <w:pPr>
        <w:spacing w:after="0" w:line="27" w:lineRule="exact"/>
        <w:rPr>
          <w:rFonts w:ascii="Times New Roman" w:cs="Times New Roman" w:eastAsia="Times New Roman" w:hAnsi="Times New Roman"/>
          <w:sz w:val="22"/>
          <w:szCs w:val="22"/>
          <w:color w:val="auto"/>
        </w:rPr>
      </w:pPr>
    </w:p>
    <w:p>
      <w:pPr>
        <w:ind w:left="10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w:t>
      </w:r>
    </w:p>
    <w:p>
      <w:pPr>
        <w:spacing w:after="0" w:line="222"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2023:</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920"/>
          </w:cols>
          <w:pgMar w:left="1440" w:top="1440" w:right="539" w:bottom="1440" w:gutter="0" w:footer="0" w:header="0"/>
        </w:sectPr>
      </w:pPr>
    </w:p>
    <w:bookmarkStart w:id="157" w:name="page158"/>
    <w:bookmarkEnd w:id="157"/>
    <w:p>
      <w:pPr>
        <w:spacing w:after="0" w:line="171" w:lineRule="exact"/>
        <w:rPr>
          <w:sz w:val="20"/>
          <w:szCs w:val="20"/>
          <w:color w:val="auto"/>
        </w:rPr>
      </w:pPr>
    </w:p>
    <w:p>
      <w:pPr>
        <w:ind w:left="2440" w:hanging="474"/>
        <w:spacing w:after="0"/>
        <w:tabs>
          <w:tab w:leader="none" w:pos="2440" w:val="left"/>
        </w:tabs>
        <w:numPr>
          <w:ilvl w:val="3"/>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RSUs would have already vested on February 10, 2023; and</w:t>
      </w:r>
    </w:p>
    <w:p>
      <w:pPr>
        <w:spacing w:after="0" w:line="246" w:lineRule="exact"/>
        <w:rPr>
          <w:rFonts w:ascii="Times New Roman" w:cs="Times New Roman" w:eastAsia="Times New Roman" w:hAnsi="Times New Roman"/>
          <w:sz w:val="22"/>
          <w:szCs w:val="22"/>
          <w:color w:val="auto"/>
        </w:rPr>
      </w:pPr>
    </w:p>
    <w:p>
      <w:pPr>
        <w:ind w:left="1480" w:right="420" w:firstLine="486"/>
        <w:spacing w:after="0" w:line="271" w:lineRule="auto"/>
        <w:tabs>
          <w:tab w:leader="none" w:pos="2434" w:val="left"/>
        </w:tabs>
        <w:numPr>
          <w:ilvl w:val="3"/>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800 unvested RSUs, 200 RSUs would vest on February 10, 2024 (400 x (6 months/12 months) = 200).</w:t>
      </w:r>
    </w:p>
    <w:p>
      <w:pPr>
        <w:spacing w:after="0" w:line="184" w:lineRule="exact"/>
        <w:rPr>
          <w:rFonts w:ascii="Times New Roman" w:cs="Times New Roman" w:eastAsia="Times New Roman" w:hAnsi="Times New Roman"/>
          <w:sz w:val="22"/>
          <w:szCs w:val="22"/>
          <w:color w:val="auto"/>
        </w:rPr>
      </w:pPr>
    </w:p>
    <w:p>
      <w:pPr>
        <w:ind w:left="1980" w:hanging="500"/>
        <w:spacing w:after="0"/>
        <w:tabs>
          <w:tab w:leader="none" w:pos="1980" w:val="left"/>
        </w:tabs>
        <w:numPr>
          <w:ilvl w:val="2"/>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2024:</w:t>
      </w:r>
    </w:p>
    <w:p>
      <w:pPr>
        <w:spacing w:after="0" w:line="260" w:lineRule="exact"/>
        <w:rPr>
          <w:rFonts w:ascii="Times New Roman" w:cs="Times New Roman" w:eastAsia="Times New Roman" w:hAnsi="Times New Roman"/>
          <w:sz w:val="22"/>
          <w:szCs w:val="22"/>
          <w:color w:val="auto"/>
        </w:rPr>
      </w:pPr>
    </w:p>
    <w:p>
      <w:pPr>
        <w:ind w:left="1480" w:right="880" w:firstLine="486"/>
        <w:spacing w:after="0" w:line="271" w:lineRule="auto"/>
        <w:tabs>
          <w:tab w:leader="none" w:pos="2434" w:val="left"/>
        </w:tabs>
        <w:numPr>
          <w:ilvl w:val="3"/>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800 RSUs would have already vested, 400 on each of February 10, 2023 and February 10, 2024; and</w:t>
      </w:r>
    </w:p>
    <w:p>
      <w:pPr>
        <w:spacing w:after="0" w:line="184" w:lineRule="exact"/>
        <w:rPr>
          <w:rFonts w:ascii="Times New Roman" w:cs="Times New Roman" w:eastAsia="Times New Roman" w:hAnsi="Times New Roman"/>
          <w:sz w:val="22"/>
          <w:szCs w:val="22"/>
          <w:color w:val="auto"/>
        </w:rPr>
      </w:pPr>
    </w:p>
    <w:p>
      <w:pPr>
        <w:ind w:left="1480" w:right="200" w:firstLine="486"/>
        <w:spacing w:after="0" w:line="271" w:lineRule="auto"/>
        <w:tabs>
          <w:tab w:leader="none" w:pos="2434" w:val="left"/>
        </w:tabs>
        <w:numPr>
          <w:ilvl w:val="3"/>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remaining 400 unvested RSUs, 200 would vest on February 10, 2025 (400 x 6 months/12 months = 200).</w:t>
      </w:r>
    </w:p>
    <w:p>
      <w:pPr>
        <w:spacing w:after="0" w:line="198" w:lineRule="exact"/>
        <w:rPr>
          <w:rFonts w:ascii="Times New Roman" w:cs="Times New Roman" w:eastAsia="Times New Roman" w:hAnsi="Times New Roman"/>
          <w:sz w:val="22"/>
          <w:szCs w:val="22"/>
          <w:color w:val="auto"/>
        </w:rPr>
      </w:pPr>
    </w:p>
    <w:p>
      <w:pPr>
        <w:ind w:left="960" w:hanging="452"/>
        <w:spacing w:after="0"/>
        <w:tabs>
          <w:tab w:leader="none" w:pos="96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06" w:lineRule="exact"/>
        <w:rPr>
          <w:rFonts w:ascii="Times New Roman" w:cs="Times New Roman" w:eastAsia="Times New Roman" w:hAnsi="Times New Roman"/>
          <w:sz w:val="22"/>
          <w:szCs w:val="22"/>
          <w:color w:val="auto"/>
        </w:rPr>
      </w:pPr>
    </w:p>
    <w:p>
      <w:pPr>
        <w:ind w:left="500" w:firstLine="494"/>
        <w:spacing w:after="0" w:line="256" w:lineRule="auto"/>
        <w:tabs>
          <w:tab w:leader="none" w:pos="140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first anniversary of the Grant Date, the RSUs shall remain outstanding and shall vest on each regularly scheduled Vesting Date following such Termination of Service as if the Participant had remained continuously employed or providing services to the Company or its Affiliates through each such Vesting Date, subject to the Participant’s continuous compliance with the Extended Non-Compete (as defined below) through each applicable Vesting Date.</w:t>
      </w:r>
    </w:p>
    <w:p>
      <w:pPr>
        <w:spacing w:after="0" w:line="176" w:lineRule="exact"/>
        <w:rPr>
          <w:rFonts w:ascii="Times New Roman" w:cs="Times New Roman" w:eastAsia="Times New Roman" w:hAnsi="Times New Roman"/>
          <w:sz w:val="22"/>
          <w:szCs w:val="22"/>
          <w:color w:val="auto"/>
        </w:rPr>
      </w:pPr>
    </w:p>
    <w:p>
      <w:pPr>
        <w:ind w:left="500" w:right="40" w:firstLine="494"/>
        <w:spacing w:after="0" w:line="252" w:lineRule="auto"/>
        <w:tabs>
          <w:tab w:leader="none" w:pos="1466"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Enhanced Retirement on or after the six month anniversary of the Grant Date but prior to the first anniversary of the Grant Date, the Participant shall be eligible to vest in a pro rata portion of the Award on each scheduled Vesting Date following the Participant’s Retirement, subject to the Participant’s continuous compliance with the Extended Non-Compete through each applicable Vesting Date, determined as follows: (A) on the first Vesting Date following the Participant’s Termination of Service, the Participant shall vest in the number of RSUs equal to the product obtained by multiplying (1) the number of RSUs that would have vested in the First Vesting Period had the Participant’s Termination of Service not occurred, by (2) a fraction, the numerator of which is the Service Months (defined above as the number of full calendar months the Participant has been employed from the Grant Date through the date of termination) and the denominator of which is 12, (B) on the second Vesting Date following the Participant’s Termination of Service, the Participant shall vest in the number of RSUs equal to the product obtained by multiplying (1) the number of RSUs that would have vested in the Second Vesting Period had</w:t>
      </w: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40"/>
          </w:cols>
          <w:pgMar w:left="1440" w:top="1440" w:right="519" w:bottom="1440" w:gutter="0" w:footer="0" w:header="0"/>
        </w:sectPr>
      </w:pPr>
    </w:p>
    <w:bookmarkStart w:id="158" w:name="page159"/>
    <w:bookmarkEnd w:id="158"/>
    <w:p>
      <w:pPr>
        <w:spacing w:after="0" w:line="117" w:lineRule="exact"/>
        <w:rPr>
          <w:sz w:val="20"/>
          <w:szCs w:val="20"/>
          <w:color w:val="auto"/>
        </w:rPr>
      </w:pPr>
    </w:p>
    <w:p>
      <w:pPr>
        <w:ind w:left="500"/>
        <w:spacing w:after="0" w:line="268" w:lineRule="auto"/>
        <w:rPr>
          <w:sz w:val="20"/>
          <w:szCs w:val="20"/>
          <w:color w:val="auto"/>
        </w:rPr>
      </w:pPr>
      <w:r>
        <w:rPr>
          <w:rFonts w:ascii="Times New Roman" w:cs="Times New Roman" w:eastAsia="Times New Roman" w:hAnsi="Times New Roman"/>
          <w:sz w:val="21"/>
          <w:szCs w:val="21"/>
          <w:color w:val="auto"/>
        </w:rPr>
        <w:t>the Participant’s Termination of Service not occurred by (2) a fraction, the numerator of which is the Service Months and the denominator of which is 24, and (C) on the final Vesting Date following the Participant’s Termination of Service, the Participant shall vest in the number of RSUs equal to the product obtained by multiplying (1) the number of RSUs that would have vested in the Third Vesting Period had the Participant’s Termination of Service not occurred by (2) a fraction, the numerator of which is the Service Months and the denominator of which is 36. For the avoidance of doubt, if the Participant violates the Extended Non-Compete, the Participant shall forfeit all outstanding, unvested RSUs as of the date of such violation.</w:t>
      </w:r>
    </w:p>
    <w:p>
      <w:pPr>
        <w:spacing w:after="0" w:line="164" w:lineRule="exact"/>
        <w:rPr>
          <w:sz w:val="20"/>
          <w:szCs w:val="20"/>
          <w:color w:val="auto"/>
        </w:rPr>
      </w:pPr>
    </w:p>
    <w:p>
      <w:pPr>
        <w:ind w:left="500" w:right="100" w:firstLine="494"/>
        <w:spacing w:after="0" w:line="263" w:lineRule="auto"/>
        <w:tabs>
          <w:tab w:leader="none" w:pos="1514"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RSUs that vest following the Participant’s Termination of Service pursuant to this Section 5(c) shall be distributed to the Participant pursuant to Section 3(d) and any RSUs that do not vest under this Section 5(c) shall be forfeited.</w:t>
      </w:r>
    </w:p>
    <w:p>
      <w:pPr>
        <w:spacing w:after="0" w:line="167" w:lineRule="exact"/>
        <w:rPr>
          <w:rFonts w:ascii="Times New Roman" w:cs="Times New Roman" w:eastAsia="Times New Roman" w:hAnsi="Times New Roman"/>
          <w:sz w:val="22"/>
          <w:szCs w:val="22"/>
          <w:color w:val="auto"/>
        </w:rPr>
      </w:pPr>
    </w:p>
    <w:p>
      <w:pPr>
        <w:ind w:left="1520" w:hanging="526"/>
        <w:spacing w:after="0"/>
        <w:tabs>
          <w:tab w:leader="none" w:pos="1520"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8" w:lineRule="exact"/>
        <w:rPr>
          <w:sz w:val="20"/>
          <w:szCs w:val="20"/>
          <w:color w:val="auto"/>
        </w:rPr>
      </w:pPr>
    </w:p>
    <w:p>
      <w:pPr>
        <w:ind w:left="500" w:right="180"/>
        <w:spacing w:after="0" w:line="26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 each of the following conditions is met, as determined by the Committee in its sole discretion:</w:t>
      </w:r>
    </w:p>
    <w:p>
      <w:pPr>
        <w:spacing w:after="0" w:line="195" w:lineRule="exact"/>
        <w:rPr>
          <w:sz w:val="20"/>
          <w:szCs w:val="20"/>
          <w:color w:val="auto"/>
        </w:rPr>
      </w:pPr>
    </w:p>
    <w:p>
      <w:pPr>
        <w:ind w:left="1000" w:right="80" w:firstLine="480"/>
        <w:spacing w:after="0" w:line="251" w:lineRule="auto"/>
        <w:tabs>
          <w:tab w:leader="none" w:pos="200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08" w:lineRule="exact"/>
        <w:rPr>
          <w:rFonts w:ascii="Times New Roman" w:cs="Times New Roman" w:eastAsia="Times New Roman" w:hAnsi="Times New Roman"/>
          <w:sz w:val="22"/>
          <w:szCs w:val="22"/>
          <w:color w:val="auto"/>
        </w:rPr>
      </w:pPr>
    </w:p>
    <w:p>
      <w:pPr>
        <w:ind w:left="1000" w:right="240" w:firstLine="480"/>
        <w:spacing w:after="0" w:line="263" w:lineRule="auto"/>
        <w:tabs>
          <w:tab w:leader="none" w:pos="199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Participant’s Termination of Service, the Participant enters into an extended restrictive covenant agreement in the form provided by the Company, which agreement 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left="1000" w:right="40" w:firstLine="480"/>
        <w:spacing w:after="0" w:line="263" w:lineRule="auto"/>
        <w:tabs>
          <w:tab w:leader="none" w:pos="199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194" w:lineRule="exact"/>
        <w:rPr>
          <w:rFonts w:ascii="Times New Roman" w:cs="Times New Roman" w:eastAsia="Times New Roman" w:hAnsi="Times New Roman"/>
          <w:sz w:val="22"/>
          <w:szCs w:val="22"/>
          <w:color w:val="auto"/>
        </w:rPr>
      </w:pPr>
    </w:p>
    <w:p>
      <w:pPr>
        <w:ind w:left="1000" w:right="160" w:firstLine="480"/>
        <w:spacing w:after="0" w:line="271" w:lineRule="auto"/>
        <w:tabs>
          <w:tab w:leader="none" w:pos="2002"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900"/>
          </w:cols>
          <w:pgMar w:left="1440" w:top="1440" w:right="559" w:bottom="1440" w:gutter="0" w:footer="0" w:header="0"/>
        </w:sectPr>
      </w:pPr>
    </w:p>
    <w:bookmarkStart w:id="159" w:name="page160"/>
    <w:bookmarkEnd w:id="159"/>
    <w:p>
      <w:pPr>
        <w:spacing w:after="0" w:line="117" w:lineRule="exact"/>
        <w:rPr>
          <w:sz w:val="20"/>
          <w:szCs w:val="20"/>
          <w:color w:val="auto"/>
        </w:rPr>
      </w:pPr>
    </w:p>
    <w:p>
      <w:pPr>
        <w:ind w:left="1200" w:right="280" w:firstLine="494"/>
        <w:spacing w:after="0" w:line="271" w:lineRule="auto"/>
        <w:tabs>
          <w:tab w:leader="none" w:pos="2150" w:val="left"/>
        </w:tabs>
        <w:numPr>
          <w:ilvl w:val="1"/>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RSUs on February 10, 2022:</w:t>
      </w:r>
    </w:p>
    <w:p>
      <w:pPr>
        <w:spacing w:after="0" w:line="198" w:lineRule="exact"/>
        <w:rPr>
          <w:rFonts w:ascii="Times New Roman" w:cs="Times New Roman" w:eastAsia="Times New Roman" w:hAnsi="Times New Roman"/>
          <w:sz w:val="22"/>
          <w:szCs w:val="22"/>
          <w:color w:val="auto"/>
        </w:rPr>
      </w:pPr>
    </w:p>
    <w:p>
      <w:pPr>
        <w:ind w:left="1700" w:right="420" w:firstLine="480"/>
        <w:spacing w:after="0" w:line="271" w:lineRule="auto"/>
        <w:tabs>
          <w:tab w:leader="none" w:pos="2698"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prior to August 10, 2022: none of such RSUs would vest.</w:t>
      </w:r>
    </w:p>
    <w:p>
      <w:pPr>
        <w:spacing w:after="0" w:line="184"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August 20, 2022:</w:t>
      </w:r>
    </w:p>
    <w:p>
      <w:pPr>
        <w:spacing w:after="0" w:line="260"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2023, 200 RSUs would vest (400 x 6 months / 12 months = 200);</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1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February 10, 2024, 100 RSUs would vest (400 x 6 months / 24 months = 100); and</w:t>
      </w:r>
    </w:p>
    <w:p>
      <w:pPr>
        <w:spacing w:after="0" w:line="258" w:lineRule="exact"/>
        <w:rPr>
          <w:rFonts w:ascii="Times New Roman" w:cs="Times New Roman" w:eastAsia="Times New Roman" w:hAnsi="Times New Roman"/>
          <w:sz w:val="21"/>
          <w:szCs w:val="21"/>
          <w:color w:val="auto"/>
        </w:rPr>
      </w:pPr>
    </w:p>
    <w:p>
      <w:pPr>
        <w:ind w:left="3140" w:hanging="474"/>
        <w:spacing w:after="0"/>
        <w:tabs>
          <w:tab w:leader="none" w:pos="314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2025, 67 RSUs would vest (400 x 6 months / 36 months = 67).</w:t>
      </w:r>
    </w:p>
    <w:p>
      <w:pPr>
        <w:spacing w:after="0" w:line="260" w:lineRule="exact"/>
        <w:rPr>
          <w:rFonts w:ascii="Times New Roman" w:cs="Times New Roman" w:eastAsia="Times New Roman" w:hAnsi="Times New Roman"/>
          <w:sz w:val="22"/>
          <w:szCs w:val="22"/>
          <w:color w:val="auto"/>
        </w:rPr>
      </w:pPr>
    </w:p>
    <w:p>
      <w:pPr>
        <w:ind w:left="2680" w:hanging="500"/>
        <w:spacing w:after="0"/>
        <w:tabs>
          <w:tab w:leader="none" w:pos="2680" w:val="left"/>
        </w:tabs>
        <w:numPr>
          <w:ilvl w:val="2"/>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or after February 10, 2023:</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400 RSUs would have vested on February 10, 2023;</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2024, 400 RSUs would vest; and</w:t>
      </w:r>
    </w:p>
    <w:p>
      <w:pPr>
        <w:spacing w:after="0" w:line="246" w:lineRule="exact"/>
        <w:rPr>
          <w:rFonts w:ascii="Times New Roman" w:cs="Times New Roman" w:eastAsia="Times New Roman" w:hAnsi="Times New Roman"/>
          <w:sz w:val="22"/>
          <w:szCs w:val="22"/>
          <w:color w:val="auto"/>
        </w:rPr>
      </w:pPr>
    </w:p>
    <w:p>
      <w:pPr>
        <w:ind w:left="3140" w:hanging="474"/>
        <w:spacing w:after="0"/>
        <w:tabs>
          <w:tab w:leader="none" w:pos="3140" w:val="left"/>
        </w:tabs>
        <w:numPr>
          <w:ilvl w:val="3"/>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February 10, 2025, 400 RSUs would vest.</w:t>
      </w:r>
    </w:p>
    <w:p>
      <w:pPr>
        <w:spacing w:after="0" w:line="283" w:lineRule="exact"/>
        <w:rPr>
          <w:rFonts w:ascii="Times New Roman" w:cs="Times New Roman" w:eastAsia="Times New Roman" w:hAnsi="Times New Roman"/>
          <w:sz w:val="22"/>
          <w:szCs w:val="22"/>
          <w:color w:val="auto"/>
        </w:rPr>
      </w:pPr>
    </w:p>
    <w:p>
      <w:pPr>
        <w:ind w:right="140" w:firstLine="682"/>
        <w:spacing w:after="0" w:line="249" w:lineRule="auto"/>
        <w:tabs>
          <w:tab w:leader="none" w:pos="1058" w:val="left"/>
        </w:tabs>
        <w:numPr>
          <w:ilvl w:val="0"/>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Change in Control, subject to the Participant’s execution and non-revocation of a customary release of claims in favor of the Company and its Affiliates prior to such Change in Control, any unvested RSUs that are outstanding as of immediately prior to such Change in Control shall immediately become fully vested and non-forfeitable and the Shares underlying such vested RSUs shall be distributed to the Participant upon such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RSUs to which Section 19 of the Plan applies because such RSUs constitute “deferred compensation” (as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Date(s) set forth in this Agreement pursuant to Section 3(d), except to the extent that earlier distribution would not result in the Participant incurring any additional tax, penalty, interest or other expense under Section 409A and 457A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560"/>
          </w:cols>
          <w:pgMar w:left="740" w:top="1440" w:right="599" w:bottom="1440" w:gutter="0" w:footer="0" w:header="0"/>
        </w:sectPr>
      </w:pPr>
    </w:p>
    <w:bookmarkStart w:id="160" w:name="page161"/>
    <w:bookmarkEnd w:id="160"/>
    <w:p>
      <w:pPr>
        <w:ind w:left="1060" w:hanging="378"/>
        <w:spacing w:after="0"/>
        <w:tabs>
          <w:tab w:leader="none" w:pos="1060"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64" w:lineRule="exact"/>
        <w:rPr>
          <w:rFonts w:ascii="Times New Roman" w:cs="Times New Roman" w:eastAsia="Times New Roman" w:hAnsi="Times New Roman"/>
          <w:sz w:val="22"/>
          <w:szCs w:val="22"/>
          <w:color w:val="auto"/>
        </w:rPr>
      </w:pPr>
    </w:p>
    <w:p>
      <w:pPr>
        <w:jc w:val="both"/>
        <w:ind w:left="640" w:firstLine="568"/>
        <w:spacing w:after="0" w:line="252" w:lineRule="auto"/>
        <w:tabs>
          <w:tab w:leader="none" w:pos="1650"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RSUs granted hereunder and any related dividend distribution.</w:t>
      </w:r>
    </w:p>
    <w:p>
      <w:pPr>
        <w:spacing w:after="0" w:line="206" w:lineRule="exact"/>
        <w:rPr>
          <w:rFonts w:ascii="Times New Roman" w:cs="Times New Roman" w:eastAsia="Times New Roman" w:hAnsi="Times New Roman"/>
          <w:sz w:val="22"/>
          <w:szCs w:val="22"/>
          <w:color w:val="auto"/>
        </w:rPr>
      </w:pPr>
    </w:p>
    <w:p>
      <w:pPr>
        <w:ind w:left="640" w:right="20" w:firstLine="568"/>
        <w:spacing w:after="0" w:line="250" w:lineRule="auto"/>
        <w:tabs>
          <w:tab w:leader="none" w:pos="1662" w:val="left"/>
        </w:tabs>
        <w:numPr>
          <w:ilvl w:val="1"/>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RSUs or Shares issuable under the RSUs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202" w:lineRule="exact"/>
        <w:rPr>
          <w:rFonts w:ascii="Times New Roman" w:cs="Times New Roman" w:eastAsia="Times New Roman" w:hAnsi="Times New Roman"/>
          <w:sz w:val="22"/>
          <w:szCs w:val="22"/>
          <w:color w:val="auto"/>
        </w:rPr>
      </w:pPr>
    </w:p>
    <w:p>
      <w:pPr>
        <w:ind w:right="60" w:firstLine="682"/>
        <w:spacing w:after="0" w:line="252" w:lineRule="auto"/>
        <w:tabs>
          <w:tab w:leader="none" w:pos="105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15" w:lineRule="exact"/>
        <w:rPr>
          <w:rFonts w:ascii="Times New Roman" w:cs="Times New Roman" w:eastAsia="Times New Roman" w:hAnsi="Times New Roman"/>
          <w:sz w:val="22"/>
          <w:szCs w:val="22"/>
          <w:color w:val="auto"/>
        </w:rPr>
      </w:pPr>
    </w:p>
    <w:p>
      <w:pPr>
        <w:ind w:right="20" w:firstLine="682"/>
        <w:spacing w:after="0" w:line="249" w:lineRule="auto"/>
        <w:tabs>
          <w:tab w:leader="none" w:pos="1058" w:val="left"/>
        </w:tabs>
        <w:numPr>
          <w:ilvl w:val="0"/>
          <w:numId w:val="1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cooperating 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289" w:lineRule="exact"/>
        <w:rPr>
          <w:rFonts w:ascii="Times New Roman" w:cs="Times New Roman" w:eastAsia="Times New Roman" w:hAnsi="Times New Roman"/>
          <w:sz w:val="22"/>
          <w:szCs w:val="22"/>
          <w:color w:val="auto"/>
        </w:rPr>
      </w:pPr>
    </w:p>
    <w:p>
      <w:pPr>
        <w:ind w:right="340" w:firstLine="574"/>
        <w:spacing w:after="0" w:line="299" w:lineRule="auto"/>
        <w:tabs>
          <w:tab w:leader="none" w:pos="1058" w:val="left"/>
        </w:tabs>
        <w:numPr>
          <w:ilvl w:val="0"/>
          <w:numId w:val="1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560"/>
          </w:cols>
          <w:pgMar w:left="740" w:top="1337" w:right="599" w:bottom="1440" w:gutter="0" w:footer="0" w:header="0"/>
        </w:sectPr>
      </w:pPr>
    </w:p>
    <w:bookmarkStart w:id="161" w:name="page162"/>
    <w:bookmarkEnd w:id="161"/>
    <w:p>
      <w:pPr>
        <w:ind w:right="520" w:firstLine="574"/>
        <w:spacing w:after="0" w:line="257" w:lineRule="auto"/>
        <w:tabs>
          <w:tab w:leader="none" w:pos="105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recoupment or “clawback” as may be</w:t>
      </w:r>
    </w:p>
    <w:p>
      <w:pPr>
        <w:spacing w:after="0" w:line="1" w:lineRule="exact"/>
        <w:rPr>
          <w:rFonts w:ascii="Times New Roman" w:cs="Times New Roman" w:eastAsia="Times New Roman" w:hAnsi="Times New Roman"/>
          <w:sz w:val="22"/>
          <w:szCs w:val="22"/>
          <w:color w:val="auto"/>
        </w:rPr>
      </w:pPr>
    </w:p>
    <w:p>
      <w:pPr>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required by applicable law, stock exchange rules or by any applicable Company policy or arrangement the Company has in place from time to time.</w:t>
      </w:r>
    </w:p>
    <w:p>
      <w:pPr>
        <w:spacing w:after="0" w:line="207" w:lineRule="exact"/>
        <w:rPr>
          <w:rFonts w:ascii="Times New Roman" w:cs="Times New Roman" w:eastAsia="Times New Roman" w:hAnsi="Times New Roman"/>
          <w:sz w:val="22"/>
          <w:szCs w:val="22"/>
          <w:color w:val="auto"/>
        </w:rPr>
      </w:pPr>
    </w:p>
    <w:p>
      <w:pPr>
        <w:ind w:right="40" w:firstLine="574"/>
        <w:spacing w:after="0" w:line="259" w:lineRule="auto"/>
        <w:tabs>
          <w:tab w:leader="none" w:pos="105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206" w:lineRule="exact"/>
        <w:rPr>
          <w:rFonts w:ascii="Times New Roman" w:cs="Times New Roman" w:eastAsia="Times New Roman" w:hAnsi="Times New Roman"/>
          <w:sz w:val="22"/>
          <w:szCs w:val="22"/>
          <w:color w:val="auto"/>
        </w:rPr>
      </w:pPr>
    </w:p>
    <w:p>
      <w:pPr>
        <w:ind w:left="1060" w:hanging="486"/>
        <w:spacing w:after="0"/>
        <w:tabs>
          <w:tab w:leader="none" w:pos="1060"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40" w:right="460" w:firstLine="568"/>
        <w:spacing w:after="0" w:line="269" w:lineRule="auto"/>
        <w:tabs>
          <w:tab w:leader="none" w:pos="1654" w:val="left"/>
        </w:tabs>
        <w:numPr>
          <w:ilvl w:val="1"/>
          <w:numId w:val="1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Notices. </w:t>
      </w:r>
      <w:r>
        <w:rPr>
          <w:rFonts w:ascii="Times New Roman" w:cs="Times New Roman" w:eastAsia="Times New Roman" w:hAnsi="Times New Roman"/>
          <w:sz w:val="21"/>
          <w:szCs w:val="21"/>
          <w:color w:val="auto"/>
        </w:rPr>
        <w:t>Any notice required or permitted to be given under this Agreement shall be in writing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Lake Forest, Illinois 60045 Attention: Valerie Miller Richards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23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60" w:lineRule="exact"/>
        <w:rPr>
          <w:sz w:val="20"/>
          <w:szCs w:val="20"/>
          <w:color w:val="auto"/>
        </w:rPr>
      </w:pPr>
    </w:p>
    <w:p>
      <w:pPr>
        <w:ind w:left="1300" w:right="300"/>
        <w:spacing w:after="0" w:line="257"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331" w:lineRule="exact"/>
        <w:rPr>
          <w:sz w:val="20"/>
          <w:szCs w:val="20"/>
          <w:color w:val="auto"/>
        </w:rPr>
      </w:pPr>
    </w:p>
    <w:p>
      <w:pPr>
        <w:ind w:left="640" w:right="100" w:firstLine="730"/>
        <w:spacing w:after="0" w:line="250" w:lineRule="auto"/>
        <w:tabs>
          <w:tab w:leader="none" w:pos="1828"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Entire Agreement. </w:t>
      </w:r>
      <w:r>
        <w:rPr>
          <w:rFonts w:ascii="Times New Roman" w:cs="Times New Roman" w:eastAsia="Times New Roman" w:hAnsi="Times New Roman"/>
          <w:sz w:val="22"/>
          <w:szCs w:val="22"/>
          <w:color w:val="auto"/>
        </w:rPr>
        <w:t>This Agreement, the Plan and any other agreements, schedules, exhibits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provided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non-solicitation obligations contained in an employment agreement, consulting agreement or other similar agreement entered into by and between the Participant</w:t>
      </w:r>
    </w:p>
    <w:p>
      <w:pPr>
        <w:spacing w:after="0" w:line="200" w:lineRule="exact"/>
        <w:rPr>
          <w:sz w:val="20"/>
          <w:szCs w:val="20"/>
          <w:color w:val="auto"/>
        </w:rPr>
      </w:pPr>
    </w:p>
    <w:p>
      <w:pPr>
        <w:spacing w:after="0" w:line="380"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0640"/>
          </w:cols>
          <w:pgMar w:left="740" w:top="1337" w:right="519" w:bottom="1440" w:gutter="0" w:footer="0" w:header="0"/>
        </w:sectPr>
      </w:pPr>
    </w:p>
    <w:bookmarkStart w:id="162" w:name="page163"/>
    <w:bookmarkEnd w:id="162"/>
    <w:p>
      <w:pPr>
        <w:ind w:right="580"/>
        <w:spacing w:after="0" w:line="271" w:lineRule="auto"/>
        <w:rPr>
          <w:sz w:val="20"/>
          <w:szCs w:val="20"/>
          <w:color w:val="auto"/>
        </w:rPr>
      </w:pPr>
      <w:r>
        <w:rPr>
          <w:rFonts w:ascii="Times New Roman" w:cs="Times New Roman" w:eastAsia="Times New Roman" w:hAnsi="Times New Roman"/>
          <w:sz w:val="22"/>
          <w:szCs w:val="22"/>
          <w:color w:val="auto"/>
        </w:rPr>
        <w:t>and the Company or one of its Affiliates, which shall survive the termination of any such agreements, and be enforceable independently of such other agreements.</w:t>
      </w:r>
    </w:p>
    <w:p>
      <w:pPr>
        <w:spacing w:after="0" w:line="329" w:lineRule="exact"/>
        <w:rPr>
          <w:sz w:val="20"/>
          <w:szCs w:val="20"/>
          <w:color w:val="auto"/>
        </w:rPr>
      </w:pPr>
    </w:p>
    <w:p>
      <w:pPr>
        <w:ind w:firstLine="730"/>
        <w:spacing w:after="0" w:line="254" w:lineRule="auto"/>
        <w:tabs>
          <w:tab w:leader="none" w:pos="117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Sections 409A and 457A of the Code. </w:t>
      </w:r>
      <w:r>
        <w:rPr>
          <w:rFonts w:ascii="Times New Roman" w:cs="Times New Roman" w:eastAsia="Times New Roman" w:hAnsi="Times New Roman"/>
          <w:sz w:val="22"/>
          <w:szCs w:val="22"/>
          <w:color w:val="auto"/>
        </w:rPr>
        <w:t>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335" w:lineRule="exact"/>
        <w:rPr>
          <w:rFonts w:ascii="Times New Roman" w:cs="Times New Roman" w:eastAsia="Times New Roman" w:hAnsi="Times New Roman"/>
          <w:sz w:val="22"/>
          <w:szCs w:val="22"/>
          <w:color w:val="auto"/>
        </w:rPr>
      </w:pPr>
    </w:p>
    <w:p>
      <w:pPr>
        <w:ind w:right="20" w:firstLine="730"/>
        <w:spacing w:after="0" w:line="252" w:lineRule="auto"/>
        <w:tabs>
          <w:tab w:leader="none" w:pos="1188"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 I</w:t>
      </w:r>
      <w:r>
        <w:rPr>
          <w:rFonts w:ascii="Times New Roman" w:cs="Times New Roman" w:eastAsia="Times New Roman" w:hAnsi="Times New Roman"/>
          <w:sz w:val="22"/>
          <w:szCs w:val="22"/>
          <w:color w:val="auto"/>
        </w:rPr>
        <w:t>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336" w:lineRule="exact"/>
        <w:rPr>
          <w:rFonts w:ascii="Times New Roman" w:cs="Times New Roman" w:eastAsia="Times New Roman" w:hAnsi="Times New Roman"/>
          <w:sz w:val="22"/>
          <w:szCs w:val="22"/>
          <w:color w:val="auto"/>
        </w:rPr>
      </w:pPr>
    </w:p>
    <w:p>
      <w:pPr>
        <w:ind w:firstLine="730"/>
        <w:spacing w:after="0" w:line="249" w:lineRule="auto"/>
        <w:tabs>
          <w:tab w:leader="none" w:pos="1176"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Amendment; Waiver. </w:t>
      </w:r>
      <w:r>
        <w:rPr>
          <w:rFonts w:ascii="Times New Roman" w:cs="Times New Roman" w:eastAsia="Times New Roman" w:hAnsi="Times New Roman"/>
          <w:sz w:val="22"/>
          <w:szCs w:val="22"/>
          <w:color w:val="auto"/>
        </w:rPr>
        <w:t>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material adverse effect on the Participant shall be effective unless signed in writing by or on behalf of the Company and the Participant; provided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 Agreement, shall be effective only in the specific instance and for the specific purpose for which made or given.</w:t>
      </w:r>
    </w:p>
    <w:p>
      <w:pPr>
        <w:spacing w:after="0" w:line="357" w:lineRule="exact"/>
        <w:rPr>
          <w:rFonts w:ascii="Times New Roman" w:cs="Times New Roman" w:eastAsia="Times New Roman" w:hAnsi="Times New Roman"/>
          <w:sz w:val="22"/>
          <w:szCs w:val="22"/>
          <w:color w:val="auto"/>
        </w:rPr>
      </w:pPr>
    </w:p>
    <w:p>
      <w:pPr>
        <w:ind w:right="60" w:firstLine="730"/>
        <w:spacing w:after="0" w:line="275" w:lineRule="auto"/>
        <w:tabs>
          <w:tab w:leader="none" w:pos="1152" w:val="left"/>
        </w:tabs>
        <w:numPr>
          <w:ilvl w:val="0"/>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Assignment. </w:t>
      </w:r>
      <w:r>
        <w:rPr>
          <w:rFonts w:ascii="Times New Roman" w:cs="Times New Roman" w:eastAsia="Times New Roman" w:hAnsi="Times New Roman"/>
          <w:sz w:val="22"/>
          <w:szCs w:val="22"/>
          <w:color w:val="auto"/>
        </w:rPr>
        <w:t>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311" w:lineRule="exact"/>
        <w:rPr>
          <w:rFonts w:ascii="Times New Roman" w:cs="Times New Roman" w:eastAsia="Times New Roman" w:hAnsi="Times New Roman"/>
          <w:sz w:val="22"/>
          <w:szCs w:val="22"/>
          <w:color w:val="auto"/>
        </w:rPr>
      </w:pPr>
    </w:p>
    <w:p>
      <w:pPr>
        <w:jc w:val="both"/>
        <w:ind w:right="220" w:firstLine="730"/>
        <w:spacing w:after="0" w:line="269" w:lineRule="auto"/>
        <w:tabs>
          <w:tab w:leader="none" w:pos="1188" w:val="left"/>
        </w:tabs>
        <w:numPr>
          <w:ilvl w:val="0"/>
          <w:numId w:val="1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Successors and Assigns; No Third-Party Beneficiaries. </w:t>
      </w:r>
      <w:r>
        <w:rPr>
          <w:rFonts w:ascii="Times New Roman" w:cs="Times New Roman" w:eastAsia="Times New Roman" w:hAnsi="Times New Roman"/>
          <w:sz w:val="21"/>
          <w:szCs w:val="21"/>
          <w:color w:val="auto"/>
        </w:rPr>
        <w:t>This Agreement shall inure to the benefit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000"/>
          </w:cols>
          <w:pgMar w:left="1380" w:top="1408" w:right="519" w:bottom="1440" w:gutter="0" w:footer="0" w:header="0"/>
        </w:sectPr>
      </w:pPr>
    </w:p>
    <w:bookmarkStart w:id="163" w:name="page164"/>
    <w:bookmarkEnd w:id="163"/>
    <w:p>
      <w:pPr>
        <w:ind w:left="-60" w:right="80" w:firstLine="730"/>
        <w:spacing w:after="0" w:line="252" w:lineRule="auto"/>
        <w:tabs>
          <w:tab w:leader="none" w:pos="112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Waiver of Jury Trial. </w:t>
      </w:r>
      <w:r>
        <w:rPr>
          <w:rFonts w:ascii="Times New Roman" w:cs="Times New Roman" w:eastAsia="Times New Roman" w:hAnsi="Times New Roman"/>
          <w:sz w:val="22"/>
          <w:szCs w:val="22"/>
          <w:color w:val="auto"/>
        </w:rPr>
        <w:t>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350" w:lineRule="exact"/>
        <w:rPr>
          <w:rFonts w:ascii="Times New Roman" w:cs="Times New Roman" w:eastAsia="Times New Roman" w:hAnsi="Times New Roman"/>
          <w:sz w:val="22"/>
          <w:szCs w:val="22"/>
          <w:color w:val="auto"/>
        </w:rPr>
      </w:pPr>
    </w:p>
    <w:p>
      <w:pPr>
        <w:ind w:left="-60" w:firstLine="730"/>
        <w:spacing w:after="0" w:line="247" w:lineRule="auto"/>
        <w:tabs>
          <w:tab w:leader="none" w:pos="10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Dispute Resolution. </w:t>
      </w:r>
      <w:r>
        <w:rPr>
          <w:rFonts w:ascii="Times New Roman" w:cs="Times New Roman" w:eastAsia="Times New Roman" w:hAnsi="Times New Roman"/>
          <w:sz w:val="22"/>
          <w:szCs w:val="22"/>
          <w:color w:val="auto"/>
        </w:rPr>
        <w:t>Any dispute or claim arising out of, under or in connection with the Plan or 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2"/>
          <w:szCs w:val="22"/>
          <w:b w:val="1"/>
          <w:bCs w:val="1"/>
          <w:color w:val="auto"/>
        </w:rPr>
        <w:t>AAA</w:t>
      </w:r>
      <w:r>
        <w:rPr>
          <w:rFonts w:ascii="Times New Roman" w:cs="Times New Roman" w:eastAsia="Times New Roman" w:hAnsi="Times New Roman"/>
          <w:sz w:val="22"/>
          <w:szCs w:val="22"/>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351" w:lineRule="exact"/>
        <w:rPr>
          <w:rFonts w:ascii="Times New Roman" w:cs="Times New Roman" w:eastAsia="Times New Roman" w:hAnsi="Times New Roman"/>
          <w:sz w:val="22"/>
          <w:szCs w:val="22"/>
          <w:color w:val="auto"/>
        </w:rPr>
      </w:pPr>
    </w:p>
    <w:p>
      <w:pPr>
        <w:ind w:left="-60" w:right="100" w:firstLine="730"/>
        <w:spacing w:after="0" w:line="250" w:lineRule="auto"/>
        <w:tabs>
          <w:tab w:leader="none" w:pos="10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Participant Undertaking; Acceptance. </w:t>
      </w:r>
      <w:r>
        <w:rPr>
          <w:rFonts w:ascii="Times New Roman" w:cs="Times New Roman" w:eastAsia="Times New Roman" w:hAnsi="Times New Roman"/>
          <w:sz w:val="22"/>
          <w:szCs w:val="22"/>
          <w:color w:val="auto"/>
        </w:rPr>
        <w:t>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45" w:lineRule="exact"/>
        <w:rPr>
          <w:rFonts w:ascii="Times New Roman" w:cs="Times New Roman" w:eastAsia="Times New Roman" w:hAnsi="Times New Roman"/>
          <w:sz w:val="22"/>
          <w:szCs w:val="22"/>
          <w:color w:val="auto"/>
        </w:rPr>
      </w:pPr>
    </w:p>
    <w:p>
      <w:pPr>
        <w:ind w:left="-60" w:right="60" w:firstLine="730"/>
        <w:spacing w:after="0" w:line="275" w:lineRule="auto"/>
        <w:tabs>
          <w:tab w:leader="none" w:pos="1128"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Captions. </w:t>
      </w:r>
      <w:r>
        <w:rPr>
          <w:rFonts w:ascii="Times New Roman" w:cs="Times New Roman" w:eastAsia="Times New Roman" w:hAnsi="Times New Roman"/>
          <w:sz w:val="22"/>
          <w:szCs w:val="22"/>
          <w:color w:val="auto"/>
        </w:rPr>
        <w:t>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311" w:lineRule="exact"/>
        <w:rPr>
          <w:rFonts w:ascii="Times New Roman" w:cs="Times New Roman" w:eastAsia="Times New Roman" w:hAnsi="Times New Roman"/>
          <w:sz w:val="22"/>
          <w:szCs w:val="22"/>
          <w:color w:val="auto"/>
        </w:rPr>
      </w:pPr>
    </w:p>
    <w:p>
      <w:pPr>
        <w:ind w:left="-60" w:right="280" w:firstLine="730"/>
        <w:spacing w:after="0" w:line="275" w:lineRule="auto"/>
        <w:tabs>
          <w:tab w:leader="none" w:pos="1080" w:val="left"/>
        </w:tabs>
        <w:numPr>
          <w:ilvl w:val="1"/>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executed in two counterparts, each of which shall constitute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one and the same instrument.</w:t>
      </w:r>
    </w:p>
    <w:p>
      <w:pPr>
        <w:spacing w:after="0" w:line="200" w:lineRule="exact"/>
        <w:rPr>
          <w:sz w:val="20"/>
          <w:szCs w:val="20"/>
          <w:color w:val="auto"/>
        </w:rPr>
      </w:pPr>
    </w:p>
    <w:p>
      <w:pPr>
        <w:spacing w:after="0" w:line="36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940"/>
          </w:cols>
          <w:pgMar w:left="1440" w:top="1404" w:right="519" w:bottom="1440" w:gutter="0" w:footer="0" w:header="0"/>
        </w:sectPr>
      </w:pPr>
    </w:p>
    <w:bookmarkStart w:id="164" w:name="page165"/>
    <w:bookmarkEnd w:id="164"/>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9019"/>
          </w:cols>
          <w:pgMar w:left="1440" w:top="1440" w:right="1440" w:bottom="1440" w:gutter="0" w:footer="0" w:header="0"/>
          <w:type w:val="continuous"/>
        </w:sectPr>
      </w:pPr>
    </w:p>
    <w:bookmarkStart w:id="165" w:name="page166"/>
    <w:bookmarkEnd w:id="165"/>
    <w:p>
      <w:pPr>
        <w:ind w:left="6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1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INC.</w:t>
      </w:r>
    </w:p>
    <w:p>
      <w:pPr>
        <w:spacing w:after="0" w:line="128"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2359025</wp:posOffset>
            </wp:positionH>
            <wp:positionV relativeFrom="paragraph">
              <wp:posOffset>27940</wp:posOffset>
            </wp:positionV>
            <wp:extent cx="24771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 Scott E. Huckins</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ectPr>
          <w:pgSz w:w="11900" w:h="16838" w:orient="portrait"/>
          <w:cols w:equalWidth="0" w:num="1">
            <w:col w:w="10240"/>
          </w:cols>
          <w:pgMar w:left="420" w:top="1408" w:right="1239" w:bottom="1440" w:gutter="0" w:footer="0" w:header="0"/>
        </w:sectPr>
      </w:pPr>
    </w:p>
    <w:bookmarkStart w:id="166" w:name="page167"/>
    <w:bookmarkEnd w:id="166"/>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%%FIRST_NAME_MIDDLE_NAME_LAST_NAME%-%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ectPr>
          <w:pgSz w:w="11900" w:h="16838" w:orient="portrait"/>
          <w:cols w:equalWidth="0" w:num="2">
            <w:col w:w="320" w:space="260"/>
            <w:col w:w="9459"/>
          </w:cols>
          <w:pgMar w:left="420" w:top="1188" w:right="1440" w:bottom="1440" w:gutter="0" w:footer="0" w:header="0"/>
        </w:sectPr>
      </w:pPr>
    </w:p>
    <w:p>
      <w:pPr>
        <w:spacing w:after="0" w:line="200" w:lineRule="exact"/>
        <w:rPr>
          <w:sz w:val="20"/>
          <w:szCs w:val="20"/>
          <w:color w:val="auto"/>
        </w:rPr>
      </w:pPr>
    </w:p>
    <w:p>
      <w:pPr>
        <w:spacing w:after="0" w:line="33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2"/>
          <w:szCs w:val="22"/>
          <w:color w:val="auto"/>
        </w:rPr>
        <w:t>Address:</w:t>
      </w:r>
    </w:p>
    <w:p>
      <w:pPr>
        <w:spacing w:after="0" w:line="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%%ADDRESS_LINE_1%-%</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%%ADDRESS_LINE_2%-%</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%%CITY_STATE_ZIPCODE%-%</w:t>
      </w:r>
    </w:p>
    <w:p>
      <w:pPr>
        <w:sectPr>
          <w:pgSz w:w="11900" w:h="16838" w:orient="portrait"/>
          <w:cols w:equalWidth="0" w:num="1">
            <w:col w:w="10039"/>
          </w:cols>
          <w:pgMar w:left="420" w:top="1188" w:right="1440" w:bottom="1440" w:gutter="0" w:footer="0" w:header="0"/>
          <w:type w:val="continuous"/>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b w:val="1"/>
          <w:bCs w:val="1"/>
          <w:color w:val="auto"/>
        </w:rPr>
        <w:t>REYNOLDS CONSUMER PRODUCTS INC. EQUITY INCENTIVE PLAN NOTICE OF PERFORMANCE</w:t>
      </w: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b w:val="1"/>
          <w:bCs w:val="1"/>
          <w:color w:val="auto"/>
        </w:rPr>
        <w:t>SHARE UNIT AWARD</w:t>
      </w:r>
    </w:p>
    <w:p>
      <w:pPr>
        <w:spacing w:after="0" w:line="372" w:lineRule="exact"/>
        <w:rPr>
          <w:sz w:val="20"/>
          <w:szCs w:val="20"/>
          <w:color w:val="auto"/>
        </w:rPr>
      </w:pPr>
    </w:p>
    <w:p>
      <w:pPr>
        <w:ind w:left="8620"/>
        <w:spacing w:after="0"/>
        <w:rPr>
          <w:sz w:val="20"/>
          <w:szCs w:val="20"/>
          <w:color w:val="auto"/>
        </w:rPr>
      </w:pPr>
      <w:r>
        <w:rPr>
          <w:rFonts w:ascii="Times New Roman" w:cs="Times New Roman" w:eastAsia="Times New Roman" w:hAnsi="Times New Roman"/>
          <w:sz w:val="21"/>
          <w:szCs w:val="21"/>
          <w:color w:val="auto"/>
        </w:rPr>
        <w:t>%%OPTION_DATE,1'%-%</w:t>
      </w:r>
    </w:p>
    <w:p>
      <w:pPr>
        <w:spacing w:after="0" w:line="254"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21"/>
          <w:szCs w:val="21"/>
          <w:color w:val="auto"/>
        </w:rPr>
        <w:t>Reynolds Consumer Products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has granted the Participant, effective as of the Grant Date (as set forth below), a Performance Share Unit Award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1"/>
          <w:szCs w:val="21"/>
          <w:color w:val="auto"/>
        </w:rPr>
        <w:t xml:space="preserve"> ”) under the Reynolds Consumer Products Inc. Equity Incentive Plan (as amended from time to time,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The Award is subject to the terms and conditions set forth in this award grant letter (this “</w:t>
      </w:r>
      <w:r>
        <w:rPr>
          <w:rFonts w:ascii="Times New Roman" w:cs="Times New Roman" w:eastAsia="Times New Roman" w:hAnsi="Times New Roman"/>
          <w:sz w:val="21"/>
          <w:szCs w:val="21"/>
          <w:b w:val="1"/>
          <w:bCs w:val="1"/>
          <w:color w:val="auto"/>
        </w:rPr>
        <w:t>Grant Letter</w:t>
      </w:r>
      <w:r>
        <w:rPr>
          <w:rFonts w:ascii="Times New Roman" w:cs="Times New Roman" w:eastAsia="Times New Roman" w:hAnsi="Times New Roman"/>
          <w:sz w:val="21"/>
          <w:szCs w:val="21"/>
          <w:color w:val="auto"/>
        </w:rPr>
        <w:t xml:space="preserve">”), the Performance Share Unit award agreement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all exhibits and appendices thereto) (the “</w:t>
      </w:r>
      <w:r>
        <w:rPr>
          <w:rFonts w:ascii="Times New Roman" w:cs="Times New Roman" w:eastAsia="Times New Roman" w:hAnsi="Times New Roman"/>
          <w:sz w:val="21"/>
          <w:szCs w:val="21"/>
          <w:b w:val="1"/>
          <w:bCs w:val="1"/>
          <w:color w:val="auto"/>
        </w:rPr>
        <w:t>Award Agreement</w:t>
      </w:r>
      <w:r>
        <w:rPr>
          <w:rFonts w:ascii="Times New Roman" w:cs="Times New Roman" w:eastAsia="Times New Roman" w:hAnsi="Times New Roman"/>
          <w:sz w:val="21"/>
          <w:szCs w:val="21"/>
          <w:color w:val="auto"/>
        </w:rPr>
        <w:t>” and, together with this Grant Letter, this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w:t>
      </w:r>
    </w:p>
    <w:p>
      <w:pPr>
        <w:spacing w:after="0" w:line="161"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22"/>
          <w:szCs w:val="22"/>
          <w:color w:val="auto"/>
        </w:rPr>
        <w:t>Unless otherwise defined in this Agreement, capitalized terms shall have the meanings assigned to them in the Plan. In the event of a conflict among the provisions of the Plan, this Agreement and any descriptive materials provided to the Participant, the provisions of the Plan will prevail.</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AWARD TERMS</w:t>
      </w:r>
    </w:p>
    <w:p>
      <w:pPr>
        <w:sectPr>
          <w:pgSz w:w="11900" w:h="16838" w:orient="portrait"/>
          <w:cols w:equalWidth="0" w:num="1">
            <w:col w:w="11060"/>
          </w:cols>
          <w:pgMar w:left="500" w:top="117" w:right="339" w:bottom="1440" w:gutter="0" w:footer="0" w:header="0"/>
        </w:sectPr>
      </w:pPr>
    </w:p>
    <w:bookmarkStart w:id="168" w:name="page169"/>
    <w:bookmarkEnd w:id="168"/>
    <w:p>
      <w:pPr>
        <w:ind w:left="140"/>
        <w:spacing w:after="0"/>
        <w:rPr>
          <w:sz w:val="20"/>
          <w:szCs w:val="20"/>
          <w:color w:val="auto"/>
        </w:rPr>
      </w:pPr>
      <w:r>
        <w:rPr>
          <w:rFonts w:ascii="Times New Roman" w:cs="Times New Roman" w:eastAsia="Times New Roman" w:hAnsi="Times New Roman"/>
          <w:sz w:val="22"/>
          <w:szCs w:val="22"/>
          <w:b w:val="1"/>
          <w:bCs w:val="1"/>
          <w:color w:val="auto"/>
        </w:rPr>
        <w:t>Participant:</w:t>
      </w:r>
    </w:p>
    <w:p>
      <w:pPr>
        <w:spacing w:after="0" w:line="33" w:lineRule="exact"/>
        <w:rPr>
          <w:sz w:val="20"/>
          <w:szCs w:val="20"/>
          <w:color w:val="auto"/>
        </w:rPr>
      </w:pPr>
    </w:p>
    <w:p>
      <w:pPr>
        <w:ind w:left="140"/>
        <w:spacing w:after="0" w:line="230" w:lineRule="auto"/>
        <w:rPr>
          <w:sz w:val="20"/>
          <w:szCs w:val="20"/>
          <w:color w:val="auto"/>
        </w:rPr>
      </w:pPr>
      <w:r>
        <w:rPr>
          <w:rFonts w:ascii="Times New Roman" w:cs="Times New Roman" w:eastAsia="Times New Roman" w:hAnsi="Times New Roman"/>
          <w:sz w:val="22"/>
          <w:szCs w:val="22"/>
          <w:b w:val="1"/>
          <w:bCs w:val="1"/>
          <w:color w:val="auto"/>
        </w:rPr>
        <w:t>Target Number of Performance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Grant Date:</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Performance Condition:</w:t>
      </w:r>
    </w:p>
    <w:p>
      <w:pPr>
        <w:spacing w:after="0" w:line="3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%%FIRST_NAME_LAST_NAME%-%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%%TOTAL_SHARES_GRANTED,7%-%</w:t>
      </w:r>
    </w:p>
    <w:p>
      <w:pPr>
        <w:spacing w:after="0" w:line="29"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1"/>
          <w:szCs w:val="21"/>
          <w:color w:val="auto"/>
        </w:rPr>
        <w:t>is the target number of performance share units (the “</w:t>
      </w:r>
      <w:r>
        <w:rPr>
          <w:rFonts w:ascii="Times New Roman" w:cs="Times New Roman" w:eastAsia="Times New Roman" w:hAnsi="Times New Roman"/>
          <w:sz w:val="21"/>
          <w:szCs w:val="21"/>
          <w:b w:val="1"/>
          <w:bCs w:val="1"/>
          <w:color w:val="auto"/>
        </w:rPr>
        <w:t>PSUs</w:t>
      </w:r>
      <w:r>
        <w:rPr>
          <w:rFonts w:ascii="Times New Roman" w:cs="Times New Roman" w:eastAsia="Times New Roman" w:hAnsi="Times New Roman"/>
          <w:sz w:val="21"/>
          <w:szCs w:val="21"/>
          <w:color w:val="auto"/>
        </w:rPr>
        <w:t xml:space="preserve">”) granted under this Award. PSUs shall be settled in Shares at a range from zero percent (0%) to 200% of target based on the achieved results against the Performance Condition set forth on Attachment A to the Award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no settlement shall occur unless both (i) Participant does not experience a Termination of Service (other than due to death, Retirement or Enhanced Retirement (as defined in the Award Agreement)) at any time prior to the applicable Vesting Date and (ii) the minimum Performance Condition (as such term is defined below) is satisfied. Each PSU shall correspond to a single Share.</w:t>
      </w:r>
    </w:p>
    <w:p>
      <w:pPr>
        <w:spacing w:after="0" w:line="9" w:lineRule="exact"/>
        <w:rPr>
          <w:sz w:val="20"/>
          <w:szCs w:val="20"/>
          <w:color w:val="auto"/>
        </w:rPr>
      </w:pPr>
    </w:p>
    <w:p>
      <w:pPr>
        <w:ind w:right="3040"/>
        <w:spacing w:after="0" w:line="268" w:lineRule="auto"/>
        <w:rPr>
          <w:sz w:val="20"/>
          <w:szCs w:val="20"/>
          <w:color w:val="auto"/>
        </w:rPr>
      </w:pPr>
      <w:r>
        <w:rPr>
          <w:rFonts w:ascii="Times New Roman" w:cs="Times New Roman" w:eastAsia="Times New Roman" w:hAnsi="Times New Roman"/>
          <w:sz w:val="22"/>
          <w:szCs w:val="22"/>
          <w:color w:val="auto"/>
        </w:rPr>
        <w:t>%%OPTION_DATE,'Month DD, YYYY'%-% (the “</w:t>
      </w:r>
      <w:r>
        <w:rPr>
          <w:rFonts w:ascii="Times New Roman" w:cs="Times New Roman" w:eastAsia="Times New Roman" w:hAnsi="Times New Roman"/>
          <w:sz w:val="22"/>
          <w:szCs w:val="22"/>
          <w:b w:val="1"/>
          <w:bCs w:val="1"/>
          <w:color w:val="auto"/>
        </w:rPr>
        <w:t>Grant Date</w:t>
      </w:r>
      <w:r>
        <w:rPr>
          <w:rFonts w:ascii="Times New Roman" w:cs="Times New Roman" w:eastAsia="Times New Roman" w:hAnsi="Times New Roman"/>
          <w:sz w:val="22"/>
          <w:szCs w:val="22"/>
          <w:color w:val="auto"/>
        </w:rPr>
        <w:t>”)</w:t>
      </w:r>
    </w:p>
    <w:p>
      <w:pPr>
        <w:spacing w:after="0" w:line="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2"/>
          <w:szCs w:val="22"/>
          <w:color w:val="auto"/>
        </w:rPr>
        <w:t>The Award shall be subject to satisfaction of the Performance Condition as set forth on Attachment A, subject to the terms set forth in the Award Agreement. Subject to the terms and conditions of the Award Agreement (including the satisfaction of the Performance Condition), the Shares subject to the Award shall vest on the third anniversary of the Grant Date (the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ectPr>
          <w:pgSz w:w="11900" w:h="16838" w:orient="portrait"/>
          <w:cols w:equalWidth="0" w:num="2">
            <w:col w:w="3040" w:space="640"/>
            <w:col w:w="7080"/>
          </w:cols>
          <w:pgMar w:left="500" w:top="1283" w:right="6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right="560"/>
        <w:spacing w:after="0" w:line="263" w:lineRule="auto"/>
        <w:rPr>
          <w:sz w:val="20"/>
          <w:szCs w:val="20"/>
          <w:color w:val="auto"/>
        </w:rPr>
      </w:pPr>
      <w:r>
        <w:rPr>
          <w:rFonts w:ascii="Times New Roman" w:cs="Times New Roman" w:eastAsia="Times New Roman" w:hAnsi="Times New Roman"/>
          <w:sz w:val="22"/>
          <w:szCs w:val="22"/>
          <w:color w:val="auto"/>
        </w:rPr>
        <w:t>Please review this Agreement and let us know if you have any questions about this Agreement, the Award or the Plan. You are advised to consult with your own tax advisors in respect of any tax consequences arising in connection with this Award.</w:t>
      </w:r>
    </w:p>
    <w:p>
      <w:pPr>
        <w:spacing w:after="0" w:line="14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22"/>
          <w:szCs w:val="22"/>
          <w:color w:val="auto"/>
        </w:rPr>
        <w:t>If you have questions please contact Valerie Miller Richards, the Company’s Executive Vice President of Human Resources, via email at Valerie.Miller@ReynoldsBrands.com. Otherwise, please provide your signature, address and the date for this Agreement where indicated below.</w:t>
      </w:r>
    </w:p>
    <w:p>
      <w:pPr>
        <w:sectPr>
          <w:pgSz w:w="11900" w:h="16838" w:orient="portrait"/>
          <w:cols w:equalWidth="0" w:num="1">
            <w:col w:w="10760"/>
          </w:cols>
          <w:pgMar w:left="500" w:top="1283" w:right="639" w:bottom="1440" w:gutter="0" w:footer="0" w:header="0"/>
          <w:type w:val="continuous"/>
        </w:sectPr>
      </w:pPr>
    </w:p>
    <w:bookmarkStart w:id="169" w:name="page170"/>
    <w:bookmarkEnd w:id="169"/>
    <w:p>
      <w:pPr>
        <w:spacing w:after="0" w:line="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REYNOLDS CONSUMER PRODUCTS INC.</w:t>
      </w:r>
    </w:p>
    <w:p>
      <w:pPr>
        <w:spacing w:after="0" w:line="3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EQUITY INCENTIVE PLAN</w:t>
      </w:r>
    </w:p>
    <w:p>
      <w:pPr>
        <w:spacing w:after="0" w:line="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2"/>
          <w:szCs w:val="22"/>
          <w:b w:val="1"/>
          <w:bCs w:val="1"/>
          <w:color w:val="auto"/>
        </w:rPr>
        <w:t>PERFORMANCE SHARE UNIT AWARD AGREEMENT</w:t>
      </w:r>
    </w:p>
    <w:p>
      <w:pPr>
        <w:spacing w:after="0" w:line="232" w:lineRule="exact"/>
        <w:rPr>
          <w:sz w:val="20"/>
          <w:szCs w:val="20"/>
          <w:color w:val="auto"/>
        </w:rPr>
      </w:pPr>
    </w:p>
    <w:p>
      <w:pPr>
        <w:ind w:right="300" w:firstLine="648"/>
        <w:spacing w:after="0" w:line="265" w:lineRule="auto"/>
        <w:rPr>
          <w:sz w:val="20"/>
          <w:szCs w:val="20"/>
          <w:color w:val="auto"/>
        </w:rPr>
      </w:pPr>
      <w:r>
        <w:rPr>
          <w:rFonts w:ascii="Times New Roman" w:cs="Times New Roman" w:eastAsia="Times New Roman" w:hAnsi="Times New Roman"/>
          <w:sz w:val="22"/>
          <w:szCs w:val="22"/>
          <w:color w:val="auto"/>
        </w:rPr>
        <w:t>This Performance Share Unit Award Agreement (together with all exhibits and appendices hereto, this “</w:t>
      </w:r>
      <w:r>
        <w:rPr>
          <w:rFonts w:ascii="Times New Roman" w:cs="Times New Roman" w:eastAsia="Times New Roman" w:hAnsi="Times New Roman"/>
          <w:sz w:val="22"/>
          <w:szCs w:val="22"/>
          <w:b w:val="1"/>
          <w:bCs w:val="1"/>
          <w:color w:val="auto"/>
        </w:rPr>
        <w:t>Award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dated as of the date of the Grant Letter, is by and between the Company, and the individual listed in the Grant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as the Participant.</w:t>
      </w:r>
    </w:p>
    <w:p>
      <w:pPr>
        <w:spacing w:after="0" w:line="206" w:lineRule="exact"/>
        <w:rPr>
          <w:sz w:val="20"/>
          <w:szCs w:val="20"/>
          <w:color w:val="auto"/>
        </w:rPr>
      </w:pPr>
    </w:p>
    <w:p>
      <w:pPr>
        <w:ind w:right="720" w:firstLine="648"/>
        <w:spacing w:after="0" w:line="271" w:lineRule="auto"/>
        <w:rPr>
          <w:sz w:val="20"/>
          <w:szCs w:val="20"/>
          <w:color w:val="auto"/>
        </w:rPr>
      </w:pPr>
      <w:r>
        <w:rPr>
          <w:rFonts w:ascii="Times New Roman" w:cs="Times New Roman" w:eastAsia="Times New Roman" w:hAnsi="Times New Roman"/>
          <w:sz w:val="22"/>
          <w:szCs w:val="22"/>
          <w:color w:val="auto"/>
        </w:rPr>
        <w:t>WHEREAS, the Company hereby grants the Award to the Participant under the Plan, and the Participant hereby accepts the Award, in each case, subject to the terms and conditions of the Plan and this Agreement; and</w:t>
      </w:r>
    </w:p>
    <w:p>
      <w:pPr>
        <w:spacing w:after="0" w:line="158" w:lineRule="exact"/>
        <w:rPr>
          <w:sz w:val="20"/>
          <w:szCs w:val="20"/>
          <w:color w:val="auto"/>
        </w:rPr>
      </w:pPr>
    </w:p>
    <w:p>
      <w:pPr>
        <w:ind w:right="1040" w:firstLine="648"/>
        <w:spacing w:after="0" w:line="270" w:lineRule="auto"/>
        <w:rPr>
          <w:sz w:val="20"/>
          <w:szCs w:val="20"/>
          <w:color w:val="auto"/>
        </w:rPr>
      </w:pPr>
      <w:r>
        <w:rPr>
          <w:rFonts w:ascii="Times New Roman" w:cs="Times New Roman" w:eastAsia="Times New Roman" w:hAnsi="Times New Roman"/>
          <w:sz w:val="22"/>
          <w:szCs w:val="22"/>
          <w:color w:val="auto"/>
        </w:rPr>
        <w:t>WHEREAS, by accepting the Award and entering into this Agreement, the Participant acknowledges having received and read a copy of the Plan and agrees to comply with it, this Agreement and all applicable laws and regulations.</w:t>
      </w:r>
    </w:p>
    <w:p>
      <w:pPr>
        <w:spacing w:after="0" w:line="145"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contained herein, and for other good and valuable consideration, the parties hereto agree as follows.</w:t>
      </w:r>
    </w:p>
    <w:p>
      <w:pPr>
        <w:spacing w:after="0" w:line="180" w:lineRule="exact"/>
        <w:rPr>
          <w:sz w:val="20"/>
          <w:szCs w:val="20"/>
          <w:color w:val="auto"/>
        </w:rPr>
      </w:pPr>
    </w:p>
    <w:p>
      <w:pPr>
        <w:ind w:right="420" w:firstLine="688"/>
        <w:spacing w:after="0" w:line="258" w:lineRule="auto"/>
        <w:tabs>
          <w:tab w:leader="none" w:pos="105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Grant of Award</w:t>
      </w:r>
      <w:r>
        <w:rPr>
          <w:rFonts w:ascii="Times New Roman" w:cs="Times New Roman" w:eastAsia="Times New Roman" w:hAnsi="Times New Roman"/>
          <w:sz w:val="22"/>
          <w:szCs w:val="22"/>
          <w:color w:val="auto"/>
        </w:rPr>
        <w:t>. The Company hereby grants to the Participant on the Grant Date the aggregate number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share units (“</w:t>
      </w:r>
      <w:r>
        <w:rPr>
          <w:rFonts w:ascii="Times New Roman" w:cs="Times New Roman" w:eastAsia="Times New Roman" w:hAnsi="Times New Roman"/>
          <w:sz w:val="22"/>
          <w:szCs w:val="22"/>
          <w:b w:val="1"/>
          <w:bCs w:val="1"/>
          <w:color w:val="auto"/>
        </w:rPr>
        <w:t>PSUs</w:t>
      </w:r>
      <w:r>
        <w:rPr>
          <w:rFonts w:ascii="Times New Roman" w:cs="Times New Roman" w:eastAsia="Times New Roman" w:hAnsi="Times New Roman"/>
          <w:sz w:val="22"/>
          <w:szCs w:val="22"/>
          <w:color w:val="auto"/>
        </w:rPr>
        <w:t>”) as set forth in the Grant Letter, subject to the terms and conditions of the Plan and this Agreement. This Award is granted under the Plan, the provisions of which are incorporated herein by reference and made a part of this Agreement.</w:t>
      </w:r>
    </w:p>
    <w:p>
      <w:pPr>
        <w:spacing w:after="0" w:line="208" w:lineRule="exact"/>
        <w:rPr>
          <w:rFonts w:ascii="Times New Roman" w:cs="Times New Roman" w:eastAsia="Times New Roman" w:hAnsi="Times New Roman"/>
          <w:sz w:val="22"/>
          <w:szCs w:val="22"/>
          <w:color w:val="auto"/>
        </w:rPr>
      </w:pPr>
    </w:p>
    <w:p>
      <w:pPr>
        <w:ind w:right="760" w:firstLine="688"/>
        <w:spacing w:after="0" w:line="258" w:lineRule="auto"/>
        <w:tabs>
          <w:tab w:leader="none" w:pos="105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Issuance of PSUs</w:t>
      </w:r>
      <w:r>
        <w:rPr>
          <w:rFonts w:ascii="Times New Roman" w:cs="Times New Roman" w:eastAsia="Times New Roman" w:hAnsi="Times New Roman"/>
          <w:sz w:val="22"/>
          <w:szCs w:val="22"/>
          <w:color w:val="auto"/>
        </w:rPr>
        <w:t>. To the extent that the Award has vested, the PSUs associated with such Award shall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settled based on the level of attainment of the “</w:t>
      </w:r>
      <w:r>
        <w:rPr>
          <w:rFonts w:ascii="Times New Roman" w:cs="Times New Roman" w:eastAsia="Times New Roman" w:hAnsi="Times New Roman"/>
          <w:sz w:val="22"/>
          <w:szCs w:val="22"/>
          <w:b w:val="1"/>
          <w:bCs w:val="1"/>
          <w:color w:val="auto"/>
        </w:rPr>
        <w:t>Performance Condition</w:t>
      </w:r>
      <w:r>
        <w:rPr>
          <w:rFonts w:ascii="Times New Roman" w:cs="Times New Roman" w:eastAsia="Times New Roman" w:hAnsi="Times New Roman"/>
          <w:sz w:val="22"/>
          <w:szCs w:val="22"/>
          <w:color w:val="auto"/>
        </w:rPr>
        <w:t xml:space="preserve">” (as detailed in this Agreement or </w:t>
      </w:r>
      <w:r>
        <w:rPr>
          <w:rFonts w:ascii="Times New Roman" w:cs="Times New Roman" w:eastAsia="Times New Roman" w:hAnsi="Times New Roman"/>
          <w:sz w:val="22"/>
          <w:szCs w:val="22"/>
          <w:u w:val="single" w:color="auto"/>
          <w:color w:val="auto"/>
        </w:rPr>
        <w:t>Attachment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w:t>
      </w:r>
      <w:r>
        <w:rPr>
          <w:rFonts w:ascii="Times New Roman" w:cs="Times New Roman" w:eastAsia="Times New Roman" w:hAnsi="Times New Roman"/>
          <w:sz w:val="22"/>
          <w:szCs w:val="22"/>
          <w:color w:val="auto"/>
        </w:rPr>
        <w:t xml:space="preserve"> to this Agreement), determined by the Committee in accordance with and subject to the terms of this Award Agreement and the Plan.</w:t>
      </w:r>
    </w:p>
    <w:p>
      <w:pPr>
        <w:spacing w:after="0" w:line="208" w:lineRule="exact"/>
        <w:rPr>
          <w:rFonts w:ascii="Times New Roman" w:cs="Times New Roman" w:eastAsia="Times New Roman" w:hAnsi="Times New Roman"/>
          <w:sz w:val="22"/>
          <w:szCs w:val="22"/>
          <w:color w:val="auto"/>
        </w:rPr>
      </w:pPr>
    </w:p>
    <w:p>
      <w:pPr>
        <w:ind w:left="1060" w:hanging="372"/>
        <w:spacing w:after="0"/>
        <w:tabs>
          <w:tab w:leader="none" w:pos="1060"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and Conditions</w:t>
      </w:r>
      <w:r>
        <w:rPr>
          <w:rFonts w:ascii="Times New Roman" w:cs="Times New Roman" w:eastAsia="Times New Roman" w:hAnsi="Times New Roman"/>
          <w:sz w:val="22"/>
          <w:szCs w:val="22"/>
          <w:color w:val="auto"/>
        </w:rPr>
        <w:t>. It is understood and agreed that the Award evidenced hereby is subject to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 terms and conditions:</w:t>
      </w:r>
    </w:p>
    <w:p>
      <w:pPr>
        <w:spacing w:after="0" w:line="230" w:lineRule="exact"/>
        <w:rPr>
          <w:sz w:val="20"/>
          <w:szCs w:val="20"/>
          <w:color w:val="auto"/>
        </w:rPr>
      </w:pPr>
    </w:p>
    <w:p>
      <w:pPr>
        <w:ind w:left="660" w:right="280" w:firstLine="729"/>
        <w:spacing w:after="0" w:line="253" w:lineRule="auto"/>
        <w:tabs>
          <w:tab w:leader="none" w:pos="1848"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of Award</w:t>
      </w:r>
      <w:r>
        <w:rPr>
          <w:rFonts w:ascii="Times New Roman" w:cs="Times New Roman" w:eastAsia="Times New Roman" w:hAnsi="Times New Roman"/>
          <w:sz w:val="22"/>
          <w:szCs w:val="22"/>
          <w:color w:val="auto"/>
        </w:rPr>
        <w:t>. Subject to Sections 4, 5, 6 and 11, the Award shall vest and become non-forfeitable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 accordance with the vesting schedule set forth in the Grant Letter, subject to (i) the satisfaction of the Performance Condition, as determined by the Committee, and (ii) the Participant’s continuous service with the Company or any of its Affiliates through the Vesting Date.</w:t>
      </w:r>
    </w:p>
    <w:p>
      <w:pPr>
        <w:spacing w:after="0" w:line="202" w:lineRule="exact"/>
        <w:rPr>
          <w:rFonts w:ascii="Times New Roman" w:cs="Times New Roman" w:eastAsia="Times New Roman" w:hAnsi="Times New Roman"/>
          <w:sz w:val="22"/>
          <w:szCs w:val="22"/>
          <w:color w:val="auto"/>
        </w:rPr>
      </w:pPr>
    </w:p>
    <w:p>
      <w:pPr>
        <w:ind w:left="660" w:right="640" w:firstLine="716"/>
        <w:spacing w:after="0" w:line="287" w:lineRule="auto"/>
        <w:tabs>
          <w:tab w:leader="none" w:pos="1847" w:val="left"/>
        </w:tabs>
        <w:numPr>
          <w:ilvl w:val="0"/>
          <w:numId w:val="1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The Participant shall have no voting rights or any other rights as a shareholder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respect to the PSUs unless</w:t>
      </w:r>
    </w:p>
    <w:p>
      <w:pPr>
        <w:spacing w:after="0" w:line="200" w:lineRule="exact"/>
        <w:rPr>
          <w:sz w:val="20"/>
          <w:szCs w:val="20"/>
          <w:color w:val="auto"/>
        </w:rPr>
      </w:pPr>
    </w:p>
    <w:p>
      <w:pPr>
        <w:spacing w:after="0" w:line="324"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060"/>
          </w:cols>
          <w:pgMar w:left="500" w:top="1440"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2"/>
          <w:szCs w:val="22"/>
          <w:color w:val="auto"/>
        </w:rPr>
        <w:t>and until the Participant becomes the record owner of the Shares underlying such PSUs.</w:t>
      </w:r>
    </w:p>
    <w:p>
      <w:pPr>
        <w:spacing w:after="0" w:line="256" w:lineRule="exact"/>
        <w:rPr>
          <w:sz w:val="20"/>
          <w:szCs w:val="20"/>
          <w:color w:val="auto"/>
        </w:rPr>
      </w:pPr>
    </w:p>
    <w:p>
      <w:pPr>
        <w:ind w:right="160" w:firstLine="716"/>
        <w:spacing w:after="0" w:line="255" w:lineRule="auto"/>
        <w:tabs>
          <w:tab w:leader="none" w:pos="1175"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Cash Dividends</w:t>
      </w:r>
      <w:r>
        <w:rPr>
          <w:rFonts w:ascii="Times New Roman" w:cs="Times New Roman" w:eastAsia="Times New Roman" w:hAnsi="Times New Roman"/>
          <w:sz w:val="22"/>
          <w:szCs w:val="22"/>
          <w:color w:val="auto"/>
        </w:rPr>
        <w:t>. If a cash dividend is paid on Shares during the period commencing on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ending on the date on which the Shares underlying the PSUs are distributed to the Participant pursuant to Section 3(d), then as of each dividend payment date, the Participant shall be credited with cash per PSU equal to the per Share amount of such dividend. Any amounts credited pursuant to the immediately preceding sentence shall be subject to the same applicable terms and conditions (including vesting, payment and forfeitability) as apply to the PSUs based on which the dividend equivalents were credited, and such amounts shall be paid in cash (without interest) at the same time as the PSUs to which they relate are settled.</w:t>
      </w:r>
    </w:p>
    <w:p>
      <w:pPr>
        <w:spacing w:after="0" w:line="156" w:lineRule="exact"/>
        <w:rPr>
          <w:rFonts w:ascii="Times New Roman" w:cs="Times New Roman" w:eastAsia="Times New Roman" w:hAnsi="Times New Roman"/>
          <w:sz w:val="22"/>
          <w:szCs w:val="22"/>
          <w:color w:val="auto"/>
        </w:rPr>
      </w:pPr>
    </w:p>
    <w:p>
      <w:pPr>
        <w:ind w:firstLine="716"/>
        <w:spacing w:after="0" w:line="249" w:lineRule="auto"/>
        <w:tabs>
          <w:tab w:leader="none" w:pos="1187"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Distribution of Shares</w:t>
      </w:r>
      <w:r>
        <w:rPr>
          <w:rFonts w:ascii="Times New Roman" w:cs="Times New Roman" w:eastAsia="Times New Roman" w:hAnsi="Times New Roman"/>
          <w:sz w:val="22"/>
          <w:szCs w:val="22"/>
          <w:color w:val="auto"/>
        </w:rPr>
        <w:t>. Subject to the provisions of this Agreement, upon the vesting of any of the PSUs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on the scheduled Vesting Date or the Participant’s Termination of Service due to death, the Company shall deliver to the Participant, as soon as reasonably practicable after the applicable Vesting Date (or the date of the Participant’s Termination of Service due to death, as applicable), (i) one Share for each such PSU plus (ii) such cash attributable to dividends to which the Participant has become entitled under Section 3(c);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settlement shall be made no later than the 15th day of the third calendar month following the Vesting Date (or the date of the Participant’s Termination of Service due to death, as applicable). Upon such delivery, such Shares shall be fully assignable, alienable, saleable and transferrable by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assignment, alienation, sale, transfer or other alienation with respect to such Shares shall be in accordance with applicable securities laws and any applicable Company policy.</w:t>
      </w:r>
    </w:p>
    <w:p>
      <w:pPr>
        <w:spacing w:after="0" w:line="210" w:lineRule="exact"/>
        <w:rPr>
          <w:rFonts w:ascii="Times New Roman" w:cs="Times New Roman" w:eastAsia="Times New Roman" w:hAnsi="Times New Roman"/>
          <w:sz w:val="22"/>
          <w:szCs w:val="22"/>
          <w:color w:val="auto"/>
        </w:rPr>
      </w:pPr>
    </w:p>
    <w:p>
      <w:pPr>
        <w:ind w:right="20" w:firstLine="729"/>
        <w:spacing w:after="0" w:line="266" w:lineRule="auto"/>
        <w:tabs>
          <w:tab w:leader="none" w:pos="1188" w:val="left"/>
        </w:tabs>
        <w:numPr>
          <w:ilvl w:val="1"/>
          <w:numId w:val="1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Adjustment in Capitalization</w:t>
      </w:r>
      <w:r>
        <w:rPr>
          <w:rFonts w:ascii="Times New Roman" w:cs="Times New Roman" w:eastAsia="Times New Roman" w:hAnsi="Times New Roman"/>
          <w:sz w:val="21"/>
          <w:szCs w:val="21"/>
          <w:color w:val="auto"/>
        </w:rPr>
        <w:t>. In the event that, as a result of any dividend (other than ordinary cash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dividends) or other distribution (whether in the form of cash, Shares or other securities), recapitalization, share split (share subdivision), reverse share split (share consolidation), reorganization, merger, amalgamation, consolidation, split-up, spin-off, combination, repurchase or exchange of Shares or other securities of the Company, issuance of warrants or other rights to acquire Shares or other securities of the Company, issuance of Shares pursuant to the anti-dilution provisions of securities of the Company, or other similar corporate transaction or event affecting the Shares, or of changes in applicable laws, regulations or accounting principles, an adjustment is necessary in order to prevent dilution or enlargement of the benefits or potential benefits intended to be made available under the Plan or this Agreement, then the Committee shall adjust the terms of this Agreement and this Award, to the extent necessary, in its sole discretion. In no event shall the Committee adjust the terms of this Agreement or the PSUs in a manner which would cause the PSUs to be subject to the provisions of Section 409A or 457A of the Code.</w:t>
      </w:r>
    </w:p>
    <w:p>
      <w:pPr>
        <w:spacing w:after="0" w:line="200" w:lineRule="exact"/>
        <w:rPr>
          <w:sz w:val="20"/>
          <w:szCs w:val="20"/>
          <w:color w:val="auto"/>
        </w:rPr>
      </w:pPr>
    </w:p>
    <w:p>
      <w:pPr>
        <w:spacing w:after="0" w:line="36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180"/>
          </w:cols>
          <w:pgMar w:left="1160" w:top="1341" w:right="559" w:bottom="1440" w:gutter="0" w:footer="0" w:header="0"/>
        </w:sectPr>
      </w:pPr>
    </w:p>
    <w:bookmarkStart w:id="171" w:name="page172"/>
    <w:bookmarkEnd w:id="171"/>
    <w:p>
      <w:pPr>
        <w:ind w:left="620" w:right="40" w:firstLine="755"/>
        <w:spacing w:after="0" w:line="257" w:lineRule="auto"/>
        <w:tabs>
          <w:tab w:leader="none" w:pos="1810"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Restrictions on Transferability</w:t>
      </w:r>
      <w:r>
        <w:rPr>
          <w:rFonts w:ascii="Times New Roman" w:cs="Times New Roman" w:eastAsia="Times New Roman" w:hAnsi="Times New Roman"/>
          <w:sz w:val="22"/>
          <w:szCs w:val="22"/>
          <w:color w:val="auto"/>
        </w:rPr>
        <w:t>. Except as may be permitted by the Committee, neither this Award nor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right under this Award shall be assignable, alienable, saleable or transferable by the Participant otherwise than by will or pursuant to the laws of descent and distribution or to a designated Beneficiary. This provision shall not apply to any portion of this Award for which Shares have been fully distributed and shall not preclude forfeiture of any portion of this Award in accordance with the terms herein.</w:t>
      </w:r>
    </w:p>
    <w:p>
      <w:pPr>
        <w:spacing w:after="0" w:line="36" w:lineRule="exact"/>
        <w:rPr>
          <w:rFonts w:ascii="Times New Roman" w:cs="Times New Roman" w:eastAsia="Times New Roman" w:hAnsi="Times New Roman"/>
          <w:sz w:val="22"/>
          <w:szCs w:val="22"/>
          <w:color w:val="auto"/>
        </w:rPr>
      </w:pPr>
    </w:p>
    <w:p>
      <w:pPr>
        <w:ind w:left="620" w:right="40" w:firstLine="755"/>
        <w:spacing w:after="0" w:line="258" w:lineRule="auto"/>
        <w:tabs>
          <w:tab w:leader="none" w:pos="18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Continued Service. </w:t>
      </w:r>
      <w:r>
        <w:rPr>
          <w:rFonts w:ascii="Times New Roman" w:cs="Times New Roman" w:eastAsia="Times New Roman" w:hAnsi="Times New Roman"/>
          <w:sz w:val="22"/>
          <w:szCs w:val="22"/>
          <w:color w:val="auto"/>
        </w:rPr>
        <w:t>The grant of an Award shall not be construed as giving the 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right to be retained in the employ of, or to continue to provide services to, the Company or any of its Affiliates. The receipt of any Award under the Plan is not intended to confer any rights on the receiving Participant except as set forth in the applicable Agreement.</w:t>
      </w:r>
    </w:p>
    <w:p>
      <w:pPr>
        <w:spacing w:after="0" w:line="32" w:lineRule="exact"/>
        <w:rPr>
          <w:rFonts w:ascii="Times New Roman" w:cs="Times New Roman" w:eastAsia="Times New Roman" w:hAnsi="Times New Roman"/>
          <w:sz w:val="22"/>
          <w:szCs w:val="22"/>
          <w:color w:val="auto"/>
        </w:rPr>
      </w:pPr>
    </w:p>
    <w:p>
      <w:pPr>
        <w:jc w:val="both"/>
        <w:ind w:left="620" w:right="20" w:firstLine="755"/>
        <w:spacing w:after="0" w:line="265" w:lineRule="auto"/>
        <w:tabs>
          <w:tab w:leader="none" w:pos="1846" w:val="left"/>
        </w:tabs>
        <w:numPr>
          <w:ilvl w:val="0"/>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 to Future Awards. </w:t>
      </w:r>
      <w:r>
        <w:rPr>
          <w:rFonts w:ascii="Times New Roman" w:cs="Times New Roman" w:eastAsia="Times New Roman" w:hAnsi="Times New Roman"/>
          <w:sz w:val="22"/>
          <w:szCs w:val="22"/>
          <w:color w:val="auto"/>
        </w:rPr>
        <w:t>Any Award granted under the Plan shall be a one-time Award that does not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constitute a promise of future grants. The Company, in its sole discretion, maintains the right to make available future grants under the Plan.</w:t>
      </w:r>
    </w:p>
    <w:p>
      <w:pPr>
        <w:spacing w:after="0" w:line="161" w:lineRule="exact"/>
        <w:rPr>
          <w:sz w:val="20"/>
          <w:szCs w:val="20"/>
          <w:color w:val="auto"/>
        </w:rPr>
      </w:pPr>
    </w:p>
    <w:p>
      <w:pPr>
        <w:ind w:left="-40" w:right="420" w:firstLine="688"/>
        <w:spacing w:after="0" w:line="262" w:lineRule="auto"/>
        <w:tabs>
          <w:tab w:leader="none" w:pos="101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Termination of Service</w:t>
      </w:r>
      <w:r>
        <w:rPr>
          <w:rFonts w:ascii="Times New Roman" w:cs="Times New Roman" w:eastAsia="Times New Roman" w:hAnsi="Times New Roman"/>
          <w:sz w:val="22"/>
          <w:szCs w:val="22"/>
          <w:color w:val="auto"/>
        </w:rPr>
        <w:t>. Except as otherwise provided in Section 5, in the event of the Participant’s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Termination of Service for any reason, prior to the date on which the Award otherwise becomes vested, the unvested portion of the Award shall immediately be forfeited by the Participant and become the property of the Company, without any payment or consideration being due to the Participant.</w:t>
      </w:r>
    </w:p>
    <w:p>
      <w:pPr>
        <w:spacing w:after="0" w:line="150" w:lineRule="exact"/>
        <w:rPr>
          <w:rFonts w:ascii="Times New Roman" w:cs="Times New Roman" w:eastAsia="Times New Roman" w:hAnsi="Times New Roman"/>
          <w:sz w:val="22"/>
          <w:szCs w:val="22"/>
          <w:color w:val="auto"/>
        </w:rPr>
      </w:pPr>
    </w:p>
    <w:p>
      <w:pPr>
        <w:ind w:left="-40" w:right="20" w:firstLine="688"/>
        <w:spacing w:after="0" w:line="262" w:lineRule="auto"/>
        <w:tabs>
          <w:tab w:leader="none" w:pos="1018"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Vesting Upon Termination due to Death, Retirement or Enhanced Retirement</w:t>
      </w:r>
      <w:r>
        <w:rPr>
          <w:rFonts w:ascii="Times New Roman" w:cs="Times New Roman" w:eastAsia="Times New Roman" w:hAnsi="Times New Roman"/>
          <w:sz w:val="22"/>
          <w:szCs w:val="22"/>
          <w:color w:val="auto"/>
        </w:rPr>
        <w:t>. Notwithstanding the foregoing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any other provisions of the Plan to the contrary, in the event of the Participant’s Termination of Service due to the Participant’s death, Retirement (as defined below) or Enhanced Retirement (as defined below), a portion of the Award may vest or remain eligible to vest upon or following such Termination of Service as follows:</w:t>
      </w:r>
    </w:p>
    <w:p>
      <w:pPr>
        <w:spacing w:after="0" w:line="168" w:lineRule="exact"/>
        <w:rPr>
          <w:rFonts w:ascii="Times New Roman" w:cs="Times New Roman" w:eastAsia="Times New Roman" w:hAnsi="Times New Roman"/>
          <w:sz w:val="22"/>
          <w:szCs w:val="22"/>
          <w:color w:val="auto"/>
        </w:rPr>
      </w:pPr>
    </w:p>
    <w:p>
      <w:pPr>
        <w:ind w:left="1800" w:hanging="464"/>
        <w:spacing w:after="0"/>
        <w:tabs>
          <w:tab w:leader="none" w:pos="1800" w:val="left"/>
        </w:tabs>
        <w:numPr>
          <w:ilvl w:val="1"/>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w:t>
      </w:r>
    </w:p>
    <w:p>
      <w:pPr>
        <w:spacing w:after="0" w:line="219" w:lineRule="exact"/>
        <w:rPr>
          <w:rFonts w:ascii="Times New Roman" w:cs="Times New Roman" w:eastAsia="Times New Roman" w:hAnsi="Times New Roman"/>
          <w:sz w:val="22"/>
          <w:szCs w:val="22"/>
          <w:color w:val="auto"/>
        </w:rPr>
      </w:pPr>
    </w:p>
    <w:p>
      <w:pPr>
        <w:ind w:left="1320" w:firstLine="574"/>
        <w:spacing w:after="0" w:line="253" w:lineRule="auto"/>
        <w:tabs>
          <w:tab w:leader="none" w:pos="2307" w:val="left"/>
        </w:tabs>
        <w:numPr>
          <w:ilvl w:val="2"/>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death prior to the Vesting Date, the Committee shall determine the number of the Participant’s PSUs that would have vested based on the likely level of achievement of the Performance Condition, which number shall then be prorated based on a fraction, the numerator of which is the number of full calendar months the Participant has been employed from the Grant Date through the date of such Termination of Service (the “</w:t>
      </w:r>
      <w:r>
        <w:rPr>
          <w:rFonts w:ascii="Times New Roman" w:cs="Times New Roman" w:eastAsia="Times New Roman" w:hAnsi="Times New Roman"/>
          <w:sz w:val="22"/>
          <w:szCs w:val="22"/>
          <w:b w:val="1"/>
          <w:bCs w:val="1"/>
          <w:color w:val="auto"/>
        </w:rPr>
        <w:t>Service Months</w:t>
      </w:r>
      <w:r>
        <w:rPr>
          <w:rFonts w:ascii="Times New Roman" w:cs="Times New Roman" w:eastAsia="Times New Roman" w:hAnsi="Times New Roman"/>
          <w:sz w:val="22"/>
          <w:szCs w:val="22"/>
          <w:color w:val="auto"/>
        </w:rPr>
        <w:t xml:space="preserve">”) (for clarity and for all purposes as used in this Agreement, “full calendar months” means each full calendar month after the Grant Date that ends on the numbered day immediately prior to the numbered day of the Grant Date), and the denominator of which is 36, to determine the actual number of PSUs that vest pursuant to this Section 5(a);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the Participant must have been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800"/>
          </w:cols>
          <w:pgMar w:left="540" w:top="1418" w:right="559" w:bottom="1440" w:gutter="0" w:footer="0" w:header="0"/>
        </w:sectPr>
      </w:pPr>
    </w:p>
    <w:bookmarkStart w:id="172" w:name="page173"/>
    <w:bookmarkEnd w:id="172"/>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employed by the Company or an Affiliate for at least twelve (12) months following the Grant Date.</w:t>
      </w:r>
    </w:p>
    <w:p>
      <w:pPr>
        <w:spacing w:after="0" w:line="220" w:lineRule="exact"/>
        <w:rPr>
          <w:sz w:val="20"/>
          <w:szCs w:val="20"/>
          <w:color w:val="auto"/>
        </w:rPr>
      </w:pPr>
    </w:p>
    <w:p>
      <w:pPr>
        <w:ind w:left="420" w:right="100" w:firstLine="574"/>
        <w:spacing w:after="0" w:line="263" w:lineRule="auto"/>
        <w:tabs>
          <w:tab w:leader="none" w:pos="146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underlying the prorated PSUs that vest upon the Participant’s Termination of Service due to death pursuant to this Section 5(a), if any, shall be distributed to the Participant pursuant to Section 3(d), and the remaining PSUs shall be forfeited.</w:t>
      </w:r>
    </w:p>
    <w:p>
      <w:pPr>
        <w:spacing w:after="0" w:line="153" w:lineRule="exact"/>
        <w:rPr>
          <w:rFonts w:ascii="Times New Roman" w:cs="Times New Roman" w:eastAsia="Times New Roman" w:hAnsi="Times New Roman"/>
          <w:sz w:val="22"/>
          <w:szCs w:val="22"/>
          <w:color w:val="auto"/>
        </w:rPr>
      </w:pPr>
    </w:p>
    <w:p>
      <w:pPr>
        <w:ind w:left="420" w:right="280" w:firstLine="574"/>
        <w:spacing w:after="0" w:line="284" w:lineRule="auto"/>
        <w:tabs>
          <w:tab w:leader="none" w:pos="1523" w:val="left"/>
        </w:tabs>
        <w:numPr>
          <w:ilvl w:val="1"/>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PSUs on February 10, 2022:</w:t>
      </w:r>
    </w:p>
    <w:p>
      <w:pPr>
        <w:spacing w:after="0" w:line="143"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2022: none of such PSUs would vest.</w:t>
      </w:r>
    </w:p>
    <w:p>
      <w:pPr>
        <w:spacing w:after="0" w:line="219" w:lineRule="exact"/>
        <w:rPr>
          <w:rFonts w:ascii="Times New Roman" w:cs="Times New Roman" w:eastAsia="Times New Roman" w:hAnsi="Times New Roman"/>
          <w:sz w:val="22"/>
          <w:szCs w:val="22"/>
          <w:color w:val="auto"/>
        </w:rPr>
      </w:pPr>
    </w:p>
    <w:p>
      <w:pPr>
        <w:ind w:left="1000" w:right="200" w:firstLine="480"/>
        <w:spacing w:after="0" w:line="256" w:lineRule="auto"/>
        <w:tabs>
          <w:tab w:leader="none" w:pos="1986"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2023: assuming the Committee determines that 120% of the PSUs would have vested based on the likely level of achievement of the Performance Condition, then 720 PSUs would vest at the time of death (1,200 x 120% = 1,440 x (18 months / 36 months) = 720.</w:t>
      </w:r>
    </w:p>
    <w:p>
      <w:pPr>
        <w:spacing w:after="0" w:line="176" w:lineRule="exact"/>
        <w:rPr>
          <w:rFonts w:ascii="Times New Roman" w:cs="Times New Roman" w:eastAsia="Times New Roman" w:hAnsi="Times New Roman"/>
          <w:sz w:val="22"/>
          <w:szCs w:val="22"/>
          <w:color w:val="auto"/>
        </w:rPr>
      </w:pPr>
    </w:p>
    <w:p>
      <w:pPr>
        <w:ind w:left="1000" w:right="320" w:firstLine="480"/>
        <w:spacing w:after="0" w:line="261" w:lineRule="auto"/>
        <w:tabs>
          <w:tab w:leader="none" w:pos="1986" w:val="left"/>
        </w:tabs>
        <w:numPr>
          <w:ilvl w:val="2"/>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death on August 20, 2024: assuming the Committee determines that 90% of the PSUs would have vested based on the likely level of achievement of the Performance Condition, then 900 PSUs would vest at the time of death (1,200 x 90% = 1,080 x 30 months / 36 months) = 900.</w:t>
      </w:r>
    </w:p>
    <w:p>
      <w:pPr>
        <w:spacing w:after="0" w:line="168" w:lineRule="exact"/>
        <w:rPr>
          <w:rFonts w:ascii="Times New Roman" w:cs="Times New Roman" w:eastAsia="Times New Roman" w:hAnsi="Times New Roman"/>
          <w:sz w:val="22"/>
          <w:szCs w:val="22"/>
          <w:color w:val="auto"/>
        </w:rPr>
      </w:pPr>
    </w:p>
    <w:p>
      <w:pPr>
        <w:ind w:left="1120" w:hanging="684"/>
        <w:spacing w:after="0"/>
        <w:tabs>
          <w:tab w:leader="none" w:pos="112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Retirement.</w:t>
      </w:r>
    </w:p>
    <w:p>
      <w:pPr>
        <w:spacing w:after="0" w:line="219" w:lineRule="exact"/>
        <w:rPr>
          <w:rFonts w:ascii="Times New Roman" w:cs="Times New Roman" w:eastAsia="Times New Roman" w:hAnsi="Times New Roman"/>
          <w:sz w:val="22"/>
          <w:szCs w:val="22"/>
          <w:color w:val="auto"/>
        </w:rPr>
      </w:pPr>
    </w:p>
    <w:p>
      <w:pPr>
        <w:ind w:left="420" w:firstLine="574"/>
        <w:spacing w:after="0" w:line="251" w:lineRule="auto"/>
        <w:tabs>
          <w:tab w:leader="none" w:pos="1407" w:val="left"/>
        </w:tabs>
        <w:numPr>
          <w:ilvl w:val="1"/>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the Participant’s Termination of Service due to the Participant’s Retirement after the first anniversary of the Grant Date and prior to the Vesting Date, subject to the Participant’s execution and non-revocation of a customary release of claims in favor of the Company and its Affiliates and the Participant’s continuous compliance with the Restrictive Covenant Agreement, the Participant’s PSUs shall remain outstanding and eligible to vest on the Vesting Date, and the number of the Participant’s PSUs that vest on the Vesting Date will be equal to the product obtained by multiplying (i) the number of the Participant’s PSUs that would have vested pursuant to this Agreement if the Participant’s Termination of Service had not occurred, as determined by the Committee, by (ii) a fraction, the numerator of which is the Service Months (defined above as the number of full calendar months the Participant has been employed from the Grant Date through the date of termination) and the denominator of which is 36. For the avoidance of doubt, if the Participant violates the Restrictive Covenant Agreement prior to the Vesting Date, the Participant shall forfeit all outstanding, unvested PSUs as of the date of such violation.</w:t>
      </w:r>
    </w:p>
    <w:p>
      <w:pPr>
        <w:spacing w:after="0" w:line="200" w:lineRule="exact"/>
        <w:rPr>
          <w:sz w:val="20"/>
          <w:szCs w:val="20"/>
          <w:color w:val="auto"/>
        </w:rPr>
      </w:pPr>
    </w:p>
    <w:p>
      <w:pPr>
        <w:spacing w:after="0" w:line="38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920"/>
          </w:cols>
          <w:pgMar w:left="1440" w:top="1440" w:right="539" w:bottom="1440" w:gutter="0" w:footer="0" w:header="0"/>
        </w:sectPr>
      </w:pPr>
    </w:p>
    <w:bookmarkStart w:id="173" w:name="page174"/>
    <w:bookmarkEnd w:id="173"/>
    <w:p>
      <w:pPr>
        <w:spacing w:after="0" w:line="117" w:lineRule="exact"/>
        <w:rPr>
          <w:sz w:val="20"/>
          <w:szCs w:val="20"/>
          <w:color w:val="auto"/>
        </w:rPr>
      </w:pPr>
    </w:p>
    <w:p>
      <w:pPr>
        <w:ind w:left="420" w:right="300" w:firstLine="574"/>
        <w:spacing w:after="0" w:line="263" w:lineRule="auto"/>
        <w:tabs>
          <w:tab w:leader="none" w:pos="146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Shares underlying the PSUs that vest following the Participant’s Termination of Service pursuant to this Section 5(b), if any, shall be distributed to the Participant pursuant to Section 3(d), and the remaining PSUs shall be forfeited.</w:t>
      </w:r>
    </w:p>
    <w:p>
      <w:pPr>
        <w:spacing w:after="0" w:line="163" w:lineRule="exact"/>
        <w:rPr>
          <w:rFonts w:ascii="Times New Roman" w:cs="Times New Roman" w:eastAsia="Times New Roman" w:hAnsi="Times New Roman"/>
          <w:sz w:val="22"/>
          <w:szCs w:val="22"/>
          <w:color w:val="auto"/>
        </w:rPr>
      </w:pPr>
    </w:p>
    <w:p>
      <w:pPr>
        <w:ind w:left="420" w:firstLine="574"/>
        <w:spacing w:after="0" w:line="254" w:lineRule="auto"/>
        <w:tabs>
          <w:tab w:leader="none" w:pos="1527"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w:t>
      </w:r>
      <w:r>
        <w:rPr>
          <w:rFonts w:ascii="Times New Roman" w:cs="Times New Roman" w:eastAsia="Times New Roman" w:hAnsi="Times New Roman"/>
          <w:sz w:val="22"/>
          <w:szCs w:val="22"/>
          <w:b w:val="1"/>
          <w:bCs w:val="1"/>
          <w:color w:val="auto"/>
        </w:rPr>
        <w:t>Retirement</w:t>
      </w:r>
      <w:r>
        <w:rPr>
          <w:rFonts w:ascii="Times New Roman" w:cs="Times New Roman" w:eastAsia="Times New Roman" w:hAnsi="Times New Roman"/>
          <w:sz w:val="22"/>
          <w:szCs w:val="22"/>
          <w:color w:val="auto"/>
        </w:rPr>
        <w:t>” means, with respect to any Participant, such Participant’s voluntary Termination of Service on or after the earliest to occur of: (i) the date on which such Participant attains age 62, (ii) the date on which such Participant attains age 55 and has completed 10 years of service with the Company or an Affiliate (or predecessor thereof) or (iii) such Participant’s age plus years of service with the Company or an Affiliate (or predecessor thereof) totals at least 70.</w:t>
      </w:r>
    </w:p>
    <w:p>
      <w:pPr>
        <w:spacing w:after="0" w:line="179" w:lineRule="exact"/>
        <w:rPr>
          <w:rFonts w:ascii="Times New Roman" w:cs="Times New Roman" w:eastAsia="Times New Roman" w:hAnsi="Times New Roman"/>
          <w:sz w:val="22"/>
          <w:szCs w:val="22"/>
          <w:color w:val="auto"/>
        </w:rPr>
      </w:pPr>
    </w:p>
    <w:p>
      <w:pPr>
        <w:ind w:left="420" w:right="280" w:firstLine="574"/>
        <w:spacing w:after="0" w:line="284" w:lineRule="auto"/>
        <w:tabs>
          <w:tab w:leader="none" w:pos="1511"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PSUs on February 10, 2022:</w:t>
      </w:r>
    </w:p>
    <w:p>
      <w:pPr>
        <w:spacing w:after="0" w:line="130" w:lineRule="exact"/>
        <w:rPr>
          <w:rFonts w:ascii="Times New Roman" w:cs="Times New Roman" w:eastAsia="Times New Roman" w:hAnsi="Times New Roman"/>
          <w:sz w:val="22"/>
          <w:szCs w:val="22"/>
          <w:color w:val="auto"/>
        </w:rPr>
      </w:pPr>
    </w:p>
    <w:p>
      <w:pPr>
        <w:ind w:left="2000" w:hanging="520"/>
        <w:spacing w:after="0"/>
        <w:tabs>
          <w:tab w:leader="none" w:pos="2000"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2022: none of such PSUs would</w:t>
      </w:r>
    </w:p>
    <w:p>
      <w:pPr>
        <w:spacing w:after="0" w:line="29" w:lineRule="exact"/>
        <w:rPr>
          <w:rFonts w:ascii="Times New Roman" w:cs="Times New Roman" w:eastAsia="Times New Roman" w:hAnsi="Times New Roman"/>
          <w:sz w:val="22"/>
          <w:szCs w:val="22"/>
          <w:color w:val="auto"/>
        </w:rPr>
      </w:pPr>
    </w:p>
    <w:p>
      <w:pPr>
        <w:ind w:left="10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w:t>
      </w:r>
    </w:p>
    <w:p>
      <w:pPr>
        <w:spacing w:after="0" w:line="207" w:lineRule="exact"/>
        <w:rPr>
          <w:rFonts w:ascii="Times New Roman" w:cs="Times New Roman" w:eastAsia="Times New Roman" w:hAnsi="Times New Roman"/>
          <w:sz w:val="22"/>
          <w:szCs w:val="22"/>
          <w:color w:val="auto"/>
        </w:rPr>
      </w:pPr>
    </w:p>
    <w:p>
      <w:pPr>
        <w:ind w:left="1080" w:firstLine="400"/>
        <w:spacing w:after="0" w:line="256" w:lineRule="auto"/>
        <w:tabs>
          <w:tab w:leader="none" w:pos="1985"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2023: assuming the Committee determines that 120% of the PSUs vest based on the actual level of achievement of the Performance Condition, then on February 10, 2025, 720 PSUs would vest (1,200 x 120% = 1,440 x (18 months / 36 months) = 720.</w:t>
      </w:r>
    </w:p>
    <w:p>
      <w:pPr>
        <w:spacing w:after="0" w:line="176" w:lineRule="exact"/>
        <w:rPr>
          <w:rFonts w:ascii="Times New Roman" w:cs="Times New Roman" w:eastAsia="Times New Roman" w:hAnsi="Times New Roman"/>
          <w:sz w:val="22"/>
          <w:szCs w:val="22"/>
          <w:color w:val="auto"/>
        </w:rPr>
      </w:pPr>
    </w:p>
    <w:p>
      <w:pPr>
        <w:jc w:val="both"/>
        <w:ind w:left="1080" w:right="180" w:firstLine="400"/>
        <w:spacing w:after="0" w:line="261" w:lineRule="auto"/>
        <w:tabs>
          <w:tab w:leader="none" w:pos="1985" w:val="left"/>
        </w:tabs>
        <w:numPr>
          <w:ilvl w:val="2"/>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Retirement on August 20, 2024: assuming the Committee determines that 90% of the PSUs vest based on the actual level of achievement of the Performance Condition, then on February 10, 2025, 900 PSUs would vest (1,200 x 90% = 1,080 x 30 months / 36 months) = 900.</w:t>
      </w:r>
    </w:p>
    <w:p>
      <w:pPr>
        <w:spacing w:after="0" w:line="168" w:lineRule="exact"/>
        <w:rPr>
          <w:rFonts w:ascii="Times New Roman" w:cs="Times New Roman" w:eastAsia="Times New Roman" w:hAnsi="Times New Roman"/>
          <w:sz w:val="22"/>
          <w:szCs w:val="22"/>
          <w:color w:val="auto"/>
        </w:rPr>
      </w:pPr>
    </w:p>
    <w:p>
      <w:pPr>
        <w:ind w:left="900" w:hanging="464"/>
        <w:spacing w:after="0"/>
        <w:tabs>
          <w:tab w:leader="none" w:pos="90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w:t>
      </w:r>
    </w:p>
    <w:p>
      <w:pPr>
        <w:spacing w:after="0" w:line="219" w:lineRule="exact"/>
        <w:rPr>
          <w:rFonts w:ascii="Times New Roman" w:cs="Times New Roman" w:eastAsia="Times New Roman" w:hAnsi="Times New Roman"/>
          <w:sz w:val="22"/>
          <w:szCs w:val="22"/>
          <w:color w:val="auto"/>
        </w:rPr>
      </w:pPr>
    </w:p>
    <w:p>
      <w:pPr>
        <w:ind w:left="420" w:right="120" w:firstLine="574"/>
        <w:spacing w:after="0" w:line="252" w:lineRule="auto"/>
        <w:tabs>
          <w:tab w:leader="none" w:pos="1407" w:val="left"/>
        </w:tabs>
        <w:numPr>
          <w:ilvl w:val="1"/>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Enhanced Retirement More than Six Months but Less than Twelve Months Following the Grant Date. In the event of the Participant’s Termination of Service due to the Participant’s Enhanced Retirement more than six months after the Grant Date but prior to the first anniversary of the Grant Date, subject to the Participant’s execution and non-revocation of a customary release of claims in favor of the Company and its Affiliates and the Participant’s continuous compliance with the Extended Non-Compete (as defined below), the Participant’s PSUs shall remain outstanding and eligible to vest on the Vesting Date, and the number of the Participant’s PSUs that vest on the Vesting Date will be equal to the product obtained by multiplying (A) the number of the</w:t>
      </w:r>
    </w:p>
    <w:p>
      <w:pPr>
        <w:spacing w:after="0" w:line="200" w:lineRule="exact"/>
        <w:rPr>
          <w:sz w:val="20"/>
          <w:szCs w:val="20"/>
          <w:color w:val="auto"/>
        </w:rPr>
      </w:pPr>
    </w:p>
    <w:p>
      <w:pPr>
        <w:spacing w:after="0" w:line="3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920"/>
          </w:cols>
          <w:pgMar w:left="1440" w:top="1440" w:right="539" w:bottom="1440" w:gutter="0" w:footer="0" w:header="0"/>
        </w:sectPr>
      </w:pPr>
    </w:p>
    <w:bookmarkStart w:id="174" w:name="page175"/>
    <w:bookmarkEnd w:id="174"/>
    <w:p>
      <w:pPr>
        <w:spacing w:after="0" w:line="117" w:lineRule="exact"/>
        <w:rPr>
          <w:sz w:val="20"/>
          <w:szCs w:val="20"/>
          <w:color w:val="auto"/>
        </w:rPr>
      </w:pPr>
    </w:p>
    <w:p>
      <w:pPr>
        <w:ind w:left="420" w:right="40"/>
        <w:spacing w:after="0" w:line="266" w:lineRule="auto"/>
        <w:rPr>
          <w:sz w:val="20"/>
          <w:szCs w:val="20"/>
          <w:color w:val="auto"/>
        </w:rPr>
      </w:pPr>
      <w:r>
        <w:rPr>
          <w:rFonts w:ascii="Times New Roman" w:cs="Times New Roman" w:eastAsia="Times New Roman" w:hAnsi="Times New Roman"/>
          <w:sz w:val="21"/>
          <w:szCs w:val="21"/>
          <w:color w:val="auto"/>
        </w:rPr>
        <w:t>Participant’s PSUs that would have vested pursuant to this Agreement if the Participant’s Termination of Service had not occurred, as determined by the Committee, by (B) a fraction, the numerator of which is the Service Months (defined above as the number of full calendar months the Participant has been employed from the Grant Date through the date of termination) and the denominator of which is 36. For the avoidance of doubt, if the Participant violates the Extended Non-Compete prior to the Vesting Date, the Participant shall forfeit all outstanding, unvested PSUs as of the date of such violation. The Shares underlying the PSUs that vest following the Participant’s Termination of Service pursuant to this Section 5(c)(i), if any, shall be distributed to the Participant pursuant to Section 3(d) and the remaining PSUs shall be forfeited.</w:t>
      </w:r>
    </w:p>
    <w:p>
      <w:pPr>
        <w:spacing w:after="0" w:line="167" w:lineRule="exact"/>
        <w:rPr>
          <w:sz w:val="20"/>
          <w:szCs w:val="20"/>
          <w:color w:val="auto"/>
        </w:rPr>
      </w:pPr>
    </w:p>
    <w:p>
      <w:pPr>
        <w:ind w:left="420" w:firstLine="574"/>
        <w:spacing w:after="0" w:line="265" w:lineRule="auto"/>
        <w:tabs>
          <w:tab w:leader="none" w:pos="1467"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Enhanced Retirement After the First Anniversary of the Grant Date. In the event of the Participant’s Termination of Service due to the Participant’s Enhanced Retirement following the first anniversary of the Grant Date, subject to the Participant’s execution and non-revocation of a customary release of claims in favor of the Company and its Affiliates and the Participant’s continuous compliance with the Extended Non-Compete, the Participant’s PSUs shall remain outstanding and eligible to vest on the Vesting Date, and the number of PSUs that vest on the Vesting Date shall be determined by the Committee pursuant to this Agreement as if the Participant’s Termination of Services had not occurred. For the avoidance of doubt, if the Participant violates the Extended Non-Compete prior to the Vesting Date, the Participant shall forfeit all outstanding, unvested PSUs as of the date of such violation. The Shares underlying the PSUs that vest following the Participant’s Termination of Service pursuant to this Section 5(d)(ii), if any, shall be distributed to the Participant pursuant to Section 3(d) and the remaining PSUs shall be forfeited.</w:t>
      </w:r>
    </w:p>
    <w:p>
      <w:pPr>
        <w:spacing w:after="0" w:line="172" w:lineRule="exact"/>
        <w:rPr>
          <w:rFonts w:ascii="Times New Roman" w:cs="Times New Roman" w:eastAsia="Times New Roman" w:hAnsi="Times New Roman"/>
          <w:sz w:val="21"/>
          <w:szCs w:val="21"/>
          <w:color w:val="auto"/>
        </w:rPr>
      </w:pPr>
    </w:p>
    <w:p>
      <w:pPr>
        <w:ind w:left="1540" w:hanging="546"/>
        <w:spacing w:after="0"/>
        <w:tabs>
          <w:tab w:leader="none" w:pos="1540"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 Participant’s Termination of Service shall constitute an</w:t>
      </w:r>
    </w:p>
    <w:p>
      <w:pPr>
        <w:spacing w:after="0" w:line="29" w:lineRule="exact"/>
        <w:rPr>
          <w:sz w:val="20"/>
          <w:szCs w:val="20"/>
          <w:color w:val="auto"/>
        </w:rPr>
      </w:pPr>
    </w:p>
    <w:p>
      <w:pPr>
        <w:ind w:left="420" w:right="300"/>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Enhanced Retirement</w:t>
      </w:r>
      <w:r>
        <w:rPr>
          <w:rFonts w:ascii="Times New Roman" w:cs="Times New Roman" w:eastAsia="Times New Roman" w:hAnsi="Times New Roman"/>
          <w:sz w:val="22"/>
          <w:szCs w:val="22"/>
          <w:color w:val="auto"/>
        </w:rPr>
        <w:t>” if each of the following conditions is met, as determined by the Committee in its sole discretion:</w:t>
      </w:r>
    </w:p>
    <w:p>
      <w:pPr>
        <w:spacing w:after="0" w:line="211" w:lineRule="exact"/>
        <w:rPr>
          <w:sz w:val="20"/>
          <w:szCs w:val="20"/>
          <w:color w:val="auto"/>
        </w:rPr>
      </w:pPr>
    </w:p>
    <w:p>
      <w:pPr>
        <w:ind w:left="1000" w:right="120" w:firstLine="480"/>
        <w:spacing w:after="0" w:line="251" w:lineRule="auto"/>
        <w:tabs>
          <w:tab w:leader="none" w:pos="2002"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a voluntary Termination of Service at a time when the Company could not otherwise terminate such Participant’s provision of service for Cause on or after the earliest to occur of: (1) the date on which such Participant attains age 62, (2) the date on which such Participant attains age 55 and has completed 15 years of service with the Company or an Affiliate (or predecessor thereof) or (3) such Participant’s age plus years of service with the Company or an Affiliate (or predecessor thereof) totals at least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940"/>
          </w:cols>
          <w:pgMar w:left="1440" w:top="1440" w:right="519" w:bottom="1440" w:gutter="0" w:footer="0" w:header="0"/>
        </w:sectPr>
      </w:pPr>
    </w:p>
    <w:bookmarkStart w:id="175" w:name="page176"/>
    <w:bookmarkEnd w:id="175"/>
    <w:p>
      <w:pPr>
        <w:ind w:left="1860" w:right="220" w:firstLine="480"/>
        <w:spacing w:after="0" w:line="263" w:lineRule="auto"/>
        <w:tabs>
          <w:tab w:leader="none" w:pos="2850"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the Participant’s Termination of Service, the Participant enters into an extended restrictive covenant agreement in the form provided by the Company, which agreement includes good leaver provisions (such agreement, the “</w:t>
      </w:r>
      <w:r>
        <w:rPr>
          <w:rFonts w:ascii="Times New Roman" w:cs="Times New Roman" w:eastAsia="Times New Roman" w:hAnsi="Times New Roman"/>
          <w:sz w:val="22"/>
          <w:szCs w:val="22"/>
          <w:b w:val="1"/>
          <w:bCs w:val="1"/>
          <w:color w:val="auto"/>
        </w:rPr>
        <w:t>Extended Non-Compete</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auto"/>
        </w:rPr>
      </w:pPr>
    </w:p>
    <w:p>
      <w:pPr>
        <w:ind w:left="1860" w:right="20" w:firstLine="480"/>
        <w:spacing w:after="0" w:line="257" w:lineRule="auto"/>
        <w:tabs>
          <w:tab w:leader="none" w:pos="2850"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is not eligible to receive, and does not receive, any severance payments or benefits in connection with the Participant’s Termination of Service, as determined by the Company in its sole discretion; and</w:t>
      </w:r>
    </w:p>
    <w:p>
      <w:pPr>
        <w:spacing w:after="0" w:line="213" w:lineRule="exact"/>
        <w:rPr>
          <w:rFonts w:ascii="Times New Roman" w:cs="Times New Roman" w:eastAsia="Times New Roman" w:hAnsi="Times New Roman"/>
          <w:sz w:val="22"/>
          <w:szCs w:val="22"/>
          <w:color w:val="auto"/>
        </w:rPr>
      </w:pPr>
    </w:p>
    <w:p>
      <w:pPr>
        <w:ind w:left="1860" w:right="140" w:firstLine="480"/>
        <w:spacing w:after="0" w:line="271" w:lineRule="auto"/>
        <w:tabs>
          <w:tab w:leader="none" w:pos="2862" w:val="left"/>
        </w:tabs>
        <w:numPr>
          <w:ilvl w:val="2"/>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provides the Company with at least six (6) months’ advance written notice of the Participant’s retirement.</w:t>
      </w:r>
    </w:p>
    <w:p>
      <w:pPr>
        <w:spacing w:after="0" w:line="144" w:lineRule="exact"/>
        <w:rPr>
          <w:rFonts w:ascii="Times New Roman" w:cs="Times New Roman" w:eastAsia="Times New Roman" w:hAnsi="Times New Roman"/>
          <w:sz w:val="22"/>
          <w:szCs w:val="22"/>
          <w:color w:val="auto"/>
        </w:rPr>
      </w:pPr>
    </w:p>
    <w:p>
      <w:pPr>
        <w:ind w:left="1280" w:right="240" w:firstLine="574"/>
        <w:spacing w:after="0" w:line="284" w:lineRule="auto"/>
        <w:tabs>
          <w:tab w:leader="none" w:pos="2371" w:val="left"/>
        </w:tabs>
        <w:numPr>
          <w:ilvl w:val="1"/>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provisions are illustrated by the following examples, assuming a grant of 1,200 PSUs on February 10, 2022:</w:t>
      </w:r>
    </w:p>
    <w:p>
      <w:pPr>
        <w:spacing w:after="0" w:line="184" w:lineRule="exact"/>
        <w:rPr>
          <w:rFonts w:ascii="Times New Roman" w:cs="Times New Roman" w:eastAsia="Times New Roman" w:hAnsi="Times New Roman"/>
          <w:sz w:val="22"/>
          <w:szCs w:val="22"/>
          <w:color w:val="auto"/>
        </w:rPr>
      </w:pPr>
    </w:p>
    <w:p>
      <w:pPr>
        <w:ind w:left="1860" w:right="440" w:firstLine="480"/>
        <w:spacing w:after="0" w:line="271" w:lineRule="auto"/>
        <w:tabs>
          <w:tab w:leader="none" w:pos="2858"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prior to August 10, 2022: none of such PSUs would vest</w:t>
      </w:r>
    </w:p>
    <w:p>
      <w:pPr>
        <w:spacing w:after="0" w:line="184" w:lineRule="exact"/>
        <w:rPr>
          <w:rFonts w:ascii="Times New Roman" w:cs="Times New Roman" w:eastAsia="Times New Roman" w:hAnsi="Times New Roman"/>
          <w:sz w:val="22"/>
          <w:szCs w:val="22"/>
          <w:color w:val="auto"/>
        </w:rPr>
      </w:pPr>
    </w:p>
    <w:p>
      <w:pPr>
        <w:jc w:val="both"/>
        <w:ind w:left="1860" w:right="60" w:firstLine="480"/>
        <w:spacing w:after="0" w:line="256" w:lineRule="auto"/>
        <w:tabs>
          <w:tab w:leader="none" w:pos="2846" w:val="left"/>
        </w:tabs>
        <w:numPr>
          <w:ilvl w:val="2"/>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Service due to Enhanced Retirement on August 20, 2022: assuming the Committee determines that 120% of the PSUs vest based on the actual level of achievement of the Performance Condition, then on February 10, 2025, 240 PSUs would vest (1,200 x 120% = 1,440 x (6 months / 36 months) = 240.</w:t>
      </w:r>
    </w:p>
    <w:p>
      <w:pPr>
        <w:spacing w:after="0" w:line="203" w:lineRule="exact"/>
        <w:rPr>
          <w:rFonts w:ascii="Times New Roman" w:cs="Times New Roman" w:eastAsia="Times New Roman" w:hAnsi="Times New Roman"/>
          <w:sz w:val="22"/>
          <w:szCs w:val="22"/>
          <w:color w:val="auto"/>
        </w:rPr>
      </w:pPr>
    </w:p>
    <w:p>
      <w:pPr>
        <w:ind w:left="1860" w:right="280" w:firstLine="480"/>
        <w:spacing w:after="0" w:line="275" w:lineRule="auto"/>
        <w:tabs>
          <w:tab w:leader="none" w:pos="2846"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Service due to Enhanced Retirement on August 20, 2023: assuming the Committee determines that 90% of the PSUs vest based on the actual level of achievement of the Performance Condition, then on February 10, 2025, 1,080 PSUs would vest (1,200 x 90% = 1,080).</w:t>
      </w:r>
    </w:p>
    <w:p>
      <w:pPr>
        <w:spacing w:after="0" w:line="195" w:lineRule="exact"/>
        <w:rPr>
          <w:rFonts w:ascii="Times New Roman" w:cs="Times New Roman" w:eastAsia="Times New Roman" w:hAnsi="Times New Roman"/>
          <w:sz w:val="21"/>
          <w:szCs w:val="21"/>
          <w:color w:val="auto"/>
        </w:rPr>
      </w:pPr>
    </w:p>
    <w:p>
      <w:pPr>
        <w:jc w:val="both"/>
        <w:ind w:left="1860" w:right="260" w:firstLine="480"/>
        <w:spacing w:after="0" w:line="275" w:lineRule="auto"/>
        <w:tabs>
          <w:tab w:leader="none" w:pos="2858" w:val="left"/>
        </w:tabs>
        <w:numPr>
          <w:ilvl w:val="2"/>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Service due to Retirement on August 20, 2024: assuming the Committee determines that 110% of the PSUs vest based on the actual level of achievement of the Performance Condition, then on February 10, 2025, 1,320 PSUs would vest (1,200 x 110% = 1,320).</w:t>
      </w:r>
    </w:p>
    <w:p>
      <w:pPr>
        <w:spacing w:after="0" w:line="137" w:lineRule="exact"/>
        <w:rPr>
          <w:rFonts w:ascii="Times New Roman" w:cs="Times New Roman" w:eastAsia="Times New Roman" w:hAnsi="Times New Roman"/>
          <w:sz w:val="21"/>
          <w:szCs w:val="21"/>
          <w:color w:val="auto"/>
        </w:rPr>
      </w:pPr>
    </w:p>
    <w:p>
      <w:pPr>
        <w:ind w:left="-80" w:firstLine="688"/>
        <w:spacing w:after="0" w:line="257" w:lineRule="auto"/>
        <w:tabs>
          <w:tab w:leader="none" w:pos="97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Change in Control</w:t>
      </w:r>
      <w:r>
        <w:rPr>
          <w:rFonts w:ascii="Times New Roman" w:cs="Times New Roman" w:eastAsia="Times New Roman" w:hAnsi="Times New Roman"/>
          <w:sz w:val="22"/>
          <w:szCs w:val="22"/>
          <w:color w:val="auto"/>
        </w:rPr>
        <w:t>. Notwithstanding any provision of this Agreement to the contrary, in the event of a Change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Control, subject to the Participant’s execution and non-revocation of a customary release of claims in favor of the Company and its Affiliates prior to such Change in Control, any unvested PSUs shall vest effective as of the date of such Change in Control based on the likely level of achievement of the Performance Condition or, with respect to any unvested PSUs for which the Performance Period was completed prior to such Change in Control, based on the actual level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0740"/>
          </w:cols>
          <w:pgMar w:left="580" w:top="1341" w:right="579" w:bottom="1440" w:gutter="0" w:footer="0" w:header="0"/>
        </w:sectPr>
      </w:pPr>
    </w:p>
    <w:bookmarkStart w:id="176" w:name="page177"/>
    <w:bookmarkEnd w:id="176"/>
    <w:p>
      <w:pPr>
        <w:spacing w:after="0" w:line="10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 xml:space="preserve">achievement of the Performance Conditions, in each case, as determined in the sole discretion of the Committee, and the Shares underlying the PSUs shall be distributed to the Participant pursuant to Section 3(d) upon such Change in Control;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for any PSUs to which Section 19 of the Plan applies because such PSUs constitute “deferred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defined in Section 409A and 457A of the Code), if the event that constitutes such Change in Control does not also constitute a change in the ownership or effective control of the Company, or in the ownership of a substantial portion of the Company’s assets (in either case, as defined in Section 409A and 457A of the Code), such amount shall not be distributed on such Change in Control but instead shall vest as of the date of such Change in Control and shall be paid on the applicable regularly-scheduled Vesting Date set forth in this Agreement pursuant to Section 3(d), except to the extent that earlier distribution would not result in the Participant incurring any additional tax, penalty, interest or other expense under Section 409A and 457A of the Code.</w:t>
      </w:r>
    </w:p>
    <w:p>
      <w:pPr>
        <w:spacing w:after="0" w:line="283" w:lineRule="exact"/>
        <w:rPr>
          <w:sz w:val="20"/>
          <w:szCs w:val="20"/>
          <w:color w:val="auto"/>
        </w:rPr>
      </w:pPr>
    </w:p>
    <w:p>
      <w:pPr>
        <w:ind w:left="1060" w:hanging="372"/>
        <w:spacing w:after="0"/>
        <w:tabs>
          <w:tab w:leader="none" w:pos="1060"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Tax Liability; Withholding Requirements</w:t>
      </w:r>
      <w:r>
        <w:rPr>
          <w:rFonts w:ascii="Times New Roman" w:cs="Times New Roman" w:eastAsia="Times New Roman" w:hAnsi="Times New Roman"/>
          <w:sz w:val="22"/>
          <w:szCs w:val="22"/>
          <w:color w:val="auto"/>
        </w:rPr>
        <w:t>.</w:t>
      </w:r>
    </w:p>
    <w:p>
      <w:pPr>
        <w:spacing w:after="0" w:line="250" w:lineRule="exact"/>
        <w:rPr>
          <w:rFonts w:ascii="Times New Roman" w:cs="Times New Roman" w:eastAsia="Times New Roman" w:hAnsi="Times New Roman"/>
          <w:sz w:val="22"/>
          <w:szCs w:val="22"/>
          <w:color w:val="auto"/>
        </w:rPr>
      </w:pPr>
    </w:p>
    <w:p>
      <w:pPr>
        <w:ind w:left="660" w:right="260" w:firstLine="729"/>
        <w:spacing w:after="0" w:line="261" w:lineRule="auto"/>
        <w:tabs>
          <w:tab w:leader="none" w:pos="1844" w:val="left"/>
        </w:tabs>
        <w:numPr>
          <w:ilvl w:val="1"/>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shall be solely responsible for any applicable taxes (including, without limitation, income, payroll (such as FICA) and excise taxes) and penalties, and any interest that accrues thereon, that the Participant incurs in connection with any taxable event arising in connection with the PSUs granted hereunder and any related dividend distribution.</w:t>
      </w:r>
    </w:p>
    <w:p>
      <w:pPr>
        <w:spacing w:after="0" w:line="195" w:lineRule="exact"/>
        <w:rPr>
          <w:rFonts w:ascii="Times New Roman" w:cs="Times New Roman" w:eastAsia="Times New Roman" w:hAnsi="Times New Roman"/>
          <w:sz w:val="22"/>
          <w:szCs w:val="22"/>
          <w:color w:val="auto"/>
        </w:rPr>
      </w:pPr>
    </w:p>
    <w:p>
      <w:pPr>
        <w:ind w:left="660" w:firstLine="729"/>
        <w:spacing w:after="0" w:line="268" w:lineRule="auto"/>
        <w:tabs>
          <w:tab w:leader="none" w:pos="1857" w:val="left"/>
        </w:tabs>
        <w:numPr>
          <w:ilvl w:val="1"/>
          <w:numId w:val="1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Participant hereby authorizes the Company to withhold from payroll or other amounts payable to Participant (including dividend amounts accrued under Section 3(c)) any sums required to satisfy such withholding tax obligations, and otherwise agrees to satisfy such obligations in accordance with the provisions of Section 16(e) of the Plan. The Participant further authorizes and consents to the Company, or its respective agents, that all withholding tax obligations may be satisfied by having the Company or its agent withhold a number of PSUs or Shares issuable under the PSUs that have a fair market value equal to the then-outstanding amount of such withholding tax obligations, unless, only with respect to the settlement of Shares, the Participant elects prior to the settlement date such other permitted method or combination of methods to satisfy such withholding tax obligations.</w:t>
      </w:r>
    </w:p>
    <w:p>
      <w:pPr>
        <w:spacing w:after="0" w:line="133" w:lineRule="exact"/>
        <w:rPr>
          <w:rFonts w:ascii="Times New Roman" w:cs="Times New Roman" w:eastAsia="Times New Roman" w:hAnsi="Times New Roman"/>
          <w:sz w:val="21"/>
          <w:szCs w:val="21"/>
          <w:color w:val="auto"/>
        </w:rPr>
      </w:pPr>
    </w:p>
    <w:p>
      <w:pPr>
        <w:ind w:right="300" w:firstLine="688"/>
        <w:spacing w:after="0" w:line="254" w:lineRule="auto"/>
        <w:tabs>
          <w:tab w:leader="none" w:pos="1058"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 Salary, Pensionable Earnings or Base Pay</w:t>
      </w:r>
      <w:r>
        <w:rPr>
          <w:rFonts w:ascii="Times New Roman" w:cs="Times New Roman" w:eastAsia="Times New Roman" w:hAnsi="Times New Roman"/>
          <w:sz w:val="22"/>
          <w:szCs w:val="22"/>
          <w:color w:val="auto"/>
        </w:rPr>
        <w:t>. The Participant acknowledges that the Award shall not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included in or deemed to be a part of (a) salary, normal salary or other ordinary compensation, (b) any definition of pensionable or other earnings (however defined) for the purpose of calculating any benefits payable to or on behalf of the Participant under any pension, retirement, termination or dismissal indemnity, severance benefit, retirement indemnity or other benefit arrangement of the Company or any Subsidiary or (c) any calculation of base pay or regular pay for any purpose.</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0800"/>
          </w:cols>
          <w:pgMar w:left="500" w:top="1440" w:right="599" w:bottom="1440" w:gutter="0" w:footer="0" w:header="0"/>
        </w:sectPr>
      </w:pPr>
    </w:p>
    <w:bookmarkStart w:id="177" w:name="page178"/>
    <w:bookmarkEnd w:id="177"/>
    <w:p>
      <w:pPr>
        <w:spacing w:after="0" w:line="100" w:lineRule="exact"/>
        <w:rPr>
          <w:sz w:val="20"/>
          <w:szCs w:val="20"/>
          <w:color w:val="auto"/>
        </w:rPr>
      </w:pPr>
    </w:p>
    <w:p>
      <w:pPr>
        <w:ind w:left="-60" w:firstLine="688"/>
        <w:spacing w:after="0" w:line="251" w:lineRule="auto"/>
        <w:tabs>
          <w:tab w:leader="none" w:pos="99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Whistleblower Protection</w:t>
      </w:r>
      <w:r>
        <w:rPr>
          <w:rFonts w:ascii="Times New Roman" w:cs="Times New Roman" w:eastAsia="Times New Roman" w:hAnsi="Times New Roman"/>
          <w:sz w:val="22"/>
          <w:szCs w:val="22"/>
          <w:color w:val="auto"/>
        </w:rPr>
        <w:t>. The Participant has the right under federal law to certain protections for cooperating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or reporting legal violations to the SEC or its Office of the Whistleblower, as well as certain other governmental entities and self- regulatory organizations. As such, nothing in this Agreement or otherwise is intended to prohibit the Participant from disclosing this Agreement to, or from cooperating with or reporting violations to, the SEC or any such governmental entity or self-regulatory organization, and the Participant may do so without notifying the Company. The Company may not retaliate against the Participant for any of these activities, and nothing in this Agreement or otherwise requires the Participant to waive any monetary award or other payment that the Participant might become entitled to from the SEC or any such governmental entity or self-regulatory organization.</w:t>
      </w:r>
    </w:p>
    <w:p>
      <w:pPr>
        <w:spacing w:after="0" w:line="164" w:lineRule="exact"/>
        <w:rPr>
          <w:rFonts w:ascii="Times New Roman" w:cs="Times New Roman" w:eastAsia="Times New Roman" w:hAnsi="Times New Roman"/>
          <w:sz w:val="22"/>
          <w:szCs w:val="22"/>
          <w:color w:val="auto"/>
        </w:rPr>
      </w:pPr>
    </w:p>
    <w:p>
      <w:pPr>
        <w:ind w:left="-60" w:right="620" w:firstLine="579"/>
        <w:spacing w:after="0" w:line="313" w:lineRule="auto"/>
        <w:tabs>
          <w:tab w:leader="none" w:pos="997" w:val="left"/>
        </w:tabs>
        <w:numPr>
          <w:ilvl w:val="0"/>
          <w:numId w:val="1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 The Company’s obligations under this Agreement is conditioned on the Participant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signing a Restrictive Covenant Agreement in the form of Schedule A (the “</w:t>
      </w:r>
      <w:r>
        <w:rPr>
          <w:rFonts w:ascii="Times New Roman" w:cs="Times New Roman" w:eastAsia="Times New Roman" w:hAnsi="Times New Roman"/>
          <w:sz w:val="21"/>
          <w:szCs w:val="21"/>
          <w:b w:val="1"/>
          <w:bCs w:val="1"/>
          <w:color w:val="auto"/>
        </w:rPr>
        <w:t>Restrictive Covenant Agreement</w:t>
      </w:r>
      <w:r>
        <w:rPr>
          <w:rFonts w:ascii="Times New Roman" w:cs="Times New Roman" w:eastAsia="Times New Roman" w:hAnsi="Times New Roman"/>
          <w:sz w:val="21"/>
          <w:szCs w:val="21"/>
          <w:color w:val="auto"/>
        </w:rPr>
        <w:t>”).</w:t>
      </w:r>
    </w:p>
    <w:p>
      <w:pPr>
        <w:spacing w:after="0" w:line="112" w:lineRule="exact"/>
        <w:rPr>
          <w:rFonts w:ascii="Times New Roman" w:cs="Times New Roman" w:eastAsia="Times New Roman" w:hAnsi="Times New Roman"/>
          <w:sz w:val="21"/>
          <w:szCs w:val="21"/>
          <w:color w:val="auto"/>
        </w:rPr>
      </w:pPr>
    </w:p>
    <w:p>
      <w:pPr>
        <w:ind w:left="-60" w:right="60" w:firstLine="579"/>
        <w:spacing w:after="0" w:line="265" w:lineRule="auto"/>
        <w:tabs>
          <w:tab w:leader="none" w:pos="988"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Recoupment/Clawback</w:t>
      </w:r>
      <w:r>
        <w:rPr>
          <w:rFonts w:ascii="Times New Roman" w:cs="Times New Roman" w:eastAsia="Times New Roman" w:hAnsi="Times New Roman"/>
          <w:sz w:val="22"/>
          <w:szCs w:val="22"/>
          <w:color w:val="auto"/>
        </w:rPr>
        <w:t>. This Award (including any amounts or benefits arising from this Award) shall be subject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recoupment or “clawback” as may be required by applicable law, stock exchange rules or by any applicable Company policy or arrangement the Company has in place from time to time.</w:t>
      </w:r>
    </w:p>
    <w:p>
      <w:pPr>
        <w:spacing w:after="0" w:line="161" w:lineRule="exact"/>
        <w:rPr>
          <w:rFonts w:ascii="Times New Roman" w:cs="Times New Roman" w:eastAsia="Times New Roman" w:hAnsi="Times New Roman"/>
          <w:sz w:val="22"/>
          <w:szCs w:val="22"/>
          <w:color w:val="auto"/>
        </w:rPr>
      </w:pPr>
    </w:p>
    <w:p>
      <w:pPr>
        <w:jc w:val="both"/>
        <w:ind w:left="-60" w:right="160" w:firstLine="579"/>
        <w:spacing w:after="0" w:line="265" w:lineRule="auto"/>
        <w:tabs>
          <w:tab w:leader="none" w:pos="997"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References</w:t>
      </w:r>
      <w:r>
        <w:rPr>
          <w:rFonts w:ascii="Times New Roman" w:cs="Times New Roman" w:eastAsia="Times New Roman" w:hAnsi="Times New Roman"/>
          <w:sz w:val="22"/>
          <w:szCs w:val="22"/>
          <w:color w:val="auto"/>
        </w:rPr>
        <w:t>. References herein to rights and obligations of the Participant shall apply, where appropriate,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Participant’s legal representative or estate without regard to whether specific reference to such legal representative or estate is contained in a particular provision of this Agreement.</w:t>
      </w:r>
    </w:p>
    <w:p>
      <w:pPr>
        <w:spacing w:after="0" w:line="188" w:lineRule="exact"/>
        <w:rPr>
          <w:rFonts w:ascii="Times New Roman" w:cs="Times New Roman" w:eastAsia="Times New Roman" w:hAnsi="Times New Roman"/>
          <w:sz w:val="22"/>
          <w:szCs w:val="22"/>
          <w:color w:val="auto"/>
        </w:rPr>
      </w:pPr>
    </w:p>
    <w:p>
      <w:pPr>
        <w:ind w:left="1000" w:hanging="481"/>
        <w:spacing w:after="0"/>
        <w:tabs>
          <w:tab w:leader="none" w:pos="100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600" w:right="180" w:firstLine="729"/>
        <w:spacing w:after="0" w:line="262" w:lineRule="auto"/>
        <w:tabs>
          <w:tab w:leader="none" w:pos="1788" w:val="left"/>
        </w:tabs>
        <w:numPr>
          <w:ilvl w:val="1"/>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Any notice required or permitted to be given under this Agreement shall be in writing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shall be deemed to have been given when delivered personally or by courier, or sent by certified or registered mail, postage prepaid, return receipt requested, duly addressed to the party concerned at the address indicated below or to such changed address as such party may subsequently by similar process give notice of:</w:t>
      </w:r>
    </w:p>
    <w:p>
      <w:pPr>
        <w:spacing w:after="0" w:line="195"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If to the Company:</w:t>
      </w:r>
    </w:p>
    <w:p>
      <w:pPr>
        <w:spacing w:after="0" w:line="260"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Reynolds Consumer Products Inc. 1900 W. Field Court</w:t>
      </w:r>
    </w:p>
    <w:p>
      <w:pPr>
        <w:spacing w:after="0" w:line="2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Lake Forest, Illinois 60045 Attention: Valerie Miller</w:t>
      </w:r>
    </w:p>
    <w:p>
      <w:pPr>
        <w:spacing w:after="0" w:line="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 xml:space="preserve">Email: </w:t>
      </w:r>
      <w:r>
        <w:rPr>
          <w:rFonts w:ascii="Times New Roman" w:cs="Times New Roman" w:eastAsia="Times New Roman" w:hAnsi="Times New Roman"/>
          <w:sz w:val="22"/>
          <w:szCs w:val="22"/>
          <w:u w:val="single" w:color="auto"/>
          <w:color w:val="0000FF"/>
        </w:rPr>
        <w:t>Valerie.Miller@ReynoldsBrands.com</w:t>
      </w:r>
    </w:p>
    <w:p>
      <w:pPr>
        <w:spacing w:after="0" w:line="344"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22"/>
          <w:szCs w:val="22"/>
          <w:color w:val="auto"/>
        </w:rPr>
        <w:t>If to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0780"/>
          </w:cols>
          <w:pgMar w:left="560" w:top="1440" w:right="559" w:bottom="1440" w:gutter="0" w:footer="0" w:header="0"/>
        </w:sectPr>
      </w:pPr>
    </w:p>
    <w:bookmarkStart w:id="178" w:name="page179"/>
    <w:bookmarkEnd w:id="178"/>
    <w:p>
      <w:pPr>
        <w:ind w:left="360" w:right="100"/>
        <w:spacing w:after="0" w:line="263" w:lineRule="auto"/>
        <w:rPr>
          <w:sz w:val="20"/>
          <w:szCs w:val="20"/>
          <w:color w:val="auto"/>
        </w:rPr>
      </w:pPr>
      <w:r>
        <w:rPr>
          <w:rFonts w:ascii="Times New Roman" w:cs="Times New Roman" w:eastAsia="Times New Roman" w:hAnsi="Times New Roman"/>
          <w:sz w:val="22"/>
          <w:szCs w:val="22"/>
          <w:color w:val="auto"/>
        </w:rPr>
        <w:t>At the Participant’s most recent address shown on the signature page of this Award Agreement, or at any other address which the Participant may specify in a notice delivered to the Company in the manner set forth herein.</w:t>
      </w:r>
    </w:p>
    <w:p>
      <w:pPr>
        <w:spacing w:after="0" w:line="163" w:lineRule="exact"/>
        <w:rPr>
          <w:sz w:val="20"/>
          <w:szCs w:val="20"/>
          <w:color w:val="auto"/>
        </w:rPr>
      </w:pPr>
    </w:p>
    <w:p>
      <w:pPr>
        <w:ind w:left="-280" w:firstLine="716"/>
        <w:spacing w:after="0" w:line="253" w:lineRule="auto"/>
        <w:tabs>
          <w:tab w:leader="none" w:pos="90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This Agreement, the Plan and any other agreements, schedules, exhibits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documents referred to herein or therein constitute the entire agreement and understanding between the parties in respect of the subject matter hereof and supersede all prior and contemporaneous arrangements, agreements and understandings, both oral and written, whether in term sheets, presentations or otherwise, between the parties with respect to the subject matter 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restrictions set forth in this Agreement are in addition to, not in lieu of, any other obligation and/or restriction that the Participant may have with respect to the Company or any of its Affiliates, whether by operation of law, contract, or otherwise, including, without limitation, any non- solicitation obligations contained in an employment agreement, consulting agreement or other similar agreement entered into by and between the Participant and the Company or one of its Affiliates, which shall survive the termination of any such agreements, and be enforceable independently of such other agreements.</w:t>
      </w:r>
    </w:p>
    <w:p>
      <w:pPr>
        <w:spacing w:after="0" w:line="168" w:lineRule="exact"/>
        <w:rPr>
          <w:rFonts w:ascii="Times New Roman" w:cs="Times New Roman" w:eastAsia="Times New Roman" w:hAnsi="Times New Roman"/>
          <w:sz w:val="22"/>
          <w:szCs w:val="22"/>
          <w:color w:val="auto"/>
        </w:rPr>
      </w:pPr>
    </w:p>
    <w:p>
      <w:pPr>
        <w:ind w:left="-280" w:right="80" w:firstLine="729"/>
        <w:spacing w:after="0" w:line="257" w:lineRule="auto"/>
        <w:tabs>
          <w:tab w:leader="none" w:pos="90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Sections 409A and 457A of the Code</w:t>
      </w:r>
      <w:r>
        <w:rPr>
          <w:rFonts w:ascii="Times New Roman" w:cs="Times New Roman" w:eastAsia="Times New Roman" w:hAnsi="Times New Roman"/>
          <w:sz w:val="22"/>
          <w:szCs w:val="22"/>
          <w:color w:val="auto"/>
        </w:rPr>
        <w:t>. For the avoidance of doubt, to the extent that this Award 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subject to Section 409A and/or Section 457A of the Code, the Award is intended to comply with the requirements of Sections 409A and 457A of the Code, and the provisions of the Award shall be interpreted in a manner that satisfies the requirements of Sections 409A and 457A of the Code. Section 19 of the Plan is hereby incorporated by reference.</w:t>
      </w:r>
    </w:p>
    <w:p>
      <w:pPr>
        <w:spacing w:after="0" w:line="171" w:lineRule="exact"/>
        <w:rPr>
          <w:rFonts w:ascii="Times New Roman" w:cs="Times New Roman" w:eastAsia="Times New Roman" w:hAnsi="Times New Roman"/>
          <w:sz w:val="22"/>
          <w:szCs w:val="22"/>
          <w:color w:val="auto"/>
        </w:rPr>
      </w:pPr>
    </w:p>
    <w:p>
      <w:pPr>
        <w:ind w:left="-280" w:right="20" w:firstLine="716"/>
        <w:spacing w:after="0" w:line="254" w:lineRule="auto"/>
        <w:tabs>
          <w:tab w:leader="none" w:pos="907"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If any provision of this Agreement is or becomes or is deemed to be invalid, illegal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unenforceable in any jurisdiction, or would disqualify the Plan or this Agreement under any law deemed applicable by the Board, such provision shall be construed or deemed amended to conform to applicable laws, or if it cannot be so construed or deemed amended without, in the determination of the Board, materially altering the intent of this Agreement, such provision shall be stricken as to such jurisdiction, and the remainder of this Agreement shall remain in full force and effect.</w:t>
      </w:r>
    </w:p>
    <w:p>
      <w:pPr>
        <w:spacing w:after="0" w:line="175" w:lineRule="exact"/>
        <w:rPr>
          <w:rFonts w:ascii="Times New Roman" w:cs="Times New Roman" w:eastAsia="Times New Roman" w:hAnsi="Times New Roman"/>
          <w:sz w:val="22"/>
          <w:szCs w:val="22"/>
          <w:color w:val="auto"/>
        </w:rPr>
      </w:pPr>
    </w:p>
    <w:p>
      <w:pPr>
        <w:ind w:left="-280" w:firstLine="729"/>
        <w:spacing w:after="0" w:line="250" w:lineRule="auto"/>
        <w:tabs>
          <w:tab w:leader="none" w:pos="908"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Waiver</w:t>
      </w:r>
      <w:r>
        <w:rPr>
          <w:rFonts w:ascii="Times New Roman" w:cs="Times New Roman" w:eastAsia="Times New Roman" w:hAnsi="Times New Roman"/>
          <w:sz w:val="22"/>
          <w:szCs w:val="22"/>
          <w:color w:val="auto"/>
        </w:rPr>
        <w:t>. No amendment or modification of any provision of this Agreement that has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material adverse effect on the Participant shall be effective unless signed in writing by or on behalf of the Company and the Participant;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amend or modify this Agreement without the Participant’s consent in accordance with the provisions of the Plan or as otherwise set forth in this Agreement. No waiver of any breach or condition of this Agreement shall be deemed to be a waiver of any other or subsequent breach or condition, whether of like or different nature. Any amendment or modification of or to any provision of this Agreement, or any waiver of any provision of this</w:t>
      </w:r>
    </w:p>
    <w:p>
      <w:pPr>
        <w:spacing w:after="0" w:line="200" w:lineRule="exact"/>
        <w:rPr>
          <w:sz w:val="20"/>
          <w:szCs w:val="20"/>
          <w:color w:val="auto"/>
        </w:rPr>
      </w:pPr>
    </w:p>
    <w:p>
      <w:pPr>
        <w:spacing w:after="0" w:line="36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9860"/>
          </w:cols>
          <w:pgMar w:left="1440" w:top="1341" w:right="599" w:bottom="1440" w:gutter="0" w:footer="0" w:header="0"/>
        </w:sectPr>
      </w:pPr>
    </w:p>
    <w:bookmarkStart w:id="179" w:name="page180"/>
    <w:bookmarkEnd w:id="179"/>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Agreement, shall be effective only in the specific instance and for the specific purpose for which made or given.</w:t>
      </w:r>
    </w:p>
    <w:p>
      <w:pPr>
        <w:spacing w:after="0" w:line="216" w:lineRule="exact"/>
        <w:rPr>
          <w:sz w:val="20"/>
          <w:szCs w:val="20"/>
          <w:color w:val="auto"/>
        </w:rPr>
      </w:pPr>
    </w:p>
    <w:p>
      <w:pPr>
        <w:ind w:right="240" w:firstLine="755"/>
        <w:spacing w:after="0" w:line="287" w:lineRule="auto"/>
        <w:tabs>
          <w:tab w:leader="none" w:pos="1190"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Assignment</w:t>
      </w:r>
      <w:r>
        <w:rPr>
          <w:rFonts w:ascii="Times New Roman" w:cs="Times New Roman" w:eastAsia="Times New Roman" w:hAnsi="Times New Roman"/>
          <w:sz w:val="22"/>
          <w:szCs w:val="22"/>
          <w:color w:val="auto"/>
        </w:rPr>
        <w:t>. Neither this Agreement nor any right, remedy, obligation or liability arising hereunder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reason hereof shall be assignable by the Participant.</w:t>
      </w:r>
    </w:p>
    <w:p>
      <w:pPr>
        <w:spacing w:after="0" w:line="137" w:lineRule="exact"/>
        <w:rPr>
          <w:rFonts w:ascii="Times New Roman" w:cs="Times New Roman" w:eastAsia="Times New Roman" w:hAnsi="Times New Roman"/>
          <w:sz w:val="22"/>
          <w:szCs w:val="22"/>
          <w:color w:val="auto"/>
        </w:rPr>
      </w:pPr>
    </w:p>
    <w:p>
      <w:pPr>
        <w:ind w:right="60" w:firstLine="755"/>
        <w:spacing w:after="0" w:line="257" w:lineRule="auto"/>
        <w:tabs>
          <w:tab w:leader="none" w:pos="122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Successors and Assigns; No Third-Party Beneficiaries. </w:t>
      </w:r>
      <w:r>
        <w:rPr>
          <w:rFonts w:ascii="Times New Roman" w:cs="Times New Roman" w:eastAsia="Times New Roman" w:hAnsi="Times New Roman"/>
          <w:sz w:val="22"/>
          <w:szCs w:val="22"/>
          <w:color w:val="auto"/>
        </w:rPr>
        <w:t>This Agreement shall inure to the benefit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be binding upon the Company and the Participant and their respective heirs, successors, legal representatives and permitted assigns. Nothing in this Agreement, express or implied, is intended to confer on any Person other than the Company and the Participant, and their respective heirs, successors, legal representatives and permitted assigns, any rights, remedies, obligations or liabilities under or by reason of this Agreement.</w:t>
      </w:r>
    </w:p>
    <w:p>
      <w:pPr>
        <w:spacing w:after="0" w:line="171" w:lineRule="exact"/>
        <w:rPr>
          <w:rFonts w:ascii="Times New Roman" w:cs="Times New Roman" w:eastAsia="Times New Roman" w:hAnsi="Times New Roman"/>
          <w:sz w:val="22"/>
          <w:szCs w:val="22"/>
          <w:color w:val="auto"/>
        </w:rPr>
      </w:pPr>
    </w:p>
    <w:p>
      <w:pPr>
        <w:ind w:right="280" w:firstLine="755"/>
        <w:spacing w:after="0" w:line="259" w:lineRule="auto"/>
        <w:tabs>
          <w:tab w:leader="none" w:pos="1226"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Governing Law; Waiver of Jury Trial. </w:t>
      </w:r>
      <w:r>
        <w:rPr>
          <w:rFonts w:ascii="Times New Roman" w:cs="Times New Roman" w:eastAsia="Times New Roman" w:hAnsi="Times New Roman"/>
          <w:sz w:val="22"/>
          <w:szCs w:val="22"/>
          <w:color w:val="auto"/>
        </w:rPr>
        <w:t>This Agreement shall be governed by the laws of the State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Delaware, without application of the conflicts of law principles thereof. TO THE EXTENT ANY LEGAL PROCEEDING ARISING OUT OF OR RELATED TO THIS AGREEMENT OR THE TRANSACTIONS CONTEMPLATED HEREBY IS NOT GOVERNED BY THE ARBITRATION AGREEMENT, EACH OF THE PARTIES HERETO HEREBY IRREVOCABLY WAIVES ANY AND ALL RIGHT TO TRIAL BY JURY WITH RESPECT TO SUCH LEGAL PROCEEDING.</w:t>
      </w:r>
    </w:p>
    <w:p>
      <w:pPr>
        <w:spacing w:after="0" w:line="170" w:lineRule="exact"/>
        <w:rPr>
          <w:rFonts w:ascii="Times New Roman" w:cs="Times New Roman" w:eastAsia="Times New Roman" w:hAnsi="Times New Roman"/>
          <w:sz w:val="22"/>
          <w:szCs w:val="22"/>
          <w:color w:val="auto"/>
        </w:rPr>
      </w:pPr>
    </w:p>
    <w:p>
      <w:pPr>
        <w:ind w:firstLine="768"/>
        <w:spacing w:after="0" w:line="260" w:lineRule="auto"/>
        <w:tabs>
          <w:tab w:leader="none" w:pos="1191" w:val="left"/>
        </w:tabs>
        <w:numPr>
          <w:ilvl w:val="1"/>
          <w:numId w:val="1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Dispute Resolution</w:t>
      </w:r>
      <w:r>
        <w:rPr>
          <w:rFonts w:ascii="Times New Roman" w:cs="Times New Roman" w:eastAsia="Times New Roman" w:hAnsi="Times New Roman"/>
          <w:sz w:val="21"/>
          <w:szCs w:val="21"/>
          <w:color w:val="auto"/>
        </w:rPr>
        <w:t>. Any dispute or claim arising out of, under or in connection with the Plan or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Award Agreement shall be submitted to arbitration in Delaware and shall be conducted in accordance with the rules of, but not necessarily under the auspices of, the American Arbitration Association (“</w:t>
      </w:r>
      <w:r>
        <w:rPr>
          <w:rFonts w:ascii="Times New Roman" w:cs="Times New Roman" w:eastAsia="Times New Roman" w:hAnsi="Times New Roman"/>
          <w:sz w:val="21"/>
          <w:szCs w:val="21"/>
          <w:b w:val="1"/>
          <w:bCs w:val="1"/>
          <w:color w:val="auto"/>
        </w:rPr>
        <w:t>AAA</w:t>
      </w:r>
      <w:r>
        <w:rPr>
          <w:rFonts w:ascii="Times New Roman" w:cs="Times New Roman" w:eastAsia="Times New Roman" w:hAnsi="Times New Roman"/>
          <w:sz w:val="21"/>
          <w:szCs w:val="21"/>
          <w:color w:val="auto"/>
        </w:rPr>
        <w:t>”) rules in force when the notice of arbitration is submitted. The arbitration shall be conducted before an arbitration tribunal comprised of one individual, mutually selected by the Company and the Participant, such selection to be made within 30 calendar days after notice of arbitration has been given. In the event the parties are unable to agree in such time, AAA will provide a list of three available arbitrators and an arbitrator will be selected from such three- member panel provided by AAA by the parties alternately striking out one name of a potential arbitrator until only one name remains. The party entitled to strike an arbitrator first shall be selected by a toss of a coin. The Participant and the Company agree that such arbitration will be confidential and no details, descriptions, settlements or other facts concerning such arbitration shall be disclosed or released to any third party without the specific written consent of the other party, unless required by law or court order or in connection with enforcement of any decision in such arbitration. Any damages awarded in such arbitration shall be limited to the contract measure of damages, and shall not include punitive damages.</w:t>
      </w:r>
    </w:p>
    <w:p>
      <w:pPr>
        <w:spacing w:after="0" w:line="200" w:lineRule="exact"/>
        <w:rPr>
          <w:sz w:val="20"/>
          <w:szCs w:val="20"/>
          <w:color w:val="auto"/>
        </w:rPr>
      </w:pPr>
    </w:p>
    <w:p>
      <w:pPr>
        <w:spacing w:after="0" w:line="36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0200"/>
          </w:cols>
          <w:pgMar w:left="1160" w:top="1440" w:right="539" w:bottom="1440" w:gutter="0" w:footer="0" w:header="0"/>
        </w:sectPr>
      </w:pPr>
    </w:p>
    <w:bookmarkStart w:id="180" w:name="page181"/>
    <w:bookmarkEnd w:id="180"/>
    <w:p>
      <w:pPr>
        <w:spacing w:after="0" w:line="100" w:lineRule="exact"/>
        <w:rPr>
          <w:sz w:val="20"/>
          <w:szCs w:val="20"/>
          <w:color w:val="auto"/>
        </w:rPr>
      </w:pPr>
    </w:p>
    <w:p>
      <w:pPr>
        <w:ind w:right="40" w:firstLine="768"/>
        <w:spacing w:after="0" w:line="248" w:lineRule="auto"/>
        <w:tabs>
          <w:tab w:leader="none" w:pos="1191"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Participant Undertaking; Acceptance</w:t>
      </w:r>
      <w:r>
        <w:rPr>
          <w:rFonts w:ascii="Times New Roman" w:cs="Times New Roman" w:eastAsia="Times New Roman" w:hAnsi="Times New Roman"/>
          <w:sz w:val="22"/>
          <w:szCs w:val="22"/>
          <w:color w:val="auto"/>
        </w:rPr>
        <w:t>. The Participant agrees to take whatever additional action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execute whatever additional documents the Company may deem necessary or advisable to carry out or give effect to any of the obligations or restrictions imposed on either the Participant or the Award pursuant to this Agreement. The Participant acknowledges receipt of a copy of the Plan and this Agreement and understands that material definitions and provisions concerning the Award and the Participant’s rights and obligations with respect thereto are set forth in the Plan. The Participant has read carefully, and understands, the provisions of this Agreement and the Plan.</w:t>
      </w:r>
    </w:p>
    <w:p>
      <w:pPr>
        <w:spacing w:after="0" w:line="168" w:lineRule="exact"/>
        <w:rPr>
          <w:rFonts w:ascii="Times New Roman" w:cs="Times New Roman" w:eastAsia="Times New Roman" w:hAnsi="Times New Roman"/>
          <w:sz w:val="22"/>
          <w:szCs w:val="22"/>
          <w:color w:val="auto"/>
        </w:rPr>
      </w:pPr>
    </w:p>
    <w:p>
      <w:pPr>
        <w:ind w:firstLine="716"/>
        <w:spacing w:after="0" w:line="287" w:lineRule="auto"/>
        <w:tabs>
          <w:tab w:leader="none" w:pos="1187"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Captions</w:t>
      </w:r>
      <w:r>
        <w:rPr>
          <w:rFonts w:ascii="Times New Roman" w:cs="Times New Roman" w:eastAsia="Times New Roman" w:hAnsi="Times New Roman"/>
          <w:sz w:val="22"/>
          <w:szCs w:val="22"/>
          <w:color w:val="auto"/>
        </w:rPr>
        <w:t>. Captions provided herein are for convenience only and shall not affect the scope, meaning,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intent or interpretation of the provisions of this Award Agreement.</w:t>
      </w:r>
    </w:p>
    <w:p>
      <w:pPr>
        <w:spacing w:after="0" w:line="137" w:lineRule="exact"/>
        <w:rPr>
          <w:rFonts w:ascii="Times New Roman" w:cs="Times New Roman" w:eastAsia="Times New Roman" w:hAnsi="Times New Roman"/>
          <w:sz w:val="22"/>
          <w:szCs w:val="22"/>
          <w:color w:val="auto"/>
        </w:rPr>
      </w:pPr>
    </w:p>
    <w:p>
      <w:pPr>
        <w:ind w:left="1180" w:hanging="412"/>
        <w:spacing w:after="0"/>
        <w:tabs>
          <w:tab w:leader="none" w:pos="1180"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Agreement may be executed in two counterparts, each of which shall</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constitute one and the same instrument.</w:t>
      </w:r>
    </w:p>
    <w:p>
      <w:pPr>
        <w:spacing w:after="0" w:line="24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920"/>
          </w:cols>
          <w:pgMar w:left="1160" w:top="1440" w:right="819" w:bottom="1440" w:gutter="0" w:footer="0" w:header="0"/>
        </w:sectPr>
      </w:pPr>
    </w:p>
    <w:bookmarkStart w:id="181" w:name="page182"/>
    <w:bookmarkEnd w:id="181"/>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day and year first written above.</w:t>
      </w:r>
    </w:p>
    <w:p>
      <w:pPr>
        <w:spacing w:after="0" w:line="200" w:lineRule="exact"/>
        <w:rPr>
          <w:sz w:val="20"/>
          <w:szCs w:val="20"/>
          <w:color w:val="auto"/>
        </w:rPr>
      </w:pPr>
    </w:p>
    <w:p>
      <w:pPr>
        <w:spacing w:after="0" w:line="35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REYNOLDS CONSUMER PRODUCTS</w:t>
      </w:r>
    </w:p>
    <w:p>
      <w:pPr>
        <w:spacing w:after="0" w:line="23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36830</wp:posOffset>
            </wp:positionV>
            <wp:extent cx="23914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3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Scott E. Huckins</w:t>
      </w:r>
    </w:p>
    <w:p>
      <w:pPr>
        <w:ind w:left="3420"/>
        <w:spacing w:after="0"/>
        <w:rPr>
          <w:sz w:val="20"/>
          <w:szCs w:val="20"/>
          <w:color w:val="auto"/>
        </w:rPr>
      </w:pPr>
      <w:r>
        <w:rPr>
          <w:rFonts w:ascii="Times New Roman" w:cs="Times New Roman" w:eastAsia="Times New Roman" w:hAnsi="Times New Roman"/>
          <w:sz w:val="19"/>
          <w:szCs w:val="19"/>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AGREED AND ACCEPTED: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%%FIRST_NAME_LAST_NAME%-%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35560</wp:posOffset>
            </wp:positionV>
            <wp:extent cx="343725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3437255" cy="8890"/>
                    </a:xfrm>
                    <a:prstGeom prst="rect">
                      <a:avLst/>
                    </a:prstGeom>
                    <a:noFill/>
                  </pic:spPr>
                </pic:pic>
              </a:graphicData>
            </a:graphic>
          </wp:anchor>
        </w:drawing>
      </w:r>
    </w:p>
    <w:p>
      <w:pPr>
        <w:spacing w:after="0" w:line="5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Signature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-7620</wp:posOffset>
            </wp:positionV>
            <wp:extent cx="5708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ectPr>
          <w:pgSz w:w="11900" w:h="16838" w:orient="portrait"/>
          <w:cols w:equalWidth="0" w:num="1">
            <w:col w:w="10360"/>
          </w:cols>
          <w:pgMar w:left="400" w:top="1017" w:right="1139" w:bottom="1440" w:gutter="0" w:footer="0" w:header="0"/>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Attachment A</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Performance Conditions</w:t>
      </w:r>
    </w:p>
    <w:p>
      <w:pPr>
        <w:sectPr>
          <w:pgSz w:w="11900" w:h="16838" w:orient="portrait"/>
          <w:cols w:equalWidth="0" w:num="1">
            <w:col w:w="9019"/>
          </w:cols>
          <w:pgMar w:left="1440" w:top="1440" w:right="1440"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200" w:lineRule="exact"/>
        <w:rPr>
          <w:sz w:val="20"/>
          <w:szCs w:val="20"/>
          <w:color w:val="auto"/>
        </w:rPr>
      </w:pPr>
    </w:p>
    <w:p>
      <w:pPr>
        <w:spacing w:after="0" w:line="295" w:lineRule="exact"/>
        <w:rPr>
          <w:sz w:val="20"/>
          <w:szCs w:val="20"/>
          <w:color w:val="auto"/>
        </w:rPr>
      </w:pPr>
    </w:p>
    <w:p>
      <w:pPr>
        <w:ind w:firstLine="648"/>
        <w:spacing w:after="0" w:line="296" w:lineRule="auto"/>
        <w:rPr>
          <w:sz w:val="20"/>
          <w:szCs w:val="20"/>
          <w:color w:val="auto"/>
        </w:rPr>
      </w:pPr>
      <w:r>
        <w:rPr>
          <w:rFonts w:ascii="Arial" w:cs="Arial" w:eastAsia="Arial" w:hAnsi="Arial"/>
          <w:sz w:val="18"/>
          <w:szCs w:val="18"/>
          <w:color w:val="auto"/>
        </w:rPr>
        <w:t>Employment Agreement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effective as of February 1, 2022,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Steve Estes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52" w:lineRule="exact"/>
        <w:rPr>
          <w:sz w:val="20"/>
          <w:szCs w:val="20"/>
          <w:color w:val="auto"/>
        </w:rPr>
      </w:pPr>
    </w:p>
    <w:p>
      <w:pPr>
        <w:ind w:left="1300" w:hanging="644"/>
        <w:spacing w:after="0"/>
        <w:tabs>
          <w:tab w:leader="none" w:pos="1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Employee is currently employed by the Company without a written employment agreement.</w:t>
      </w:r>
    </w:p>
    <w:p>
      <w:pPr>
        <w:spacing w:after="0" w:line="252" w:lineRule="exact"/>
        <w:rPr>
          <w:rFonts w:ascii="Arial" w:cs="Arial" w:eastAsia="Arial" w:hAnsi="Arial"/>
          <w:sz w:val="18"/>
          <w:szCs w:val="18"/>
          <w:color w:val="auto"/>
        </w:rPr>
      </w:pPr>
    </w:p>
    <w:p>
      <w:pPr>
        <w:ind w:firstLine="656"/>
        <w:spacing w:after="0" w:line="287" w:lineRule="auto"/>
        <w:tabs>
          <w:tab w:leader="none" w:pos="129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Company and Employee desire to enter into this Agreement to set forth their agreements regarding certain terms and conditions of Employee’s employment.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2" w:lineRule="exact"/>
        <w:rPr>
          <w:sz w:val="20"/>
          <w:szCs w:val="20"/>
          <w:color w:val="auto"/>
        </w:rPr>
      </w:pPr>
    </w:p>
    <w:p>
      <w:pPr>
        <w:jc w:val="both"/>
        <w:ind w:firstLine="656"/>
        <w:spacing w:after="0" w:line="268" w:lineRule="auto"/>
        <w:tabs>
          <w:tab w:leader="none" w:pos="1284"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of Employee’s employment pursuant to this Agreement shall commence on the date hereof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until terminated in accordance with the terms hereof (the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However, Employee’s employment with the Company commenced on the date Employee was first employed by the Company and is not affected by the parties entering into this Agreement.</w:t>
      </w:r>
    </w:p>
    <w:p>
      <w:pPr>
        <w:spacing w:after="0" w:line="197" w:lineRule="exact"/>
        <w:rPr>
          <w:rFonts w:ascii="Arial" w:cs="Arial" w:eastAsia="Arial" w:hAnsi="Arial"/>
          <w:sz w:val="18"/>
          <w:szCs w:val="18"/>
          <w:color w:val="auto"/>
        </w:rPr>
      </w:pPr>
    </w:p>
    <w:p>
      <w:pPr>
        <w:jc w:val="both"/>
        <w:ind w:firstLine="656"/>
        <w:spacing w:after="0" w:line="259" w:lineRule="auto"/>
        <w:tabs>
          <w:tab w:leader="none" w:pos="1284"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Position, Duties and 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serve in the position(s)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b w:val="1"/>
          <w:bCs w:val="1"/>
          <w:color w:val="auto"/>
        </w:rPr>
        <w:t xml:space="preserve"> </w:t>
      </w:r>
      <w:r>
        <w:rPr>
          <w:rFonts w:ascii="Arial" w:cs="Arial" w:eastAsia="Arial" w:hAnsi="Arial"/>
          <w:sz w:val="18"/>
          <w:szCs w:val="18"/>
          <w:color w:val="auto"/>
        </w:rPr>
        <w:t>attached hereto.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devote substantially all of Employee’s working time and efforts to the business and affairs of the Company and shall not engage in any other business activity without prior written approval from the Company’s CEO. Employee shall perform the services required by this Agreement at the location(s) indicated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except for customary business travel to other locations as may be necessary to fulfill Employee’s duties and responsibilities hereunder.</w:t>
      </w:r>
    </w:p>
    <w:p>
      <w:pPr>
        <w:spacing w:after="0" w:line="206" w:lineRule="exact"/>
        <w:rPr>
          <w:rFonts w:ascii="Arial" w:cs="Arial" w:eastAsia="Arial" w:hAnsi="Arial"/>
          <w:sz w:val="18"/>
          <w:szCs w:val="18"/>
          <w:color w:val="auto"/>
        </w:rPr>
      </w:pPr>
    </w:p>
    <w:p>
      <w:pPr>
        <w:ind w:left="1300" w:hanging="644"/>
        <w:spacing w:after="0"/>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and Related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w:t>
      </w:r>
    </w:p>
    <w:p>
      <w:pPr>
        <w:spacing w:after="0" w:line="252"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Base Salary.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annual base salary (the “</w:t>
      </w:r>
      <w:r>
        <w:rPr>
          <w:rFonts w:ascii="Arial" w:cs="Arial" w:eastAsia="Arial" w:hAnsi="Arial"/>
          <w:sz w:val="18"/>
          <w:szCs w:val="18"/>
          <w:b w:val="1"/>
          <w:bCs w:val="1"/>
          <w:u w:val="single" w:color="auto"/>
          <w:color w:val="auto"/>
        </w:rPr>
        <w:t>Base Salary</w:t>
      </w:r>
      <w:r>
        <w:rPr>
          <w:rFonts w:ascii="Arial" w:cs="Arial" w:eastAsia="Arial" w:hAnsi="Arial"/>
          <w:sz w:val="18"/>
          <w:szCs w:val="18"/>
          <w:color w:val="auto"/>
        </w:rPr>
        <w:t>”) shall be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Base</w:t>
      </w:r>
      <w:r>
        <w:rPr>
          <w:rFonts w:ascii="Arial" w:cs="Arial" w:eastAsia="Arial" w:hAnsi="Arial"/>
          <w:sz w:val="18"/>
          <w:szCs w:val="18"/>
          <w:b w:val="1"/>
          <w:bCs w:val="1"/>
          <w:color w:val="auto"/>
        </w:rPr>
        <w:t xml:space="preserve"> </w:t>
      </w:r>
      <w:r>
        <w:rPr>
          <w:rFonts w:ascii="Arial" w:cs="Arial" w:eastAsia="Arial" w:hAnsi="Arial"/>
          <w:sz w:val="18"/>
          <w:szCs w:val="18"/>
          <w:color w:val="auto"/>
        </w:rPr>
        <w:t>Salary shall be payable in periodic installments in accordance with the usual practice of the Company for its senior employees. Employee’s Base Salary will be reviewed but not necessarily increased annually as part of the Company’s merit review process.</w:t>
      </w:r>
    </w:p>
    <w:p>
      <w:pPr>
        <w:spacing w:after="0" w:line="197" w:lineRule="exact"/>
        <w:rPr>
          <w:rFonts w:ascii="Arial" w:cs="Arial" w:eastAsia="Arial" w:hAnsi="Arial"/>
          <w:sz w:val="18"/>
          <w:szCs w:val="18"/>
          <w:color w:val="auto"/>
        </w:rPr>
      </w:pPr>
    </w:p>
    <w:p>
      <w:pPr>
        <w:jc w:val="both"/>
        <w:ind w:firstLine="1304"/>
        <w:spacing w:after="0" w:line="262" w:lineRule="auto"/>
        <w:tabs>
          <w:tab w:leader="none" w:pos="1934"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Annual Bonus.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eligible to receive an annual bonus (the “</w:t>
      </w:r>
      <w:r>
        <w:rPr>
          <w:rFonts w:ascii="Arial" w:cs="Arial" w:eastAsia="Arial" w:hAnsi="Arial"/>
          <w:sz w:val="18"/>
          <w:szCs w:val="18"/>
          <w:b w:val="1"/>
          <w:bCs w:val="1"/>
          <w:u w:val="single" w:color="auto"/>
          <w:color w:val="auto"/>
        </w:rPr>
        <w:t>Annual Bonus</w:t>
      </w:r>
      <w:r>
        <w:rPr>
          <w:rFonts w:ascii="Arial" w:cs="Arial" w:eastAsia="Arial" w:hAnsi="Arial"/>
          <w:sz w:val="18"/>
          <w:szCs w:val="18"/>
          <w:color w:val="auto"/>
        </w:rPr>
        <w: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 The Annual Bonus shall be determined by the Company in its sole discretion, and there is no assurance that any Annual Bonus will be earned. The Annual Bonus, if any, earned by Employee in respect of any year shall be paid to Employee at the time that the Company pays its annual bonuses to its employees generally (usually around March 15 of the following year).</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Compensation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eligible to participate in such other compensation programs as</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34"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receive reimbursement for all reasonable expenses incurred by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in performing services hereunder, in accordance with the policies and procedures then in effect and established by the Company for its senior officers.</w:t>
      </w:r>
    </w:p>
    <w:p>
      <w:pPr>
        <w:spacing w:after="0" w:line="197" w:lineRule="exact"/>
        <w:rPr>
          <w:rFonts w:ascii="Arial" w:cs="Arial" w:eastAsia="Arial" w:hAnsi="Arial"/>
          <w:sz w:val="18"/>
          <w:szCs w:val="18"/>
          <w:color w:val="auto"/>
        </w:rPr>
      </w:pPr>
    </w:p>
    <w:p>
      <w:pPr>
        <w:ind w:firstLine="1304"/>
        <w:spacing w:after="0" w:line="287" w:lineRule="auto"/>
        <w:tabs>
          <w:tab w:leader="none" w:pos="1934" w:val="left"/>
        </w:tabs>
        <w:numPr>
          <w:ilvl w:val="1"/>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Employee Benefit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participate in the Company’s employee health and</w:t>
      </w:r>
      <w:r>
        <w:rPr>
          <w:rFonts w:ascii="Arial" w:cs="Arial" w:eastAsia="Arial" w:hAnsi="Arial"/>
          <w:sz w:val="18"/>
          <w:szCs w:val="18"/>
          <w:b w:val="1"/>
          <w:bCs w:val="1"/>
          <w:color w:val="auto"/>
        </w:rPr>
        <w:t xml:space="preserve"> </w:t>
      </w:r>
      <w:r>
        <w:rPr>
          <w:rFonts w:ascii="Arial" w:cs="Arial" w:eastAsia="Arial" w:hAnsi="Arial"/>
          <w:sz w:val="18"/>
          <w:szCs w:val="18"/>
          <w:color w:val="auto"/>
        </w:rPr>
        <w:t>welfare plans, policies, programs and arrangements as they may be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7"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8"/>
          <w:szCs w:val="18"/>
          <w:color w:val="auto"/>
        </w:rPr>
        <w:t>amended from time to time, to the extent Employee meets the eligibility requirements for any such plan, policy, program or arrangement.</w:t>
      </w:r>
    </w:p>
    <w:p>
      <w:pPr>
        <w:spacing w:after="0" w:line="252" w:lineRule="exact"/>
        <w:rPr>
          <w:sz w:val="20"/>
          <w:szCs w:val="20"/>
          <w:color w:val="auto"/>
        </w:rPr>
      </w:pPr>
    </w:p>
    <w:p>
      <w:pPr>
        <w:jc w:val="both"/>
        <w:ind w:firstLine="1304"/>
        <w:spacing w:after="0" w:line="268" w:lineRule="auto"/>
        <w:tabs>
          <w:tab w:leader="none" w:pos="1938" w:val="left"/>
        </w:tabs>
        <w:numPr>
          <w:ilvl w:val="1"/>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Vacation.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be entitled to paid vacation, as well as holidays and other paid absences,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Company’s policies and procedures for similarly situated employees of the Company, to the extent Employee meets the eligibility requirements for any such policy and procedures.</w:t>
      </w:r>
    </w:p>
    <w:p>
      <w:pPr>
        <w:spacing w:after="0" w:line="197" w:lineRule="exact"/>
        <w:rPr>
          <w:rFonts w:ascii="Arial" w:cs="Arial" w:eastAsia="Arial" w:hAnsi="Arial"/>
          <w:sz w:val="18"/>
          <w:szCs w:val="18"/>
          <w:color w:val="auto"/>
        </w:rPr>
      </w:pPr>
    </w:p>
    <w:p>
      <w:pPr>
        <w:ind w:firstLine="656"/>
        <w:spacing w:after="0" w:line="287" w:lineRule="auto"/>
        <w:tabs>
          <w:tab w:leader="none" w:pos="1284"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may be terminated as set forth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w:t>
      </w:r>
      <w:r>
        <w:rPr>
          <w:rFonts w:ascii="Arial" w:cs="Arial" w:eastAsia="Arial" w:hAnsi="Arial"/>
          <w:sz w:val="18"/>
          <w:szCs w:val="18"/>
          <w:color w:val="auto"/>
        </w:rPr>
        <w:t>. Upon any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the Term shall automatically end.</w:t>
      </w:r>
    </w:p>
    <w:p>
      <w:pPr>
        <w:spacing w:after="0" w:line="179" w:lineRule="exact"/>
        <w:rPr>
          <w:rFonts w:ascii="Arial" w:cs="Arial" w:eastAsia="Arial" w:hAnsi="Arial"/>
          <w:sz w:val="18"/>
          <w:szCs w:val="18"/>
          <w:color w:val="auto"/>
        </w:rPr>
      </w:pPr>
    </w:p>
    <w:p>
      <w:pPr>
        <w:ind w:left="1940" w:hanging="636"/>
        <w:spacing w:after="0"/>
        <w:tabs>
          <w:tab w:leader="none" w:pos="1940"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Death.</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hereunder shall automatically terminate upon Employee’s death.</w:t>
      </w:r>
    </w:p>
    <w:p>
      <w:pPr>
        <w:spacing w:after="0" w:line="252" w:lineRule="exact"/>
        <w:rPr>
          <w:rFonts w:ascii="Arial" w:cs="Arial" w:eastAsia="Arial" w:hAnsi="Arial"/>
          <w:sz w:val="18"/>
          <w:szCs w:val="18"/>
          <w:color w:val="auto"/>
        </w:rPr>
      </w:pPr>
    </w:p>
    <w:p>
      <w:pPr>
        <w:jc w:val="both"/>
        <w:ind w:firstLine="1304"/>
        <w:spacing w:after="0" w:line="257" w:lineRule="auto"/>
        <w:tabs>
          <w:tab w:leader="none" w:pos="1934"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Discharge by the Company for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for</w:t>
      </w:r>
      <w:r>
        <w:rPr>
          <w:rFonts w:ascii="Arial" w:cs="Arial" w:eastAsia="Arial" w:hAnsi="Arial"/>
          <w:sz w:val="18"/>
          <w:szCs w:val="18"/>
          <w:b w:val="1"/>
          <w:bCs w:val="1"/>
          <w:color w:val="auto"/>
        </w:rPr>
        <w:t xml:space="preserve"> </w:t>
      </w:r>
      <w:r>
        <w:rPr>
          <w:rFonts w:ascii="Arial" w:cs="Arial" w:eastAsia="Arial" w:hAnsi="Arial"/>
          <w:sz w:val="18"/>
          <w:szCs w:val="18"/>
          <w:color w:val="auto"/>
        </w:rPr>
        <w:t>Cause at any time. For purposes of this Agreement, “Cause” shall mean in the good faith determination of [the Company’s CEO)[RGHL’s CEO or Owner] that Employee has engaged in conduct consisting of (i) dishonesty or other serious misconduct related to Employee’s duties as an employee of the Company, or (ii) willful and continual failure (unless due to incapacity resulting from physical or mental illness) to perform the duties of Employee’s employment after written demand for substantial performance is delivered to Employee by the Company specifically identifying the manner in which Employee has not substantially performed such duties.</w:t>
      </w:r>
    </w:p>
    <w:p>
      <w:pPr>
        <w:spacing w:after="0" w:line="209" w:lineRule="exact"/>
        <w:rPr>
          <w:rFonts w:ascii="Arial" w:cs="Arial" w:eastAsia="Arial" w:hAnsi="Arial"/>
          <w:sz w:val="18"/>
          <w:szCs w:val="18"/>
          <w:color w:val="auto"/>
        </w:rPr>
      </w:pPr>
    </w:p>
    <w:p>
      <w:pPr>
        <w:jc w:val="both"/>
        <w:ind w:firstLine="1304"/>
        <w:spacing w:after="0" w:line="268" w:lineRule="auto"/>
        <w:tabs>
          <w:tab w:leader="none" w:pos="1938"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terminate Employee’s employment hereunder at any time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upon 30 days’ written notice to Employee. Any termination by the Company of Employee’s employment under this Agreement other than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shall be deemed a termination without Cause.</w:t>
      </w:r>
    </w:p>
    <w:p>
      <w:pPr>
        <w:spacing w:after="0" w:line="197" w:lineRule="exact"/>
        <w:rPr>
          <w:rFonts w:ascii="Arial" w:cs="Arial" w:eastAsia="Arial" w:hAnsi="Arial"/>
          <w:sz w:val="18"/>
          <w:szCs w:val="18"/>
          <w:color w:val="auto"/>
        </w:rPr>
      </w:pPr>
    </w:p>
    <w:p>
      <w:pPr>
        <w:ind w:left="1940" w:hanging="636"/>
        <w:spacing w:after="0"/>
        <w:tabs>
          <w:tab w:leader="none" w:pos="1940"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may terminate Employee’s employment hereunder upon 30 days’ written</w:t>
      </w:r>
    </w:p>
    <w:p>
      <w:pPr>
        <w:spacing w:after="0" w:line="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notice to the Company.</w:t>
      </w:r>
    </w:p>
    <w:p>
      <w:pPr>
        <w:spacing w:after="0" w:line="234" w:lineRule="exact"/>
        <w:rPr>
          <w:rFonts w:ascii="Arial" w:cs="Arial" w:eastAsia="Arial" w:hAnsi="Arial"/>
          <w:sz w:val="18"/>
          <w:szCs w:val="18"/>
          <w:color w:val="auto"/>
        </w:rPr>
      </w:pPr>
    </w:p>
    <w:p>
      <w:pPr>
        <w:jc w:val="both"/>
        <w:ind w:firstLine="1304"/>
        <w:spacing w:after="0" w:line="257" w:lineRule="auto"/>
        <w:tabs>
          <w:tab w:leader="none" w:pos="1934"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termination as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4(a)</w:t>
      </w:r>
      <w:r>
        <w:rPr>
          <w:rFonts w:ascii="Arial" w:cs="Arial" w:eastAsia="Arial" w:hAnsi="Arial"/>
          <w:sz w:val="18"/>
          <w:szCs w:val="18"/>
          <w:color w:val="auto"/>
        </w:rPr>
        <w:t>, any termination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such termination by Employee shall be communicated by written to the other party hereto, specifying the applicable termination provision of this Agreement (a “</w:t>
      </w:r>
      <w:r>
        <w:rPr>
          <w:rFonts w:ascii="Arial" w:cs="Arial" w:eastAsia="Arial" w:hAnsi="Arial"/>
          <w:sz w:val="18"/>
          <w:szCs w:val="18"/>
          <w:b w:val="1"/>
          <w:bCs w:val="1"/>
          <w:u w:val="single" w:color="auto"/>
          <w:color w:val="auto"/>
        </w:rPr>
        <w:t>Notice of Termination</w:t>
      </w:r>
      <w:r>
        <w:rPr>
          <w:rFonts w:ascii="Arial" w:cs="Arial" w:eastAsia="Arial" w:hAnsi="Arial"/>
          <w:sz w:val="18"/>
          <w:szCs w:val="18"/>
          <w:color w:val="auto"/>
        </w:rPr>
        <w:t>”). The “</w:t>
      </w:r>
      <w:r>
        <w:rPr>
          <w:rFonts w:ascii="Arial" w:cs="Arial" w:eastAsia="Arial" w:hAnsi="Arial"/>
          <w:sz w:val="18"/>
          <w:szCs w:val="18"/>
          <w:b w:val="1"/>
          <w:bCs w:val="1"/>
          <w:u w:val="single" w:color="auto"/>
          <w:color w:val="auto"/>
        </w:rPr>
        <w:t>Date of Termination</w:t>
      </w:r>
      <w:r>
        <w:rPr>
          <w:rFonts w:ascii="Arial" w:cs="Arial" w:eastAsia="Arial" w:hAnsi="Arial"/>
          <w:sz w:val="18"/>
          <w:szCs w:val="18"/>
          <w:color w:val="auto"/>
        </w:rPr>
        <w:t>” shall mean: (i) if Employee’s employment is terminated by death, the date of death; or (ii) the date specified in the applicable Notice of Termination. Notwithstanding the foregoing, if Employee gives a Notice of Termination to the Company, the Company may unilaterally accelerate the Date of Termination and such acceleration shall not result in a termination by the Company for purposes of this Agreement.</w:t>
      </w:r>
    </w:p>
    <w:p>
      <w:pPr>
        <w:spacing w:after="0" w:line="209" w:lineRule="exact"/>
        <w:rPr>
          <w:rFonts w:ascii="Arial" w:cs="Arial" w:eastAsia="Arial" w:hAnsi="Arial"/>
          <w:sz w:val="18"/>
          <w:szCs w:val="18"/>
          <w:color w:val="auto"/>
        </w:rPr>
      </w:pPr>
    </w:p>
    <w:p>
      <w:pPr>
        <w:ind w:left="1300" w:hanging="644"/>
        <w:spacing w:after="0"/>
        <w:tabs>
          <w:tab w:leader="none" w:pos="1300"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Compensation Upon Termination.</w:t>
      </w:r>
    </w:p>
    <w:p>
      <w:pPr>
        <w:spacing w:after="0" w:line="252" w:lineRule="exact"/>
        <w:rPr>
          <w:rFonts w:ascii="Arial" w:cs="Arial" w:eastAsia="Arial" w:hAnsi="Arial"/>
          <w:sz w:val="18"/>
          <w:szCs w:val="18"/>
          <w:color w:val="auto"/>
        </w:rPr>
      </w:pPr>
    </w:p>
    <w:p>
      <w:pPr>
        <w:jc w:val="both"/>
        <w:ind w:firstLine="1304"/>
        <w:spacing w:after="0" w:line="259" w:lineRule="auto"/>
        <w:tabs>
          <w:tab w:leader="none" w:pos="1934"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with the Company is terminated for any reason, Employee (or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authorized representative or estate) shall, through the Date of Termination, be paid or provided with (i) any earned but unpaid Base Salary, (ii) unpaid expense reimbursements, and (iii) any vested benefits Employee may have under any employee benefit plan of the Company (the “</w:t>
      </w:r>
      <w:r>
        <w:rPr>
          <w:rFonts w:ascii="Arial" w:cs="Arial" w:eastAsia="Arial" w:hAnsi="Arial"/>
          <w:sz w:val="18"/>
          <w:szCs w:val="18"/>
          <w:b w:val="1"/>
          <w:bCs w:val="1"/>
          <w:u w:val="single" w:color="auto"/>
          <w:color w:val="auto"/>
        </w:rPr>
        <w:t>Accrued Obligations</w:t>
      </w:r>
      <w:r>
        <w:rPr>
          <w:rFonts w:ascii="Arial" w:cs="Arial" w:eastAsia="Arial" w:hAnsi="Arial"/>
          <w:sz w:val="18"/>
          <w:szCs w:val="18"/>
          <w:color w:val="auto"/>
        </w:rPr>
        <w:t>”). The Accrued Obligations shall be paid at the time(s) specified under any applicable employee benefit plan, or, if there is no applicable employee benefit plan, within 30 days after Employee’s Date of Termination.</w:t>
      </w:r>
    </w:p>
    <w:p>
      <w:pPr>
        <w:spacing w:after="0" w:line="206"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by the Company Without Cause.</w:t>
      </w:r>
      <w:r>
        <w:rPr>
          <w:rFonts w:ascii="Arial" w:cs="Arial" w:eastAsia="Arial" w:hAnsi="Arial"/>
          <w:sz w:val="18"/>
          <w:szCs w:val="18"/>
          <w:b w:val="1"/>
          <w:bCs w:val="1"/>
          <w:color w:val="auto"/>
        </w:rPr>
        <w:t xml:space="preserve"> </w:t>
      </w:r>
      <w:r>
        <w:rPr>
          <w:rFonts w:ascii="Arial" w:cs="Arial" w:eastAsia="Arial" w:hAnsi="Arial"/>
          <w:sz w:val="18"/>
          <w:szCs w:val="18"/>
          <w:color w:val="auto"/>
        </w:rPr>
        <w:t>If Employee’s employment is terminated by the Company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Cause as provided in </w:t>
      </w:r>
      <w:r>
        <w:rPr>
          <w:rFonts w:ascii="Arial" w:cs="Arial" w:eastAsia="Arial" w:hAnsi="Arial"/>
          <w:sz w:val="18"/>
          <w:szCs w:val="18"/>
          <w:u w:val="single" w:color="auto"/>
          <w:color w:val="auto"/>
        </w:rPr>
        <w:t>Section 4(c)</w:t>
      </w:r>
      <w:r>
        <w:rPr>
          <w:rFonts w:ascii="Arial" w:cs="Arial" w:eastAsia="Arial" w:hAnsi="Arial"/>
          <w:sz w:val="18"/>
          <w:szCs w:val="18"/>
          <w:color w:val="auto"/>
        </w:rPr>
        <w:t xml:space="preserve">, then Employee shall be paid or provided with the Accrued Obligations through the Date of Termination and, 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Employee shall also be paid or provided with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185" w:name="page186"/>
    <w:bookmarkEnd w:id="185"/>
    <w:p>
      <w:pPr>
        <w:spacing w:after="0" w:line="369" w:lineRule="exact"/>
        <w:rPr>
          <w:sz w:val="20"/>
          <w:szCs w:val="20"/>
          <w:color w:val="auto"/>
        </w:rPr>
      </w:pPr>
    </w:p>
    <w:p>
      <w:pPr>
        <w:jc w:val="both"/>
        <w:ind w:left="660" w:firstLine="1292"/>
        <w:spacing w:after="0" w:line="254" w:lineRule="auto"/>
        <w:tabs>
          <w:tab w:leader="none" w:pos="2599" w:val="left"/>
        </w:tabs>
        <w:numPr>
          <w:ilvl w:val="2"/>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 severance payment (the "</w:t>
      </w:r>
      <w:r>
        <w:rPr>
          <w:rFonts w:ascii="Arial" w:cs="Arial" w:eastAsia="Arial" w:hAnsi="Arial"/>
          <w:sz w:val="18"/>
          <w:szCs w:val="18"/>
          <w:b w:val="1"/>
          <w:bCs w:val="1"/>
          <w:u w:val="single" w:color="auto"/>
          <w:color w:val="auto"/>
        </w:rPr>
        <w:t>Severance Amount</w:t>
      </w:r>
      <w:r>
        <w:rPr>
          <w:rFonts w:ascii="Arial" w:cs="Arial" w:eastAsia="Arial" w:hAnsi="Arial"/>
          <w:sz w:val="18"/>
          <w:szCs w:val="18"/>
          <w:color w:val="auto"/>
        </w:rPr>
        <w:t>") in the Amount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w:t>
      </w:r>
      <w:r>
        <w:rPr>
          <w:rFonts w:ascii="Arial" w:cs="Arial" w:eastAsia="Arial" w:hAnsi="Arial"/>
          <w:sz w:val="18"/>
          <w:szCs w:val="18"/>
          <w:color w:val="auto"/>
        </w:rPr>
        <w:t>, the Severance Amount shall be paid to Employee in equal installments in accordance with the Company's normal payroll practices over a period set forth on Schedule A (the "</w:t>
      </w:r>
      <w:r>
        <w:rPr>
          <w:rFonts w:ascii="Arial" w:cs="Arial" w:eastAsia="Arial" w:hAnsi="Arial"/>
          <w:sz w:val="18"/>
          <w:szCs w:val="18"/>
          <w:b w:val="1"/>
          <w:bCs w:val="1"/>
          <w:u w:val="single" w:color="auto"/>
          <w:color w:val="auto"/>
        </w:rPr>
        <w:t>Severance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amount of the severance shall be payable until the revocation period for the Release described in </w:t>
      </w:r>
      <w:r>
        <w:rPr>
          <w:rFonts w:ascii="Arial" w:cs="Arial" w:eastAsia="Arial" w:hAnsi="Arial"/>
          <w:sz w:val="18"/>
          <w:szCs w:val="18"/>
          <w:u w:val="single" w:color="auto"/>
          <w:color w:val="auto"/>
        </w:rPr>
        <w:t>Section 5(c)</w:t>
      </w:r>
      <w:r>
        <w:rPr>
          <w:rFonts w:ascii="Arial" w:cs="Arial" w:eastAsia="Arial" w:hAnsi="Arial"/>
          <w:sz w:val="18"/>
          <w:szCs w:val="18"/>
          <w:color w:val="auto"/>
        </w:rPr>
        <w:t xml:space="preserve"> shall have expired (and Employee shall not have revoked Employee's agreements in the Release), and any amount that would have been paid to Employee but for this proviso shall be accrued and paid to Employee on the first payroll date immediately following the expiration of such revocation period. Notwithstanding the foregoing, and in addition to any other rights or remedies the Company may have at law or in equity, if Employee breaches any of the provisions of the Restrictive Covenant Agreement, Employee's right to receive further payments of the Severance Amount shall be terminated. Severance provided pursuant to this Agreement is in lieu of, and not in addition to, any severance that might be available to Employee by law, contract, policy, or otherwise, all of which are hereby waived by Employee. If Employee receives any other severance, the Severance Amount shall be reduced by the amount of such other severance.</w:t>
      </w:r>
    </w:p>
    <w:p>
      <w:pPr>
        <w:spacing w:after="0" w:line="209" w:lineRule="exact"/>
        <w:rPr>
          <w:rFonts w:ascii="Arial" w:cs="Arial" w:eastAsia="Arial" w:hAnsi="Arial"/>
          <w:sz w:val="18"/>
          <w:szCs w:val="18"/>
          <w:color w:val="auto"/>
        </w:rPr>
      </w:pPr>
    </w:p>
    <w:p>
      <w:pPr>
        <w:jc w:val="both"/>
        <w:ind w:left="660" w:firstLine="1292"/>
        <w:spacing w:after="0" w:line="253" w:lineRule="auto"/>
        <w:tabs>
          <w:tab w:leader="none" w:pos="2599" w:val="left"/>
        </w:tabs>
        <w:numPr>
          <w:ilvl w:val="2"/>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Health Care Continuation.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addition, Employee and Employee's eligible dependents, if any, shall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be covered by the Company's health plan (the "</w:t>
      </w:r>
      <w:r>
        <w:rPr>
          <w:rFonts w:ascii="Arial" w:cs="Arial" w:eastAsia="Arial" w:hAnsi="Arial"/>
          <w:sz w:val="18"/>
          <w:szCs w:val="18"/>
          <w:b w:val="1"/>
          <w:bCs w:val="1"/>
          <w:u w:val="single" w:color="auto"/>
          <w:color w:val="auto"/>
        </w:rPr>
        <w:t>Health Plan</w:t>
      </w:r>
      <w:r>
        <w:rPr>
          <w:rFonts w:ascii="Arial" w:cs="Arial" w:eastAsia="Arial" w:hAnsi="Arial"/>
          <w:sz w:val="18"/>
          <w:szCs w:val="18"/>
          <w:color w:val="auto"/>
        </w:rPr>
        <w:t>"). as in effect from time to time, and subject to the rules thereof (including any requirement to make contributions or pay premiums, except that Employee shall contribute or pay on an after-tax basis) for 12-months from Date of Termination. If the provision to Employee of the insurance coverage described in this Section would either: (A) violate the terms of the Health Plan (or any related insurance policies), or (B) violate any of the nondiscrimination requirements of the Internal Revenue Code of 1986, as amended (the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xml:space="preserve">"), applicable to the health insurance coverage, then the Company, in its sole discretion, may elect to pay Employee, in lieu of the health insurance coverage described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5(b)(ii)</w:t>
      </w:r>
      <w:r>
        <w:rPr>
          <w:rFonts w:ascii="Arial" w:cs="Arial" w:eastAsia="Arial" w:hAnsi="Arial"/>
          <w:sz w:val="18"/>
          <w:szCs w:val="18"/>
          <w:color w:val="auto"/>
        </w:rPr>
        <w:t>, a lump-sum cash payment equal to the total monthly premiums (or in the case of a self-funded plan, the cost of COBRA continuation coverage) that would have been paid by the Company for Employee under the Health Plan</w:t>
      </w:r>
      <w:r>
        <w:rPr>
          <w:rFonts w:ascii="Calibri" w:cs="Calibri" w:eastAsia="Calibri" w:hAnsi="Calibri"/>
          <w:sz w:val="19"/>
          <w:szCs w:val="19"/>
          <w:color w:val="auto"/>
        </w:rPr>
        <w:t>.</w:t>
      </w:r>
    </w:p>
    <w:p>
      <w:pPr>
        <w:spacing w:after="0" w:line="385" w:lineRule="exact"/>
        <w:rPr>
          <w:rFonts w:ascii="Arial" w:cs="Arial" w:eastAsia="Arial" w:hAnsi="Arial"/>
          <w:sz w:val="18"/>
          <w:szCs w:val="18"/>
          <w:color w:val="auto"/>
        </w:rPr>
      </w:pPr>
    </w:p>
    <w:p>
      <w:pPr>
        <w:jc w:val="both"/>
        <w:ind w:firstLine="1304"/>
        <w:spacing w:after="0" w:line="255" w:lineRule="auto"/>
        <w:tabs>
          <w:tab w:leader="none" w:pos="1938" w:val="left"/>
        </w:tabs>
        <w:numPr>
          <w:ilvl w:val="1"/>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 that may become due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5(b)</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subject to Employee signing a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of claims in favor of the Company and related persons and entities in a form and manner satisfactory to the Company (the “</w:t>
      </w:r>
      <w:r>
        <w:rPr>
          <w:rFonts w:ascii="Arial" w:cs="Arial" w:eastAsia="Arial" w:hAnsi="Arial"/>
          <w:sz w:val="18"/>
          <w:szCs w:val="18"/>
          <w:b w:val="1"/>
          <w:bCs w:val="1"/>
          <w:u w:val="single" w:color="auto"/>
          <w:color w:val="auto"/>
        </w:rPr>
        <w:t>Release</w:t>
      </w:r>
      <w:r>
        <w:rPr>
          <w:rFonts w:ascii="Arial" w:cs="Arial" w:eastAsia="Arial" w:hAnsi="Arial"/>
          <w:sz w:val="18"/>
          <w:szCs w:val="18"/>
          <w:color w:val="auto"/>
        </w:rPr>
        <w:t xml:space="preserve">”) within the 21-day (or, if required by law, 45-day) period following the Date of Termination and the expiration of the seven-day revocation period for the Release. In the event Employee fails to sign such Release within the 21-day (or 45-day) period following the Date of Termination or revokes the Release prior to the expiration of the seven-day revocation period for the Release, Employee shall reimburse the Company for any payment made to Employee under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prior to the expiration of such seven-day revocation period for the Release. In addition, notwithstanding anything else herein to the contrary, Employee’s entitlement to the payments and benefits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5(b)</w:t>
      </w:r>
      <w:r>
        <w:rPr>
          <w:rFonts w:ascii="Arial" w:cs="Arial" w:eastAsia="Arial" w:hAnsi="Arial"/>
          <w:sz w:val="18"/>
          <w:szCs w:val="18"/>
          <w:color w:val="auto"/>
        </w:rPr>
        <w:t xml:space="preserve"> shall be contingent upon Employee abiding by and not breaching any of the covenants set forth in the Release and in the Restrictive Covenant Agreement.</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Section 409A.</w:t>
      </w:r>
    </w:p>
    <w:p>
      <w:pPr>
        <w:spacing w:after="0" w:line="252" w:lineRule="exact"/>
        <w:rPr>
          <w:rFonts w:ascii="Arial" w:cs="Arial" w:eastAsia="Arial" w:hAnsi="Arial"/>
          <w:sz w:val="18"/>
          <w:szCs w:val="18"/>
          <w:color w:val="auto"/>
        </w:rPr>
      </w:pPr>
    </w:p>
    <w:p>
      <w:pPr>
        <w:jc w:val="both"/>
        <w:ind w:firstLine="1304"/>
        <w:spacing w:after="0" w:line="257" w:lineRule="auto"/>
        <w:tabs>
          <w:tab w:leader="none" w:pos="193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to the extent that any payment or benefit described in this Agreement would be considered deferred compensation subject to Section 409A(a) of the Code, and to the extent that such payment or benefit is payable upon Employee’s termination of employment or within a certain time following the “Date of Termination,” then such payments or benefits shall be payable only upon Employee’s “separation from service” within the meaning of Section 409A of the Code and the “Date of Termination” shall be the date on which Employee experiences such “separation from service.” The determination of whether and when a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186" w:name="page187"/>
    <w:bookmarkEnd w:id="186"/>
    <w:p>
      <w:pPr>
        <w:jc w:val="both"/>
        <w:spacing w:after="0" w:line="264" w:lineRule="auto"/>
        <w:rPr>
          <w:sz w:val="20"/>
          <w:szCs w:val="20"/>
          <w:color w:val="auto"/>
        </w:rPr>
      </w:pPr>
      <w:r>
        <w:rPr>
          <w:rFonts w:ascii="Arial" w:cs="Arial" w:eastAsia="Arial" w:hAnsi="Arial"/>
          <w:sz w:val="18"/>
          <w:szCs w:val="18"/>
          <w:color w:val="auto"/>
        </w:rPr>
        <w:t>service” has occurred shall be made in accordance with the presumptions set forth in Treasury Regulation Section 1.409A-l(h). If this Agreement provides for a payment to be made within a period of time, the date within such period on which such payment shall be made shall be determined by the Company in its sole discretion and, for the avoidance of doubt, the Company will pay the Severance Amount after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following the Date of Termination.</w:t>
      </w:r>
    </w:p>
    <w:p>
      <w:pPr>
        <w:spacing w:after="0" w:line="133" w:lineRule="exact"/>
        <w:rPr>
          <w:sz w:val="20"/>
          <w:szCs w:val="20"/>
          <w:color w:val="auto"/>
        </w:rPr>
      </w:pPr>
    </w:p>
    <w:p>
      <w:pPr>
        <w:jc w:val="both"/>
        <w:ind w:firstLine="1304"/>
        <w:spacing w:after="0" w:line="259" w:lineRule="auto"/>
        <w:tabs>
          <w:tab w:leader="none" w:pos="193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if at the time of Employee’s “separation from service,” Employee is a “specified employee” within the meaning of Section 409A(a)(2)(B)(i) of the Code, then, to the extent any payment or benefit that Employee becomes entitled to under this Agreement on account of Employee’s “separation from service” would be considered deferred compensation subject to Section 409A(a) of the Code, such payment shall not be payable and such benefit shall not be provided until the date that is the earlier of (A) six months and one day after Employee’s “separation from service”, or (B) Employee’s death.</w:t>
      </w:r>
    </w:p>
    <w:p>
      <w:pPr>
        <w:spacing w:after="0" w:line="206" w:lineRule="exact"/>
        <w:rPr>
          <w:rFonts w:ascii="Arial" w:cs="Arial" w:eastAsia="Arial" w:hAnsi="Arial"/>
          <w:sz w:val="18"/>
          <w:szCs w:val="18"/>
          <w:color w:val="auto"/>
        </w:rPr>
      </w:pPr>
    </w:p>
    <w:p>
      <w:pPr>
        <w:jc w:val="both"/>
        <w:ind w:firstLine="1304"/>
        <w:spacing w:after="0" w:line="257" w:lineRule="auto"/>
        <w:tabs>
          <w:tab w:leader="none" w:pos="1938" w:val="left"/>
        </w:tabs>
        <w:numPr>
          <w:ilvl w:val="1"/>
          <w:numId w:val="164"/>
        </w:numPr>
        <w:rPr>
          <w:rFonts w:ascii="Arial" w:cs="Arial" w:eastAsia="Arial" w:hAnsi="Arial"/>
          <w:sz w:val="18"/>
          <w:szCs w:val="18"/>
          <w:color w:val="auto"/>
        </w:rPr>
      </w:pPr>
      <w:r>
        <w:rPr>
          <w:rFonts w:ascii="Arial" w:cs="Arial" w:eastAsia="Arial" w:hAnsi="Arial"/>
          <w:sz w:val="18"/>
          <w:szCs w:val="18"/>
          <w:color w:val="auto"/>
        </w:rPr>
        <w:t>All in-kind benefits provided and expenses eligible for reimbursement under this Agreement shall be provided by the Company or incurred by Employee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Such right to reimbursement or in-kind benefits is not subject to liquidation or exchange for another benefit.</w:t>
      </w:r>
    </w:p>
    <w:p>
      <w:pPr>
        <w:spacing w:after="0" w:line="209" w:lineRule="exact"/>
        <w:rPr>
          <w:rFonts w:ascii="Arial" w:cs="Arial" w:eastAsia="Arial" w:hAnsi="Arial"/>
          <w:sz w:val="18"/>
          <w:szCs w:val="18"/>
          <w:color w:val="auto"/>
        </w:rPr>
      </w:pPr>
    </w:p>
    <w:p>
      <w:pPr>
        <w:jc w:val="both"/>
        <w:ind w:right="20" w:firstLine="1304"/>
        <w:spacing w:after="0" w:line="268" w:lineRule="auto"/>
        <w:tabs>
          <w:tab w:leader="none" w:pos="193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Employee or any other person if any provisions of this Agreement are determined to constitute deferred compensation subject to Section 409A of the Code but do not satisfy an exemption from, or the conditions of, such Section.</w:t>
      </w:r>
    </w:p>
    <w:p>
      <w:pPr>
        <w:spacing w:after="0" w:line="197" w:lineRule="exact"/>
        <w:rPr>
          <w:rFonts w:ascii="Arial" w:cs="Arial" w:eastAsia="Arial" w:hAnsi="Arial"/>
          <w:sz w:val="18"/>
          <w:szCs w:val="18"/>
          <w:color w:val="auto"/>
        </w:rPr>
      </w:pPr>
    </w:p>
    <w:p>
      <w:pPr>
        <w:jc w:val="both"/>
        <w:ind w:firstLine="656"/>
        <w:spacing w:after="0" w:line="273" w:lineRule="auto"/>
        <w:tabs>
          <w:tab w:leader="none" w:pos="1284"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obligations under this Agreement, including the Company’s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provide severance and to allow Employee to participate in the other compensation programs as provided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is conditioned on Employee signing a Restrictive Covenant Agreement in the form of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(the “</w:t>
      </w:r>
      <w:r>
        <w:rPr>
          <w:rFonts w:ascii="Arial" w:cs="Arial" w:eastAsia="Arial" w:hAnsi="Arial"/>
          <w:sz w:val="18"/>
          <w:szCs w:val="18"/>
          <w:b w:val="1"/>
          <w:bCs w:val="1"/>
          <w:u w:val="single" w:color="auto"/>
          <w:color w:val="auto"/>
        </w:rPr>
        <w:t>Restrictive Covenant Agreement</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jc w:val="both"/>
        <w:ind w:firstLine="656"/>
        <w:spacing w:after="0" w:line="253" w:lineRule="auto"/>
        <w:tabs>
          <w:tab w:leader="none" w:pos="1284"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 of Disputes.</w:t>
      </w:r>
      <w:r>
        <w:rPr>
          <w:rFonts w:ascii="Arial" w:cs="Arial" w:eastAsia="Arial" w:hAnsi="Arial"/>
          <w:sz w:val="18"/>
          <w:szCs w:val="18"/>
          <w:b w:val="1"/>
          <w:bCs w:val="1"/>
          <w:color w:val="auto"/>
        </w:rPr>
        <w:t xml:space="preserve"> </w:t>
      </w:r>
      <w:r>
        <w:rPr>
          <w:rFonts w:ascii="Arial" w:cs="Arial" w:eastAsia="Arial" w:hAnsi="Arial"/>
          <w:sz w:val="18"/>
          <w:szCs w:val="18"/>
          <w:color w:val="auto"/>
        </w:rPr>
        <w:t>Any controversy or claim arising out of or relating to this Agreement or the breach thereof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arising out of Employee’s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Arial" w:cs="Arial" w:eastAsia="Arial" w:hAnsi="Arial"/>
          <w:sz w:val="18"/>
          <w:szCs w:val="18"/>
          <w:b w:val="1"/>
          <w:bCs w:val="1"/>
          <w:u w:val="single" w:color="auto"/>
          <w:color w:val="auto"/>
        </w:rPr>
        <w:t>AAA</w:t>
      </w:r>
      <w:r>
        <w:rPr>
          <w:rFonts w:ascii="Arial" w:cs="Arial" w:eastAsia="Arial" w:hAnsi="Arial"/>
          <w:sz w:val="18"/>
          <w:szCs w:val="18"/>
          <w:color w:val="auto"/>
        </w:rPr>
        <w:t xml:space="preserve">”) in Chicago, Illinois in accordance with the Employment Dispute Resolution Rules of the AAA, including, but not limited to, the rules and procedures applicable to the selection of arbitrators. In the event that any person or entity other than Employee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be specifically enforceable. Notwithstanding the foregoing,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preclude either party from pursuing a court action for the sole purpose of obtaining a temporary restraining order or a preliminary injunction in circumstances in which such relief is appropriate (including, without limitation, the Company’s enforcement of the Restrictive Covenant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other relief shall be pursued through an arbitration proceeding pursuant to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Further notwithstanding the foregoing,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not limit the Company’s ability to terminate Employee’s employment at any time.</w:t>
      </w:r>
    </w:p>
    <w:p>
      <w:pPr>
        <w:spacing w:after="0" w:line="214" w:lineRule="exact"/>
        <w:rPr>
          <w:rFonts w:ascii="Arial" w:cs="Arial" w:eastAsia="Arial" w:hAnsi="Arial"/>
          <w:sz w:val="18"/>
          <w:szCs w:val="18"/>
          <w:color w:val="auto"/>
        </w:rPr>
      </w:pPr>
    </w:p>
    <w:p>
      <w:pPr>
        <w:ind w:firstLine="656"/>
        <w:spacing w:after="0" w:line="287" w:lineRule="auto"/>
        <w:tabs>
          <w:tab w:leader="none" w:pos="1284"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between the parties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and supersedes all prior agreements between the parties concerning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7" w:right="339" w:bottom="1440" w:gutter="0" w:footer="0" w:header="0"/>
        </w:sectPr>
      </w:pPr>
    </w:p>
    <w:bookmarkStart w:id="187" w:name="page188"/>
    <w:bookmarkEnd w:id="187"/>
    <w:p>
      <w:pPr>
        <w:spacing w:after="0" w:line="287" w:lineRule="auto"/>
        <w:rPr>
          <w:sz w:val="20"/>
          <w:szCs w:val="20"/>
          <w:color w:val="auto"/>
        </w:rPr>
      </w:pPr>
      <w:r>
        <w:rPr>
          <w:rFonts w:ascii="Arial" w:cs="Arial" w:eastAsia="Arial" w:hAnsi="Arial"/>
          <w:sz w:val="18"/>
          <w:szCs w:val="18"/>
          <w:color w:val="auto"/>
        </w:rPr>
        <w:t>such subject matter, including, but not limited to, any prior Agreement and/or compensation plan to which Employee and the Company or any of its affiliates are parties.</w:t>
      </w:r>
    </w:p>
    <w:p>
      <w:pPr>
        <w:spacing w:after="0" w:line="180" w:lineRule="exact"/>
        <w:rPr>
          <w:sz w:val="20"/>
          <w:szCs w:val="20"/>
          <w:color w:val="auto"/>
        </w:rPr>
      </w:pPr>
    </w:p>
    <w:p>
      <w:pPr>
        <w:ind w:firstLine="656"/>
        <w:spacing w:after="0" w:line="287"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payments made by the Company to Employee under this Agreement shall be net of any tax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required to be withheld by the Company under applicable law.</w:t>
      </w:r>
    </w:p>
    <w:p>
      <w:pPr>
        <w:spacing w:after="0" w:line="179" w:lineRule="exact"/>
        <w:rPr>
          <w:rFonts w:ascii="Arial" w:cs="Arial" w:eastAsia="Arial" w:hAnsi="Arial"/>
          <w:sz w:val="18"/>
          <w:szCs w:val="18"/>
          <w:color w:val="auto"/>
        </w:rPr>
      </w:pPr>
    </w:p>
    <w:p>
      <w:pPr>
        <w:jc w:val="both"/>
        <w:ind w:firstLine="656"/>
        <w:spacing w:after="0" w:line="259" w:lineRule="auto"/>
        <w:tabs>
          <w:tab w:leader="none" w:pos="1276"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portion or provision of this Agreement (including, without limitation, any portion or provision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206" w:lineRule="exact"/>
        <w:rPr>
          <w:rFonts w:ascii="Arial" w:cs="Arial" w:eastAsia="Arial" w:hAnsi="Arial"/>
          <w:sz w:val="18"/>
          <w:szCs w:val="18"/>
          <w:color w:val="auto"/>
        </w:rPr>
      </w:pPr>
    </w:p>
    <w:p>
      <w:pPr>
        <w:ind w:firstLine="656"/>
        <w:spacing w:after="0" w:line="287"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survive the termination of this Agreement and/or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 to the extent necessary to effectuate the terms contained herein.</w:t>
      </w:r>
    </w:p>
    <w:p>
      <w:pPr>
        <w:spacing w:after="0" w:line="179" w:lineRule="exact"/>
        <w:rPr>
          <w:rFonts w:ascii="Arial" w:cs="Arial" w:eastAsia="Arial" w:hAnsi="Arial"/>
          <w:sz w:val="18"/>
          <w:szCs w:val="18"/>
          <w:color w:val="auto"/>
        </w:rPr>
      </w:pPr>
    </w:p>
    <w:p>
      <w:pPr>
        <w:jc w:val="both"/>
        <w:ind w:firstLine="656"/>
        <w:spacing w:after="0" w:line="268"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waiver of any provision hereof shall be effective unless made in writing and signed by the waiving party. The</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97" w:lineRule="exact"/>
        <w:rPr>
          <w:rFonts w:ascii="Arial" w:cs="Arial" w:eastAsia="Arial" w:hAnsi="Arial"/>
          <w:sz w:val="18"/>
          <w:szCs w:val="18"/>
          <w:color w:val="auto"/>
        </w:rPr>
      </w:pPr>
    </w:p>
    <w:p>
      <w:pPr>
        <w:jc w:val="both"/>
        <w:ind w:firstLine="656"/>
        <w:spacing w:after="0" w:line="262"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notices, requests, demands and other communications provided for by this Agreement shall be sufficient if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and delivered in person or sent by a nationally recognized overnight courier service or by registered or certified mail, postage prepaid, return receipt requested, to Employee at the last address Employee has filed in writing with the Company or, in the case of the Company, at its main offices, attention of Lance Mitchell.</w:t>
      </w:r>
    </w:p>
    <w:p>
      <w:pPr>
        <w:spacing w:after="0" w:line="203" w:lineRule="exact"/>
        <w:rPr>
          <w:rFonts w:ascii="Arial" w:cs="Arial" w:eastAsia="Arial" w:hAnsi="Arial"/>
          <w:sz w:val="18"/>
          <w:szCs w:val="18"/>
          <w:color w:val="auto"/>
        </w:rPr>
      </w:pPr>
    </w:p>
    <w:p>
      <w:pPr>
        <w:ind w:firstLine="656"/>
        <w:spacing w:after="0" w:line="287"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instrument signed by Employee and by a duly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representative of the Company (other than Employee).</w:t>
      </w:r>
    </w:p>
    <w:p>
      <w:pPr>
        <w:spacing w:after="0" w:line="179" w:lineRule="exact"/>
        <w:rPr>
          <w:rFonts w:ascii="Arial" w:cs="Arial" w:eastAsia="Arial" w:hAnsi="Arial"/>
          <w:sz w:val="18"/>
          <w:szCs w:val="18"/>
          <w:color w:val="auto"/>
        </w:rPr>
      </w:pPr>
    </w:p>
    <w:p>
      <w:pPr>
        <w:ind w:right="20" w:firstLine="656"/>
        <w:spacing w:after="0" w:line="287"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construed under and be governed in all respects by the laws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the conflict of laws principles of such State.</w:t>
      </w:r>
    </w:p>
    <w:p>
      <w:pPr>
        <w:spacing w:after="0" w:line="179" w:lineRule="exact"/>
        <w:rPr>
          <w:rFonts w:ascii="Arial" w:cs="Arial" w:eastAsia="Arial" w:hAnsi="Arial"/>
          <w:sz w:val="18"/>
          <w:szCs w:val="18"/>
          <w:color w:val="auto"/>
        </w:rPr>
      </w:pPr>
    </w:p>
    <w:p>
      <w:pPr>
        <w:ind w:firstLine="656"/>
        <w:spacing w:after="0" w:line="287" w:lineRule="auto"/>
        <w:tabs>
          <w:tab w:leader="none" w:pos="1289"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any number of counterparts, each of which when so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shall be taken to be an original; but such counterparts shall together constitute one and the same document.</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gridSpan w:val="5"/>
          </w:tcPr>
          <w:p>
            <w:pPr>
              <w:ind w:left="60"/>
              <w:spacing w:after="0"/>
              <w:rPr>
                <w:sz w:val="20"/>
                <w:szCs w:val="20"/>
                <w:color w:val="auto"/>
              </w:rPr>
            </w:pPr>
            <w:r>
              <w:rPr>
                <w:rFonts w:ascii="Arial" w:cs="Arial" w:eastAsia="Arial" w:hAnsi="Arial"/>
                <w:sz w:val="18"/>
                <w:szCs w:val="18"/>
                <w:color w:val="auto"/>
                <w:w w:val="99"/>
              </w:rPr>
              <w:t>IN WITNESS WHEREOF, the parties have executed this Agreement effective as of the date set forth above.</w:t>
            </w:r>
          </w:p>
        </w:tc>
      </w:tr>
      <w:tr>
        <w:trPr>
          <w:trHeight w:val="504"/>
        </w:trPr>
        <w:tc>
          <w:tcPr>
            <w:tcW w:w="4320" w:type="dxa"/>
            <w:vAlign w:val="bottom"/>
            <w:gridSpan w:val="4"/>
          </w:tcPr>
          <w:p>
            <w:pPr>
              <w:ind w:left="60"/>
              <w:spacing w:after="0"/>
              <w:rPr>
                <w:sz w:val="20"/>
                <w:szCs w:val="20"/>
                <w:color w:val="auto"/>
              </w:rPr>
            </w:pPr>
            <w:r>
              <w:rPr>
                <w:rFonts w:ascii="Arial" w:cs="Arial" w:eastAsia="Arial" w:hAnsi="Arial"/>
                <w:sz w:val="18"/>
                <w:szCs w:val="18"/>
                <w:b w:val="1"/>
                <w:bCs w:val="1"/>
                <w:color w:val="auto"/>
              </w:rPr>
              <w:t>Reynolds Consumer Products LLC</w:t>
            </w:r>
          </w:p>
        </w:tc>
        <w:tc>
          <w:tcPr>
            <w:tcW w:w="4880" w:type="dxa"/>
            <w:vAlign w:val="bottom"/>
            <w:gridSpan w:val="3"/>
          </w:tcPr>
          <w:p>
            <w:pPr>
              <w:ind w:left="1300"/>
              <w:spacing w:after="0"/>
              <w:rPr>
                <w:sz w:val="20"/>
                <w:szCs w:val="20"/>
                <w:color w:val="auto"/>
              </w:rPr>
            </w:pPr>
            <w:r>
              <w:rPr>
                <w:rFonts w:ascii="Arial" w:cs="Arial" w:eastAsia="Arial" w:hAnsi="Arial"/>
                <w:sz w:val="18"/>
                <w:szCs w:val="18"/>
                <w:b w:val="1"/>
                <w:bCs w:val="1"/>
                <w:color w:val="auto"/>
              </w:rPr>
              <w:t>Employee: Steve Estes</w:t>
            </w:r>
          </w:p>
        </w:tc>
      </w:tr>
      <w:tr>
        <w:trPr>
          <w:trHeight w:val="194"/>
        </w:trPr>
        <w:tc>
          <w:tcPr>
            <w:tcW w:w="43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By:  /s/ Lance Mitchell</w:t>
            </w: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V. Lance Mitchell</w:t>
            </w:r>
          </w:p>
        </w:tc>
        <w:tc>
          <w:tcPr>
            <w:tcW w:w="4880" w:type="dxa"/>
            <w:vAlign w:val="bottom"/>
            <w:gridSpan w:val="3"/>
          </w:tcPr>
          <w:p>
            <w:pPr>
              <w:ind w:left="1360"/>
              <w:spacing w:after="0"/>
              <w:rPr>
                <w:sz w:val="20"/>
                <w:szCs w:val="20"/>
                <w:color w:val="auto"/>
              </w:rPr>
            </w:pPr>
            <w:r>
              <w:rPr>
                <w:rFonts w:ascii="Arial" w:cs="Arial" w:eastAsia="Arial" w:hAnsi="Arial"/>
                <w:sz w:val="18"/>
                <w:szCs w:val="18"/>
                <w:color w:val="auto"/>
              </w:rPr>
              <w:t>Print Name: /s/ Steve Estes</w:t>
            </w:r>
          </w:p>
        </w:tc>
      </w:tr>
      <w:tr>
        <w:trPr>
          <w:trHeight w:val="20"/>
        </w:trPr>
        <w:tc>
          <w:tcPr>
            <w:tcW w:w="58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81"/>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February ___, 2022</w:t>
            </w:r>
          </w:p>
        </w:tc>
        <w:tc>
          <w:tcPr>
            <w:tcW w:w="4880" w:type="dxa"/>
            <w:vAlign w:val="bottom"/>
            <w:gridSpan w:val="3"/>
          </w:tcPr>
          <w:p>
            <w:pPr>
              <w:ind w:left="1300"/>
              <w:spacing w:after="0"/>
              <w:rPr>
                <w:sz w:val="20"/>
                <w:szCs w:val="20"/>
                <w:color w:val="auto"/>
              </w:rPr>
            </w:pPr>
            <w:r>
              <w:rPr>
                <w:rFonts w:ascii="Arial" w:cs="Arial" w:eastAsia="Arial" w:hAnsi="Arial"/>
                <w:sz w:val="18"/>
                <w:szCs w:val="18"/>
                <w:color w:val="auto"/>
              </w:rPr>
              <w:t>Date:  February 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7" w:right="339" w:bottom="1440" w:gutter="0" w:footer="0" w:header="0"/>
        </w:sectPr>
      </w:pPr>
    </w:p>
    <w:bookmarkStart w:id="188" w:name="page189"/>
    <w:bookmarkEnd w:id="188"/>
    <w:p>
      <w:pPr>
        <w:jc w:val="center"/>
        <w:ind w:right="312"/>
        <w:spacing w:after="0"/>
        <w:rPr>
          <w:sz w:val="20"/>
          <w:szCs w:val="20"/>
          <w:color w:val="auto"/>
        </w:rPr>
      </w:pPr>
      <w:r>
        <w:rPr>
          <w:rFonts w:ascii="Arial" w:cs="Arial" w:eastAsia="Arial" w:hAnsi="Arial"/>
          <w:sz w:val="18"/>
          <w:szCs w:val="18"/>
          <w:b w:val="1"/>
          <w:bCs w:val="1"/>
          <w:u w:val="single" w:color="auto"/>
          <w:color w:val="auto"/>
        </w:rPr>
        <w:t>Schedule A</w:t>
      </w:r>
    </w:p>
    <w:p>
      <w:pPr>
        <w:spacing w:after="0" w:line="200" w:lineRule="exact"/>
        <w:rPr>
          <w:sz w:val="20"/>
          <w:szCs w:val="20"/>
          <w:color w:val="auto"/>
        </w:rPr>
      </w:pPr>
    </w:p>
    <w:p>
      <w:pPr>
        <w:spacing w:after="0" w:line="29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u w:val="single" w:color="auto"/>
          <w:color w:val="auto"/>
        </w:rPr>
        <w:t>Key Terms of Employment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08" w:hanging="308"/>
        <w:spacing w:after="0"/>
        <w:tabs>
          <w:tab w:leader="none" w:pos="30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Chief Administrative Officer</w:t>
      </w:r>
    </w:p>
    <w:p>
      <w:pPr>
        <w:spacing w:after="0" w:line="252" w:lineRule="exact"/>
        <w:rPr>
          <w:rFonts w:ascii="Arial" w:cs="Arial" w:eastAsia="Arial" w:hAnsi="Arial"/>
          <w:sz w:val="18"/>
          <w:szCs w:val="18"/>
          <w:color w:val="auto"/>
        </w:rPr>
      </w:pPr>
    </w:p>
    <w:p>
      <w:pPr>
        <w:ind w:left="308" w:hanging="308"/>
        <w:spacing w:after="0"/>
        <w:tabs>
          <w:tab w:leader="none" w:pos="30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Primary Location(s):</w:t>
      </w:r>
      <w:r>
        <w:rPr>
          <w:rFonts w:ascii="Arial" w:cs="Arial" w:eastAsia="Arial" w:hAnsi="Arial"/>
          <w:sz w:val="18"/>
          <w:szCs w:val="18"/>
          <w:color w:val="auto"/>
        </w:rPr>
        <w:t xml:space="preserve"> Lake Forest, IL</w:t>
      </w:r>
    </w:p>
    <w:p>
      <w:pPr>
        <w:spacing w:after="0" w:line="252" w:lineRule="exact"/>
        <w:rPr>
          <w:rFonts w:ascii="Arial" w:cs="Arial" w:eastAsia="Arial" w:hAnsi="Arial"/>
          <w:sz w:val="18"/>
          <w:szCs w:val="18"/>
          <w:color w:val="auto"/>
        </w:rPr>
      </w:pPr>
    </w:p>
    <w:p>
      <w:pPr>
        <w:ind w:left="328" w:right="20" w:hanging="328"/>
        <w:spacing w:after="0" w:line="287" w:lineRule="auto"/>
        <w:tabs>
          <w:tab w:leader="none" w:pos="31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Current Base Salary:</w:t>
      </w:r>
      <w:r>
        <w:rPr>
          <w:rFonts w:ascii="Arial" w:cs="Arial" w:eastAsia="Arial" w:hAnsi="Arial"/>
          <w:sz w:val="18"/>
          <w:szCs w:val="18"/>
          <w:color w:val="auto"/>
        </w:rPr>
        <w:t xml:space="preserve"> $540,000. The Company may adjust Employee’s base salary from time to time. For purposes of Sections 5 and 6 below, “Base Salary” shall be the Employee’s base salary at the time of separation.</w:t>
      </w:r>
    </w:p>
    <w:p>
      <w:pPr>
        <w:spacing w:after="0" w:line="179" w:lineRule="exact"/>
        <w:rPr>
          <w:rFonts w:ascii="Arial" w:cs="Arial" w:eastAsia="Arial" w:hAnsi="Arial"/>
          <w:sz w:val="18"/>
          <w:szCs w:val="18"/>
          <w:color w:val="auto"/>
        </w:rPr>
      </w:pPr>
    </w:p>
    <w:p>
      <w:pPr>
        <w:ind w:left="328" w:hanging="328"/>
        <w:spacing w:after="0" w:line="287" w:lineRule="auto"/>
        <w:tabs>
          <w:tab w:leader="none" w:pos="316"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Current Annual Bonus Target:</w:t>
      </w:r>
      <w:r>
        <w:rPr>
          <w:rFonts w:ascii="Arial" w:cs="Arial" w:eastAsia="Arial" w:hAnsi="Arial"/>
          <w:sz w:val="18"/>
          <w:szCs w:val="18"/>
          <w:color w:val="auto"/>
        </w:rPr>
        <w:t xml:space="preserve"> 55% of Base Salary. The Company may adjust Employee’s annual bonus target from time to time. For purposes of Section 5 below, “Annual Bonus Target” shall be the annual bonus target percentage at the time of separation.</w:t>
      </w:r>
    </w:p>
    <w:p>
      <w:pPr>
        <w:spacing w:after="0" w:line="179" w:lineRule="exact"/>
        <w:rPr>
          <w:rFonts w:ascii="Arial" w:cs="Arial" w:eastAsia="Arial" w:hAnsi="Arial"/>
          <w:sz w:val="18"/>
          <w:szCs w:val="18"/>
          <w:color w:val="auto"/>
        </w:rPr>
      </w:pPr>
    </w:p>
    <w:p>
      <w:pPr>
        <w:ind w:left="308" w:hanging="308"/>
        <w:spacing w:after="0"/>
        <w:tabs>
          <w:tab w:leader="none" w:pos="30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Severance Amount/Period:</w:t>
      </w:r>
      <w:r>
        <w:rPr>
          <w:rFonts w:ascii="Arial" w:cs="Arial" w:eastAsia="Arial" w:hAnsi="Arial"/>
          <w:sz w:val="18"/>
          <w:szCs w:val="18"/>
          <w:color w:val="auto"/>
        </w:rPr>
        <w:t xml:space="preserve"> (i) Base Salary, paid in equal installments over 12 months following the Date of Termination except that if</w:t>
      </w:r>
    </w:p>
    <w:p>
      <w:pPr>
        <w:spacing w:after="0" w:line="27" w:lineRule="exact"/>
        <w:rPr>
          <w:rFonts w:ascii="Arial" w:cs="Arial" w:eastAsia="Arial" w:hAnsi="Arial"/>
          <w:sz w:val="18"/>
          <w:szCs w:val="18"/>
          <w:color w:val="auto"/>
        </w:rPr>
      </w:pPr>
    </w:p>
    <w:p>
      <w:pPr>
        <w:jc w:val="both"/>
        <w:ind w:left="328"/>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(i) a Sale of Business (as defined below) occurs and (ii) within 12 months following the closing of such Sale of Business either (A) Employee is terminated without Cause, or (B) Employee’s position is materially reduced in remuneration or scope of duties and Employee terminates Employee’s employment, then the Severance Amount shall be (i) two times Base Salary plus (ii) Annual Bonus at Target prorated through Date of Termination, paid in equal installments over 24 months following the Date of Termination. All other terms of </w:t>
      </w:r>
      <w:r>
        <w:rPr>
          <w:rFonts w:ascii="Arial" w:cs="Arial" w:eastAsia="Arial" w:hAnsi="Arial"/>
          <w:sz w:val="18"/>
          <w:szCs w:val="18"/>
          <w:u w:val="single" w:color="auto"/>
          <w:color w:val="auto"/>
        </w:rPr>
        <w:t>Section 5(b)(i)</w:t>
      </w:r>
      <w:r>
        <w:rPr>
          <w:rFonts w:ascii="Arial" w:cs="Arial" w:eastAsia="Arial" w:hAnsi="Arial"/>
          <w:sz w:val="18"/>
          <w:szCs w:val="18"/>
          <w:color w:val="auto"/>
        </w:rPr>
        <w:t xml:space="preserve"> of the Agreement will apply. For purposes of this provision a “</w:t>
      </w:r>
      <w:r>
        <w:rPr>
          <w:rFonts w:ascii="Arial" w:cs="Arial" w:eastAsia="Arial" w:hAnsi="Arial"/>
          <w:sz w:val="18"/>
          <w:szCs w:val="18"/>
          <w:b w:val="1"/>
          <w:bCs w:val="1"/>
          <w:u w:val="single" w:color="auto"/>
          <w:color w:val="auto"/>
        </w:rPr>
        <w:t>Sale of Business</w:t>
      </w:r>
      <w:r>
        <w:rPr>
          <w:rFonts w:ascii="Arial" w:cs="Arial" w:eastAsia="Arial" w:hAnsi="Arial"/>
          <w:sz w:val="18"/>
          <w:szCs w:val="18"/>
          <w:color w:val="auto"/>
        </w:rPr>
        <w:t>” shall mean the sale or other disposition of (x) more than 50% of the shares or other equity interests of the Company or the Company's direct or indirect parent to a non-affiliated party (which shall not include a sale or an offering by Packaging Finance Limited of some or all of its shares in the Company, so long as the remainder of the shares continue to be owned by the public), or (y) more than 50% of the businesses or assets that, as of the most recent year end, generated more than 50% of the Company's EBITDA (as determined in good faith by the Company’s Board of Directors, based on the Company' s regularly prepared financial statements), provided that a disposition as a result of lender foreclosure on assets or pursuant to a bankruptcy or judicially administered reorganization shall not constitute a Sale of Business. Employee’s position shall not be materially reduced by reason of the Company being smaller or having less operations as a result of the Sale of Business so long as Employee’s duties and responsibilities are generally consistent with Employee’s duties and responsibilities prior to the Sale of Business.</w:t>
      </w:r>
    </w:p>
    <w:p>
      <w:pPr>
        <w:spacing w:after="0" w:line="218" w:lineRule="exact"/>
        <w:rPr>
          <w:rFonts w:ascii="Arial" w:cs="Arial" w:eastAsia="Arial" w:hAnsi="Arial"/>
          <w:sz w:val="18"/>
          <w:szCs w:val="18"/>
          <w:color w:val="auto"/>
        </w:rPr>
      </w:pPr>
    </w:p>
    <w:p>
      <w:pPr>
        <w:ind w:left="308" w:hanging="308"/>
        <w:spacing w:after="0"/>
        <w:tabs>
          <w:tab w:leader="none" w:pos="30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Other Compensation Programs:</w:t>
      </w:r>
    </w:p>
    <w:p>
      <w:pPr>
        <w:spacing w:after="0" w:line="252"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Long-Term Incentive Program Target: 90% of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08"/>
          </w:cols>
          <w:pgMar w:left="652" w:top="1417" w:right="3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A-1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Restrictive Covenant Agreement</w:t>
      </w:r>
    </w:p>
    <w:p>
      <w:pPr>
        <w:spacing w:after="0" w:line="200" w:lineRule="exact"/>
        <w:rPr>
          <w:sz w:val="20"/>
          <w:szCs w:val="20"/>
          <w:color w:val="auto"/>
        </w:rPr>
      </w:pPr>
    </w:p>
    <w:p>
      <w:pPr>
        <w:spacing w:after="0" w:line="295" w:lineRule="exact"/>
        <w:rPr>
          <w:sz w:val="20"/>
          <w:szCs w:val="20"/>
          <w:color w:val="auto"/>
        </w:rPr>
      </w:pPr>
    </w:p>
    <w:p>
      <w:pPr>
        <w:ind w:firstLine="648"/>
        <w:spacing w:after="0" w:line="296" w:lineRule="auto"/>
        <w:rPr>
          <w:sz w:val="20"/>
          <w:szCs w:val="20"/>
          <w:color w:val="auto"/>
        </w:rPr>
      </w:pPr>
      <w:r>
        <w:rPr>
          <w:rFonts w:ascii="Arial" w:cs="Arial" w:eastAsia="Arial" w:hAnsi="Arial"/>
          <w:sz w:val="18"/>
          <w:szCs w:val="18"/>
          <w:color w:val="auto"/>
        </w:rPr>
        <w:t>Restrictive Covenant Agreement dated as of February 1, 2022, between Reynolds Consumer Products LLC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and Steve Estes (“</w:t>
      </w:r>
      <w:r>
        <w:rPr>
          <w:rFonts w:ascii="Arial" w:cs="Arial" w:eastAsia="Arial" w:hAnsi="Arial"/>
          <w:sz w:val="18"/>
          <w:szCs w:val="18"/>
          <w:b w:val="1"/>
          <w:bCs w:val="1"/>
          <w:u w:val="single" w:color="auto"/>
          <w:color w:val="auto"/>
        </w:rPr>
        <w:t>Employee</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Preliminary Statement</w:t>
      </w:r>
    </w:p>
    <w:p>
      <w:pPr>
        <w:spacing w:after="0" w:line="252" w:lineRule="exact"/>
        <w:rPr>
          <w:sz w:val="20"/>
          <w:szCs w:val="20"/>
          <w:color w:val="auto"/>
        </w:rPr>
      </w:pPr>
    </w:p>
    <w:p>
      <w:pPr>
        <w:ind w:firstLine="656"/>
        <w:spacing w:after="0" w:line="287" w:lineRule="auto"/>
        <w:tabs>
          <w:tab w:leader="none" w:pos="129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Company and Employee have entered into an Employment Agreement of even date herewith. The execution of this Restrictive Covenant Agreement is a condition to the Company’s obligations under the Employment Agreement.</w:t>
      </w:r>
    </w:p>
    <w:p>
      <w:pPr>
        <w:spacing w:after="0" w:line="179" w:lineRule="exact"/>
        <w:rPr>
          <w:rFonts w:ascii="Arial" w:cs="Arial" w:eastAsia="Arial" w:hAnsi="Arial"/>
          <w:sz w:val="18"/>
          <w:szCs w:val="18"/>
          <w:color w:val="auto"/>
        </w:rPr>
      </w:pPr>
    </w:p>
    <w:p>
      <w:pPr>
        <w:ind w:firstLine="656"/>
        <w:spacing w:after="0" w:line="287" w:lineRule="auto"/>
        <w:tabs>
          <w:tab w:leader="none" w:pos="129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addition, the Company is providing Employee other consideration for Employee’s execution of this Agreement, as provided in a separate letter of even date herewith.</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the Company and Employee agree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2"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w:t>
      </w:r>
    </w:p>
    <w:p>
      <w:pPr>
        <w:spacing w:after="0" w:line="252" w:lineRule="exact"/>
        <w:rPr>
          <w:rFonts w:ascii="Arial" w:cs="Arial" w:eastAsia="Arial" w:hAnsi="Arial"/>
          <w:sz w:val="18"/>
          <w:szCs w:val="18"/>
          <w:color w:val="auto"/>
        </w:rPr>
      </w:pPr>
    </w:p>
    <w:p>
      <w:pPr>
        <w:jc w:val="both"/>
        <w:ind w:firstLine="1304"/>
        <w:spacing w:after="0" w:line="262" w:lineRule="auto"/>
        <w:tabs>
          <w:tab w:leader="none" w:pos="193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 Product</w:t>
      </w:r>
      <w:r>
        <w:rPr>
          <w:rFonts w:ascii="Arial" w:cs="Arial" w:eastAsia="Arial" w:hAnsi="Arial"/>
          <w:sz w:val="18"/>
          <w:szCs w:val="18"/>
          <w:color w:val="auto"/>
        </w:rPr>
        <w:t>” means any product developed, manufactured, produced or distributed by the Company during the 24 month period immediately preceding the termination of Employee’s employment with the Company provided that (i) Employee had access to Proprietary Information related to the product or (ii) Employee marketed or interacted with Customers or Prospective Customers regarding the product during the 12-month period immediately preceding the termination of Employee’s employment with the Company.</w:t>
      </w:r>
    </w:p>
    <w:p>
      <w:pPr>
        <w:spacing w:after="0" w:line="203" w:lineRule="exact"/>
        <w:rPr>
          <w:rFonts w:ascii="Arial" w:cs="Arial" w:eastAsia="Arial" w:hAnsi="Arial"/>
          <w:sz w:val="18"/>
          <w:szCs w:val="18"/>
          <w:color w:val="auto"/>
        </w:rPr>
      </w:pPr>
    </w:p>
    <w:p>
      <w:pPr>
        <w:ind w:firstLine="1304"/>
        <w:spacing w:after="0" w:line="287" w:lineRule="auto"/>
        <w:tabs>
          <w:tab w:leader="none" w:pos="193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Competitive Activity</w:t>
      </w:r>
      <w:r>
        <w:rPr>
          <w:rFonts w:ascii="Arial" w:cs="Arial" w:eastAsia="Arial" w:hAnsi="Arial"/>
          <w:sz w:val="18"/>
          <w:szCs w:val="18"/>
          <w:color w:val="auto"/>
        </w:rPr>
        <w:t>” means the marketing, distribution, promotion, sales, development, delivery, or servicing of any product that competes with any Company Product.</w:t>
      </w:r>
    </w:p>
    <w:p>
      <w:pPr>
        <w:spacing w:after="0" w:line="179" w:lineRule="exact"/>
        <w:rPr>
          <w:rFonts w:ascii="Arial" w:cs="Arial" w:eastAsia="Arial" w:hAnsi="Arial"/>
          <w:sz w:val="18"/>
          <w:szCs w:val="18"/>
          <w:color w:val="auto"/>
        </w:rPr>
      </w:pPr>
    </w:p>
    <w:p>
      <w:pPr>
        <w:jc w:val="both"/>
        <w:ind w:firstLine="1304"/>
        <w:spacing w:after="0" w:line="262" w:lineRule="auto"/>
        <w:tabs>
          <w:tab w:leader="none" w:pos="1938"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Competitor</w:t>
      </w:r>
      <w:r>
        <w:rPr>
          <w:rFonts w:ascii="Arial" w:cs="Arial" w:eastAsia="Arial" w:hAnsi="Arial"/>
          <w:sz w:val="18"/>
          <w:szCs w:val="18"/>
          <w:color w:val="auto"/>
        </w:rPr>
        <w:t xml:space="preserve">” means (i) those entities listed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such other entities that the Company reasonably determines are engaged in a Competitive Activity, in each case plus any direct or indirect parent or subsidiary of such entity, minus (iii) such entities on </w:t>
      </w:r>
      <w:r>
        <w:rPr>
          <w:rFonts w:ascii="Arial" w:cs="Arial" w:eastAsia="Arial" w:hAnsi="Arial"/>
          <w:sz w:val="18"/>
          <w:szCs w:val="18"/>
          <w:u w:val="single" w:color="auto"/>
          <w:color w:val="auto"/>
        </w:rPr>
        <w:t>Attachment A</w:t>
      </w:r>
      <w:r>
        <w:rPr>
          <w:rFonts w:ascii="Arial" w:cs="Arial" w:eastAsia="Arial" w:hAnsi="Arial"/>
          <w:sz w:val="18"/>
          <w:szCs w:val="18"/>
          <w:color w:val="auto"/>
        </w:rPr>
        <w:t xml:space="preserve"> that the Company reasonably determines are no longer engaged in a Competitive Activity. Company shall notify Employee in writing of any additions to or deletions from </w:t>
      </w:r>
      <w:r>
        <w:rPr>
          <w:rFonts w:ascii="Arial" w:cs="Arial" w:eastAsia="Arial" w:hAnsi="Arial"/>
          <w:sz w:val="18"/>
          <w:szCs w:val="18"/>
          <w:u w:val="single" w:color="auto"/>
          <w:color w:val="auto"/>
        </w:rPr>
        <w:t>Attachment A</w:t>
      </w:r>
      <w:r>
        <w:rPr>
          <w:rFonts w:ascii="Arial" w:cs="Arial" w:eastAsia="Arial" w:hAnsi="Arial"/>
          <w:sz w:val="18"/>
          <w:szCs w:val="18"/>
          <w:color w:val="auto"/>
        </w:rPr>
        <w:t>.</w:t>
      </w:r>
    </w:p>
    <w:p>
      <w:pPr>
        <w:spacing w:after="0" w:line="203" w:lineRule="exact"/>
        <w:rPr>
          <w:rFonts w:ascii="Arial" w:cs="Arial" w:eastAsia="Arial" w:hAnsi="Arial"/>
          <w:sz w:val="18"/>
          <w:szCs w:val="18"/>
          <w:color w:val="auto"/>
        </w:rPr>
      </w:pPr>
    </w:p>
    <w:p>
      <w:pPr>
        <w:jc w:val="both"/>
        <w:ind w:firstLine="1304"/>
        <w:spacing w:after="0" w:line="262" w:lineRule="auto"/>
        <w:tabs>
          <w:tab w:leader="none" w:pos="1934"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Customer</w:t>
      </w:r>
      <w:r>
        <w:rPr>
          <w:rFonts w:ascii="Arial" w:cs="Arial" w:eastAsia="Arial" w:hAnsi="Arial"/>
          <w:sz w:val="18"/>
          <w:szCs w:val="18"/>
          <w:color w:val="auto"/>
        </w:rPr>
        <w:t>” means any customer, including distributors, with whom the Company transacted business during the 24-month period immediately preceding the termination of Employee’s employment with the Company provided that (i) Employee had Material Contact with, or (ii) knew Proprietary Information of or about, the Customer during the 24-month period immediately preceding the termination of Employee’s employment with the Company.</w:t>
      </w:r>
    </w:p>
    <w:p>
      <w:pPr>
        <w:spacing w:after="0" w:line="203" w:lineRule="exact"/>
        <w:rPr>
          <w:rFonts w:ascii="Arial" w:cs="Arial" w:eastAsia="Arial" w:hAnsi="Arial"/>
          <w:sz w:val="18"/>
          <w:szCs w:val="18"/>
          <w:color w:val="auto"/>
        </w:rPr>
      </w:pPr>
    </w:p>
    <w:p>
      <w:pPr>
        <w:ind w:left="1940" w:hanging="636"/>
        <w:spacing w:after="0"/>
        <w:tabs>
          <w:tab w:leader="none" w:pos="19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Material Contact</w:t>
      </w:r>
      <w:r>
        <w:rPr>
          <w:rFonts w:ascii="Arial" w:cs="Arial" w:eastAsia="Arial" w:hAnsi="Arial"/>
          <w:sz w:val="18"/>
          <w:szCs w:val="18"/>
          <w:color w:val="auto"/>
        </w:rPr>
        <w:t>” means any contact between Employee and any Customer or Prospective Customer:</w:t>
      </w:r>
    </w:p>
    <w:p>
      <w:pPr>
        <w:spacing w:after="0" w:line="252" w:lineRule="exact"/>
        <w:rPr>
          <w:rFonts w:ascii="Arial" w:cs="Arial" w:eastAsia="Arial" w:hAnsi="Arial"/>
          <w:sz w:val="18"/>
          <w:szCs w:val="18"/>
          <w:color w:val="auto"/>
        </w:rPr>
      </w:pPr>
    </w:p>
    <w:p>
      <w:pPr>
        <w:ind w:left="2600" w:hanging="729"/>
        <w:spacing w:after="0"/>
        <w:tabs>
          <w:tab w:leader="none" w:pos="260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with whom or with which Employee dealt on behalf of the Company;</w:t>
      </w:r>
    </w:p>
    <w:p>
      <w:pPr>
        <w:spacing w:after="0" w:line="27" w:lineRule="exact"/>
        <w:rPr>
          <w:rFonts w:ascii="Arial" w:cs="Arial" w:eastAsia="Arial" w:hAnsi="Arial"/>
          <w:sz w:val="18"/>
          <w:szCs w:val="18"/>
          <w:color w:val="auto"/>
        </w:rPr>
      </w:pPr>
    </w:p>
    <w:p>
      <w:pPr>
        <w:ind w:left="2600" w:hanging="729"/>
        <w:spacing w:after="0"/>
        <w:tabs>
          <w:tab w:leader="none" w:pos="2600" w:val="left"/>
        </w:tabs>
        <w:numPr>
          <w:ilvl w:val="2"/>
          <w:numId w:val="169"/>
        </w:numPr>
        <w:rPr>
          <w:rFonts w:ascii="Arial" w:cs="Arial" w:eastAsia="Arial" w:hAnsi="Arial"/>
          <w:sz w:val="18"/>
          <w:szCs w:val="18"/>
          <w:color w:val="auto"/>
        </w:rPr>
      </w:pPr>
      <w:r>
        <w:rPr>
          <w:rFonts w:ascii="Arial" w:cs="Arial" w:eastAsia="Arial" w:hAnsi="Arial"/>
          <w:sz w:val="18"/>
          <w:szCs w:val="18"/>
          <w:color w:val="auto"/>
        </w:rPr>
        <w:t>whose dealings with the Company were coordinated or supervised by Employee;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7" w:right="339" w:bottom="1440" w:gutter="0" w:footer="0" w:header="0"/>
        </w:sectPr>
      </w:pPr>
    </w:p>
    <w:bookmarkStart w:id="190" w:name="page191"/>
    <w:bookmarkEnd w:id="190"/>
    <w:p>
      <w:pPr>
        <w:ind w:left="2600" w:hanging="729"/>
        <w:spacing w:after="0"/>
        <w:tabs>
          <w:tab w:leader="none" w:pos="2600" w:val="left"/>
        </w:tabs>
        <w:numPr>
          <w:ilvl w:val="2"/>
          <w:numId w:val="170"/>
        </w:numPr>
        <w:rPr>
          <w:rFonts w:ascii="Arial" w:cs="Arial" w:eastAsia="Arial" w:hAnsi="Arial"/>
          <w:sz w:val="18"/>
          <w:szCs w:val="18"/>
          <w:color w:val="auto"/>
        </w:rPr>
      </w:pPr>
      <w:r>
        <w:rPr>
          <w:rFonts w:ascii="Arial" w:cs="Arial" w:eastAsia="Arial" w:hAnsi="Arial"/>
          <w:sz w:val="18"/>
          <w:szCs w:val="18"/>
          <w:color w:val="auto"/>
        </w:rPr>
        <w:t>that resulted in Employee obtaining Proprietary Information about a Customer or Prospective Customer.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jc w:val="both"/>
        <w:ind w:firstLine="1304"/>
        <w:spacing w:after="0" w:line="252" w:lineRule="auto"/>
        <w:tabs>
          <w:tab w:leader="none" w:pos="1938"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Proprietary Information</w:t>
      </w:r>
      <w:r>
        <w:rPr>
          <w:rFonts w:ascii="Arial" w:cs="Arial" w:eastAsia="Arial" w:hAnsi="Arial"/>
          <w:sz w:val="18"/>
          <w:szCs w:val="18"/>
          <w:color w:val="auto"/>
        </w:rPr>
        <w:t>” means confidential or proprietary information or trade secrets of the Company or its affiliates, including, but not limited to, materials and information, whether written, electronic, or otherwise: a) disclosed to Employee or known by Employee as a result of his or her employment with the Company, b) which is not generally known, and c) which relates to or concerns the Company’s or its affiliates’: innovations; ideas; plans; processes; structures; systems; know-how; algorithms; computer programs; software; code; publications; designs; methods; techniques; drawings; apparatuses; government filings; patents; patent applications; materials; devices; research activities; reports and plans; specification s; promotional methods; financial information; forecasts; sales, profit and loss figures; personal identifying information of employees; marketing and sales methods and strategies; plans and systems; customer protocols and training programs; customer, prospective customer, vendor, licensee and client lists; information about customers, prospective customers, vendors, licensees and clients; information about relationships between the Company or its affiliates and their business partners, acquisition prospects, vendors, suppliers, prospective customers, customers, employees, owners, licensees and clients; information about deals and prospective deals; information about products, including but not limited strengths, weaknesses and vulnerabilities of existing products, as well as product strategies and roadmaps for future products and releases; and information about pricing including but not limited to license types, models, implementation costs, discounts and tolerance for discounts. Proprietary Information shall also include all information and matters specifically designated as proprietary and/or confidential by the Company or its affiliates or their customers or other business partners. The following information will not be considered Proprietary Information under this Agreement: a) information that has become generally available to the public through no wrongful act of Employee; b) information that Employee identified prior to Employee’s employment with the Company; c) information that is disclosed to the public pursuant to the binding order of a government agency or court; and d) information that is acquired through general skill and experience during Employee’s employment with the Company which Employee could reasonably have been expected to acquire in similar employment for another company provided Employee has no reason to believe that the Company would consider such information Proprietary Information as defined above.</w:t>
      </w:r>
    </w:p>
    <w:p>
      <w:pPr>
        <w:spacing w:after="0" w:line="216" w:lineRule="exact"/>
        <w:rPr>
          <w:rFonts w:ascii="Arial" w:cs="Arial" w:eastAsia="Arial" w:hAnsi="Arial"/>
          <w:sz w:val="18"/>
          <w:szCs w:val="18"/>
          <w:color w:val="auto"/>
        </w:rPr>
      </w:pPr>
    </w:p>
    <w:p>
      <w:pPr>
        <w:jc w:val="both"/>
        <w:ind w:firstLine="1304"/>
        <w:spacing w:after="0" w:line="262" w:lineRule="auto"/>
        <w:tabs>
          <w:tab w:leader="none" w:pos="1934" w:val="left"/>
        </w:tabs>
        <w:numPr>
          <w:ilvl w:val="1"/>
          <w:numId w:val="1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Prospective Customer</w:t>
      </w:r>
      <w:r>
        <w:rPr>
          <w:rFonts w:ascii="Arial" w:cs="Arial" w:eastAsia="Arial" w:hAnsi="Arial"/>
          <w:sz w:val="18"/>
          <w:szCs w:val="18"/>
          <w:color w:val="auto"/>
        </w:rPr>
        <w:t>” means any person with whom the Company was attempting to transact business within the six-month period immediately preceding the termination of Employee’s employment with the Company provided that (i) Employee had Material Contact with, or (ii) knew Proprietary Information of or about, the Prospective Customer during the six-month period immediately preceding the termination of Employee’s employment.</w:t>
      </w:r>
    </w:p>
    <w:p>
      <w:pPr>
        <w:spacing w:after="0" w:line="203" w:lineRule="exact"/>
        <w:rPr>
          <w:rFonts w:ascii="Arial" w:cs="Arial" w:eastAsia="Arial" w:hAnsi="Arial"/>
          <w:sz w:val="18"/>
          <w:szCs w:val="18"/>
          <w:color w:val="auto"/>
        </w:rPr>
      </w:pPr>
    </w:p>
    <w:p>
      <w:pPr>
        <w:jc w:val="both"/>
        <w:ind w:firstLine="656"/>
        <w:spacing w:after="0" w:line="255" w:lineRule="auto"/>
        <w:tabs>
          <w:tab w:leader="none" w:pos="1284"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Legitimate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Due to the nature of the Company’s business, certain the Company employees, including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have access to Proprietary Information. Likewise, via their employment, certain the Company employees, including Employee, receive specialized training and/or shall be introduced to, given the opportunity to develop personal contacts with, and actually develop an advantageous familiarity as to the Company’s Customers and Prospective Customers. If the confidential or “trade secret” information, specialized training, or contacts and familiarity were made available to the Company competitors or other individuals outside the Company, or otherwise used against the Company interests, it would undoubtedly result in a loss of business or competitive position for the Comp any and/or harm the Company’s goodwill and investment in developing and maintaining its business relationships. Employee also agrees he/she holds a position uniquely essential to the management, organization, and/or service of the Company and the Company’s business is inherently national in character.</w:t>
      </w:r>
    </w:p>
    <w:p>
      <w:pPr>
        <w:spacing w:after="0" w:line="207" w:lineRule="exact"/>
        <w:rPr>
          <w:rFonts w:ascii="Arial" w:cs="Arial" w:eastAsia="Arial" w:hAnsi="Arial"/>
          <w:sz w:val="18"/>
          <w:szCs w:val="18"/>
          <w:color w:val="auto"/>
        </w:rPr>
      </w:pPr>
    </w:p>
    <w:p>
      <w:pPr>
        <w:ind w:left="1300" w:hanging="644"/>
        <w:spacing w:after="0"/>
        <w:tabs>
          <w:tab w:leader="none" w:pos="1300" w:val="left"/>
        </w:tabs>
        <w:numPr>
          <w:ilvl w:val="0"/>
          <w:numId w:val="172"/>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of Existing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disclosed in writing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Attachment B</w:t>
      </w:r>
      <w:r>
        <w:rPr>
          <w:rFonts w:ascii="Arial" w:cs="Arial" w:eastAsia="Arial" w:hAnsi="Arial"/>
          <w:sz w:val="18"/>
          <w:szCs w:val="18"/>
          <w:color w:val="auto"/>
        </w:rPr>
        <w:t>, Employee certifies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7" w:right="339" w:bottom="1440" w:gutter="0" w:footer="0" w:header="0"/>
        </w:sectPr>
      </w:pPr>
    </w:p>
    <w:bookmarkStart w:id="191" w:name="page192"/>
    <w:bookmarkEnd w:id="191"/>
    <w:p>
      <w:pPr>
        <w:jc w:val="both"/>
        <w:ind w:firstLine="1304"/>
        <w:spacing w:after="0" w:line="273" w:lineRule="auto"/>
        <w:tabs>
          <w:tab w:leader="none" w:pos="193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Employee is not bound by any written agreement or other obligation that directly or indirectly (i) restricts Employee from using or disclosing any confidential or proprietary information of any person or entity, (ii) restricts Employee from competing with, or soliciting actual or potential customers or business from, any person or entity, (iii) restricts Employee from soliciting any current or former employees of any person or entity, or (iv) limits Employee’s ability to perform any assigned duties for the Company.</w:t>
      </w:r>
    </w:p>
    <w:p>
      <w:pPr>
        <w:spacing w:after="0" w:line="205" w:lineRule="exact"/>
        <w:rPr>
          <w:rFonts w:ascii="Arial" w:cs="Arial" w:eastAsia="Arial" w:hAnsi="Arial"/>
          <w:sz w:val="18"/>
          <w:szCs w:val="18"/>
          <w:color w:val="auto"/>
        </w:rPr>
      </w:pPr>
    </w:p>
    <w:p>
      <w:pPr>
        <w:jc w:val="both"/>
        <w:ind w:firstLine="1304"/>
        <w:spacing w:after="0" w:line="267" w:lineRule="auto"/>
        <w:tabs>
          <w:tab w:leader="none" w:pos="1934"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Employee does not have in Employee’s possession any confidential or proprietary information or documents belonging to others (except as disclosed in </w:t>
      </w:r>
      <w:r>
        <w:rPr>
          <w:rFonts w:ascii="Arial" w:cs="Arial" w:eastAsia="Arial" w:hAnsi="Arial"/>
          <w:sz w:val="18"/>
          <w:szCs w:val="18"/>
          <w:u w:val="single" w:color="auto"/>
          <w:color w:val="auto"/>
        </w:rPr>
        <w:t>Attachment B</w:t>
      </w:r>
      <w:r>
        <w:rPr>
          <w:rFonts w:ascii="Arial" w:cs="Arial" w:eastAsia="Arial" w:hAnsi="Arial"/>
          <w:sz w:val="18"/>
          <w:szCs w:val="18"/>
          <w:color w:val="auto"/>
        </w:rPr>
        <w:t>), and will not use, disclose to, or induce the Company to use any such information or documents. To the extent Employee possesses any confidential information or documents from a former employer or other party, Employee agrees to immediately return any such confidential information or documents to the owner unless Employee has express written authorization to retain it or them or destroy such information or documents.</w:t>
      </w:r>
    </w:p>
    <w:p>
      <w:pPr>
        <w:spacing w:after="0" w:line="212" w:lineRule="exact"/>
        <w:rPr>
          <w:rFonts w:ascii="Arial" w:cs="Arial" w:eastAsia="Arial" w:hAnsi="Arial"/>
          <w:sz w:val="18"/>
          <w:szCs w:val="18"/>
          <w:color w:val="auto"/>
        </w:rPr>
      </w:pPr>
    </w:p>
    <w:p>
      <w:pPr>
        <w:jc w:val="both"/>
        <w:ind w:firstLine="1304"/>
        <w:spacing w:after="0" w:line="276" w:lineRule="auto"/>
        <w:tabs>
          <w:tab w:leader="none" w:pos="193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 xml:space="preserve">Employee understands that the Company expects Employee to fulfill any contractual and fiduciary obligations Employee may owe to any former employer or other party, and Employee agrees to do so. Prior to execution of this Agreement, Employee certifies that Employee tendered to the Company all agreements and understandings described by this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109" w:lineRule="exact"/>
        <w:rPr>
          <w:rFonts w:ascii="Arial" w:cs="Arial" w:eastAsia="Arial" w:hAnsi="Arial"/>
          <w:sz w:val="18"/>
          <w:szCs w:val="18"/>
          <w:color w:val="auto"/>
        </w:rPr>
      </w:pPr>
    </w:p>
    <w:p>
      <w:pPr>
        <w:ind w:left="1300" w:hanging="644"/>
        <w:spacing w:after="0"/>
        <w:tabs>
          <w:tab w:leader="none" w:pos="1300" w:val="left"/>
        </w:tabs>
        <w:numPr>
          <w:ilvl w:val="0"/>
          <w:numId w:val="174"/>
        </w:numPr>
        <w:rPr>
          <w:rFonts w:ascii="Arial" w:cs="Arial" w:eastAsia="Arial" w:hAnsi="Arial"/>
          <w:sz w:val="18"/>
          <w:szCs w:val="18"/>
          <w:color w:val="auto"/>
        </w:rPr>
      </w:pPr>
      <w:r>
        <w:rPr>
          <w:rFonts w:ascii="Arial" w:cs="Arial" w:eastAsia="Arial" w:hAnsi="Arial"/>
          <w:sz w:val="18"/>
          <w:szCs w:val="18"/>
          <w:b w:val="1"/>
          <w:bCs w:val="1"/>
          <w:u w:val="single" w:color="auto"/>
          <w:color w:val="auto"/>
        </w:rPr>
        <w:t>Work Made for Hire - Assignment of Inventions.</w:t>
      </w:r>
    </w:p>
    <w:p>
      <w:pPr>
        <w:spacing w:after="0" w:line="252" w:lineRule="exact"/>
        <w:rPr>
          <w:rFonts w:ascii="Arial" w:cs="Arial" w:eastAsia="Arial" w:hAnsi="Arial"/>
          <w:sz w:val="18"/>
          <w:szCs w:val="18"/>
          <w:color w:val="auto"/>
        </w:rPr>
      </w:pPr>
    </w:p>
    <w:p>
      <w:pPr>
        <w:jc w:val="both"/>
        <w:ind w:firstLine="1304"/>
        <w:spacing w:after="0" w:line="263" w:lineRule="auto"/>
        <w:tabs>
          <w:tab w:leader="none" w:pos="193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Employee understands and agrees all “Work” (defined to mean all concepts, data, databases, inventions, formulas, discoveries, improvements, trade secrets, original works of authorship, know-how, algorithms, computer programs, software, code, publications, websites, designs, proposals, strategies, processes, methodologies and techniques, and any and all other information, materials and intellectual property, in any medium) that Employee, alone or jointly, creates, conceives, develops, or reduces to practice or causes another to create, conceive, develop, or reduce to practice, shall be a “work made for hire” within the meaning of that term under United States Copyright Act, 17 U.S.C. §§101 et seq. Employee agrees to promptly disclose to the Company, or any persons designated by it, all Work. Employee agrees to and hereby assigns and transfers to the Company, effective as of the date of its creation, any and all rights, title and interest Employee may have or may acquire in any Work including any Work not deemed, for whatever reason, to have been created as a work made for hire), effective as of the date of its creation, including any and all intellectual property rights in the Work, and the right to prosecute and recover damages for all infringements or other violations of the Work.</w:t>
      </w:r>
    </w:p>
    <w:p>
      <w:pPr>
        <w:spacing w:after="0" w:line="215" w:lineRule="exact"/>
        <w:rPr>
          <w:rFonts w:ascii="Arial" w:cs="Arial" w:eastAsia="Arial" w:hAnsi="Arial"/>
          <w:sz w:val="18"/>
          <w:szCs w:val="18"/>
          <w:color w:val="auto"/>
        </w:rPr>
      </w:pPr>
    </w:p>
    <w:p>
      <w:pPr>
        <w:jc w:val="both"/>
        <w:ind w:firstLine="1304"/>
        <w:spacing w:after="0" w:line="263" w:lineRule="auto"/>
        <w:tabs>
          <w:tab w:leader="none" w:pos="193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Employee hereby gives the Company the unrestricted right to use, display, distribute, modify, combine with other information or materials, create derivative works based on, sell, or otherwise exploit for any purpose, the Work and any portion thereof, in any manner and medium throughout the world. Employee irrevocably waives and assigns to the Company any and all so-called moral rights Employee may have in or with respect to any Work. Upon the Company’s request, Employee shall promptly execute and deliver to the Company any and all further assignments, patent applications, or such other documents as the Company may deem necessary to effectuate the purposes of this Agreement. Employee hereby irrevocably designates and appoints the Company and its officers and agents as Employee’s agent and attorney-in-fact, with full powers of substitution, to act for and on Employee’s behalf to execute, verify and file any such documents and to do all other lawfully permitted acts as permitted in the preceding paragraph with the same legal effect as if executed by Employee. The foregoing agency and power shall only be used by the Company if Employee fails to execute within five business days after the Company’s request related to any document or instrument described above. Employee hereby waives and quitclaims to the Company all claims of any nature which Employee now has or may later obtain for infringement of any intellectual property rights assigned under this Agreement or otherwise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7" w:right="339" w:bottom="1440" w:gutter="0" w:footer="0" w:header="0"/>
        </w:sectPr>
      </w:pPr>
    </w:p>
    <w:bookmarkStart w:id="192" w:name="page193"/>
    <w:bookmarkEnd w:id="192"/>
    <w:p>
      <w:pPr>
        <w:spacing w:after="0" w:line="220" w:lineRule="exact"/>
        <w:rPr>
          <w:sz w:val="20"/>
          <w:szCs w:val="20"/>
          <w:color w:val="auto"/>
        </w:rPr>
      </w:pPr>
    </w:p>
    <w:p>
      <w:pPr>
        <w:jc w:val="both"/>
        <w:ind w:firstLine="1304"/>
        <w:spacing w:after="0" w:line="273" w:lineRule="auto"/>
        <w:tabs>
          <w:tab w:leader="none" w:pos="1938" w:val="left"/>
        </w:tabs>
        <w:numPr>
          <w:ilvl w:val="1"/>
          <w:numId w:val="175"/>
        </w:numPr>
        <w:rPr>
          <w:rFonts w:ascii="Arial" w:cs="Arial" w:eastAsia="Arial" w:hAnsi="Arial"/>
          <w:sz w:val="18"/>
          <w:szCs w:val="18"/>
          <w:color w:val="auto"/>
        </w:rPr>
      </w:pPr>
      <w:r>
        <w:rPr>
          <w:rFonts w:ascii="Arial" w:cs="Arial" w:eastAsia="Arial" w:hAnsi="Arial"/>
          <w:sz w:val="18"/>
          <w:szCs w:val="18"/>
          <w:color w:val="auto"/>
        </w:rPr>
        <w:t xml:space="preserve">Employee has identified on </w:t>
      </w:r>
      <w:r>
        <w:rPr>
          <w:rFonts w:ascii="Arial" w:cs="Arial" w:eastAsia="Arial" w:hAnsi="Arial"/>
          <w:sz w:val="18"/>
          <w:szCs w:val="18"/>
          <w:u w:val="single" w:color="auto"/>
          <w:color w:val="auto"/>
        </w:rPr>
        <w:t>Attachment C</w:t>
      </w:r>
      <w:r>
        <w:rPr>
          <w:rFonts w:ascii="Arial" w:cs="Arial" w:eastAsia="Arial" w:hAnsi="Arial"/>
          <w:sz w:val="18"/>
          <w:szCs w:val="18"/>
          <w:color w:val="auto"/>
        </w:rPr>
        <w:t xml:space="preserve"> all inventions or improvements relevant to the subject matter of Employee’s engagement with the Company that Employee desires to remove from the operation of this Agreement, and Employee’s post-employment restrictions. If there is no such list on </w:t>
      </w:r>
      <w:r>
        <w:rPr>
          <w:rFonts w:ascii="Arial" w:cs="Arial" w:eastAsia="Arial" w:hAnsi="Arial"/>
          <w:sz w:val="18"/>
          <w:szCs w:val="18"/>
          <w:u w:val="single" w:color="auto"/>
          <w:color w:val="auto"/>
        </w:rPr>
        <w:t>Attachment C</w:t>
      </w:r>
      <w:r>
        <w:rPr>
          <w:rFonts w:ascii="Arial" w:cs="Arial" w:eastAsia="Arial" w:hAnsi="Arial"/>
          <w:sz w:val="18"/>
          <w:szCs w:val="18"/>
          <w:color w:val="auto"/>
        </w:rPr>
        <w:t>, Employee represents that Employee has made no such inventions and improvements at the time of signing this Agreement.</w:t>
      </w:r>
    </w:p>
    <w:p>
      <w:pPr>
        <w:spacing w:after="0" w:line="205" w:lineRule="exact"/>
        <w:rPr>
          <w:rFonts w:ascii="Arial" w:cs="Arial" w:eastAsia="Arial" w:hAnsi="Arial"/>
          <w:sz w:val="18"/>
          <w:szCs w:val="18"/>
          <w:color w:val="auto"/>
        </w:rPr>
      </w:pPr>
    </w:p>
    <w:p>
      <w:pPr>
        <w:jc w:val="both"/>
        <w:ind w:firstLine="1304"/>
        <w:spacing w:after="0" w:line="267" w:lineRule="auto"/>
        <w:tabs>
          <w:tab w:leader="none" w:pos="193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provisions of this Agreement requiring the assignment to the Company of Employee’s rights to certain inventions do not apply to an invention for which no equipment, supplies, facility, or trade secret information of the Company was used and which was developed entirely on the Employee’s own time, unless (i) the invention relates a) directly to the business of the Company, or b) to the Company’s actual or demonstrably anticipated research or development, or (ii) the invention results from any work performed by the Employee for the Company.</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Restrictive Covenants.</w:t>
      </w:r>
    </w:p>
    <w:p>
      <w:pPr>
        <w:spacing w:after="0" w:line="252" w:lineRule="exact"/>
        <w:rPr>
          <w:rFonts w:ascii="Arial" w:cs="Arial" w:eastAsia="Arial" w:hAnsi="Arial"/>
          <w:sz w:val="18"/>
          <w:szCs w:val="18"/>
          <w:color w:val="auto"/>
        </w:rPr>
      </w:pPr>
    </w:p>
    <w:p>
      <w:pPr>
        <w:jc w:val="both"/>
        <w:ind w:firstLine="1304"/>
        <w:spacing w:after="0" w:line="273" w:lineRule="auto"/>
        <w:tabs>
          <w:tab w:leader="none" w:pos="1934"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 period of 12 months following the termination of Employee’s employment, Employee shall not, on behalf of any entity or person other than the Company, directly or indirectly, contact or solicit any Customer for the purpose of delivering, selling, or otherwise offering a product that is the same or similar to that of a Company Product.</w:t>
      </w:r>
    </w:p>
    <w:p>
      <w:pPr>
        <w:spacing w:after="0" w:line="192" w:lineRule="exact"/>
        <w:rPr>
          <w:rFonts w:ascii="Arial" w:cs="Arial" w:eastAsia="Arial" w:hAnsi="Arial"/>
          <w:sz w:val="18"/>
          <w:szCs w:val="18"/>
          <w:color w:val="auto"/>
        </w:rPr>
      </w:pPr>
    </w:p>
    <w:p>
      <w:pPr>
        <w:jc w:val="both"/>
        <w:ind w:firstLine="1304"/>
        <w:spacing w:after="0" w:line="273" w:lineRule="auto"/>
        <w:tabs>
          <w:tab w:leader="none" w:pos="1934"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Prospective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for a period of 12 months following the termination of Employee’s employment, Employee shall not, on behalf of any entity or person other than the Company, directly or indirectly, contact or solicit any Prospective Customer for the purpose of delivering, selling, or otherwise offering a product that is the same or similar to that of a Company Product.</w:t>
      </w:r>
    </w:p>
    <w:p>
      <w:pPr>
        <w:spacing w:after="0" w:line="205" w:lineRule="exact"/>
        <w:rPr>
          <w:rFonts w:ascii="Arial" w:cs="Arial" w:eastAsia="Arial" w:hAnsi="Arial"/>
          <w:sz w:val="18"/>
          <w:szCs w:val="18"/>
          <w:color w:val="auto"/>
        </w:rPr>
      </w:pPr>
    </w:p>
    <w:p>
      <w:pPr>
        <w:jc w:val="both"/>
        <w:ind w:firstLine="1304"/>
        <w:spacing w:after="0" w:line="267" w:lineRule="auto"/>
        <w:tabs>
          <w:tab w:leader="none" w:pos="1938"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w:t>
      </w:r>
      <w:r>
        <w:rPr>
          <w:rFonts w:ascii="Arial" w:cs="Arial" w:eastAsia="Arial" w:hAnsi="Arial"/>
          <w:sz w:val="18"/>
          <w:szCs w:val="18"/>
          <w:b w:val="1"/>
          <w:bCs w:val="1"/>
          <w:color w:val="auto"/>
        </w:rPr>
        <w:t xml:space="preserve"> </w:t>
      </w:r>
      <w:r>
        <w:rPr>
          <w:rFonts w:ascii="Arial" w:cs="Arial" w:eastAsia="Arial" w:hAnsi="Arial"/>
          <w:sz w:val="18"/>
          <w:szCs w:val="18"/>
          <w:color w:val="auto"/>
        </w:rPr>
        <w:t>a period of 12 months following the termination of Employee’s employment, Employee shall not, directly or indirectly: a) induce or attempt to induce any employee of the Company or any of its affiliates with whom Employee had a working relationship in the 24 months prior to the termination of Employee’s employment to terminate his or her employment with the Company; b) hire or employ, or attempt to hire or employ, any employee of the Company or any of its affiliates with whom Employee had a working relationship in the 24 months prior to the termination of Employee’s employment; or c) assist any other person or entity in doing any of the foregoing.</w:t>
      </w:r>
    </w:p>
    <w:p>
      <w:pPr>
        <w:spacing w:after="0" w:line="211" w:lineRule="exact"/>
        <w:rPr>
          <w:rFonts w:ascii="Arial" w:cs="Arial" w:eastAsia="Arial" w:hAnsi="Arial"/>
          <w:sz w:val="18"/>
          <w:szCs w:val="18"/>
          <w:color w:val="auto"/>
        </w:rPr>
      </w:pPr>
    </w:p>
    <w:p>
      <w:pPr>
        <w:jc w:val="both"/>
        <w:ind w:firstLine="1304"/>
        <w:spacing w:after="0" w:line="267" w:lineRule="auto"/>
        <w:tabs>
          <w:tab w:leader="none" w:pos="1934"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Limited Non-Competition.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during Employee’s employment with the Company and for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period of 12 months following the termination of Employee’s employment, Employee shall not, anywhere in North America (United States, Mexico or Canada) act in any capacity, whether or not for consideration, on behalf of any Competitor. Given the national nature of the Company’s business, the extent to which Employee has been (or will be) exposed to the Company’s Proprietary information, and the ability of Employee to carry out Employee’s work remotely, regardless of physical location, Employee acknowledges the geographic scope of the post-employment restriction in this </w:t>
      </w:r>
      <w:r>
        <w:rPr>
          <w:rFonts w:ascii="Arial" w:cs="Arial" w:eastAsia="Arial" w:hAnsi="Arial"/>
          <w:sz w:val="18"/>
          <w:szCs w:val="18"/>
          <w:u w:val="single" w:color="auto"/>
          <w:color w:val="auto"/>
        </w:rPr>
        <w:t>Section 5(d)</w:t>
      </w:r>
      <w:r>
        <w:rPr>
          <w:rFonts w:ascii="Arial" w:cs="Arial" w:eastAsia="Arial" w:hAnsi="Arial"/>
          <w:sz w:val="18"/>
          <w:szCs w:val="18"/>
          <w:color w:val="auto"/>
        </w:rPr>
        <w:t xml:space="preserve"> is reasonable and appropriate.</w:t>
      </w:r>
    </w:p>
    <w:p>
      <w:pPr>
        <w:spacing w:after="0" w:line="211" w:lineRule="exact"/>
        <w:rPr>
          <w:rFonts w:ascii="Arial" w:cs="Arial" w:eastAsia="Arial" w:hAnsi="Arial"/>
          <w:sz w:val="18"/>
          <w:szCs w:val="18"/>
          <w:color w:val="auto"/>
        </w:rPr>
      </w:pPr>
    </w:p>
    <w:p>
      <w:pPr>
        <w:ind w:right="20" w:firstLine="1304"/>
        <w:spacing w:after="0" w:line="287" w:lineRule="auto"/>
        <w:tabs>
          <w:tab w:leader="none" w:pos="1934" w:val="left"/>
        </w:tabs>
        <w:numPr>
          <w:ilvl w:val="1"/>
          <w:numId w:val="17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 Covenant.</w:t>
      </w:r>
      <w:r>
        <w:rPr>
          <w:rFonts w:ascii="Arial" w:cs="Arial" w:eastAsia="Arial" w:hAnsi="Arial"/>
          <w:sz w:val="18"/>
          <w:szCs w:val="18"/>
          <w:b w:val="1"/>
          <w:bCs w:val="1"/>
          <w:color w:val="auto"/>
        </w:rPr>
        <w:t xml:space="preserve"> </w:t>
      </w:r>
      <w:r>
        <w:rPr>
          <w:rFonts w:ascii="Arial" w:cs="Arial" w:eastAsia="Arial" w:hAnsi="Arial"/>
          <w:sz w:val="18"/>
          <w:szCs w:val="18"/>
          <w:color w:val="auto"/>
        </w:rPr>
        <w:t>During Employee’s employment with the Company and following the termination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employment:</w:t>
      </w:r>
    </w:p>
    <w:p>
      <w:pPr>
        <w:spacing w:after="0" w:line="193" w:lineRule="exact"/>
        <w:rPr>
          <w:rFonts w:ascii="Arial" w:cs="Arial" w:eastAsia="Arial" w:hAnsi="Arial"/>
          <w:sz w:val="18"/>
          <w:szCs w:val="18"/>
          <w:color w:val="auto"/>
        </w:rPr>
      </w:pPr>
    </w:p>
    <w:p>
      <w:pPr>
        <w:jc w:val="both"/>
        <w:ind w:left="660" w:firstLine="1292"/>
        <w:spacing w:after="0" w:line="276" w:lineRule="auto"/>
        <w:tabs>
          <w:tab w:leader="none" w:pos="2602" w:val="left"/>
        </w:tabs>
        <w:numPr>
          <w:ilvl w:val="2"/>
          <w:numId w:val="176"/>
        </w:numPr>
        <w:rPr>
          <w:rFonts w:ascii="Arial" w:cs="Arial" w:eastAsia="Arial" w:hAnsi="Arial"/>
          <w:sz w:val="18"/>
          <w:szCs w:val="18"/>
          <w:color w:val="auto"/>
        </w:rPr>
      </w:pPr>
      <w:r>
        <w:rPr>
          <w:rFonts w:ascii="Arial" w:cs="Arial" w:eastAsia="Arial" w:hAnsi="Arial"/>
          <w:sz w:val="18"/>
          <w:szCs w:val="18"/>
          <w:color w:val="auto"/>
        </w:rPr>
        <w:t>Employee will not disclose or transfer, directly or indirectly, any Proprietary Information to any person or entity other than as authorized by the Company. Employee understands and agrees that disclosures authorized by the Company for the benefit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193" w:name="page194"/>
    <w:bookmarkEnd w:id="193"/>
    <w:p>
      <w:pPr>
        <w:ind w:left="660" w:right="20"/>
        <w:spacing w:after="0" w:line="303" w:lineRule="auto"/>
        <w:rPr>
          <w:sz w:val="20"/>
          <w:szCs w:val="20"/>
          <w:color w:val="auto"/>
        </w:rPr>
      </w:pPr>
      <w:r>
        <w:rPr>
          <w:rFonts w:ascii="Arial" w:cs="Arial" w:eastAsia="Arial" w:hAnsi="Arial"/>
          <w:sz w:val="18"/>
          <w:szCs w:val="18"/>
          <w:color w:val="auto"/>
        </w:rPr>
        <w:t>the Company must be made in accordance with the Company’s policies and practices designed to maintain the confidentiality of Proprietary Information, for example providing information after obtaining signed non-disclosure or confidentiality agreements;</w:t>
      </w:r>
    </w:p>
    <w:p>
      <w:pPr>
        <w:spacing w:after="0" w:line="166" w:lineRule="exact"/>
        <w:rPr>
          <w:sz w:val="20"/>
          <w:szCs w:val="20"/>
          <w:color w:val="auto"/>
        </w:rPr>
      </w:pPr>
    </w:p>
    <w:p>
      <w:pPr>
        <w:ind w:left="660" w:firstLine="1292"/>
        <w:spacing w:after="0" w:line="303" w:lineRule="auto"/>
        <w:tabs>
          <w:tab w:leader="none" w:pos="260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Employee will not use, directly or indirectly, any Proprietary Information for the benefit or profit of any person or organization, including Employee, other than the Company;</w:t>
      </w:r>
    </w:p>
    <w:p>
      <w:pPr>
        <w:spacing w:after="0" w:line="179" w:lineRule="exact"/>
        <w:rPr>
          <w:rFonts w:ascii="Arial" w:cs="Arial" w:eastAsia="Arial" w:hAnsi="Arial"/>
          <w:sz w:val="18"/>
          <w:szCs w:val="18"/>
          <w:color w:val="auto"/>
        </w:rPr>
      </w:pPr>
    </w:p>
    <w:p>
      <w:pPr>
        <w:jc w:val="both"/>
        <w:ind w:left="660" w:firstLine="1292"/>
        <w:spacing w:after="0" w:line="276" w:lineRule="auto"/>
        <w:tabs>
          <w:tab w:leader="none" w:pos="260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Employee will not remove or transfer from any of the Company’s offices or premises any materials or property of the Company (including, without limitation, materials and property containing Proprietary Information), except as is strictly necessary in the performance of Employee’s assigned duties as an employee;</w:t>
      </w:r>
    </w:p>
    <w:p>
      <w:pPr>
        <w:spacing w:after="0" w:line="203" w:lineRule="exact"/>
        <w:rPr>
          <w:rFonts w:ascii="Arial" w:cs="Arial" w:eastAsia="Arial" w:hAnsi="Arial"/>
          <w:sz w:val="18"/>
          <w:szCs w:val="18"/>
          <w:color w:val="auto"/>
        </w:rPr>
      </w:pPr>
    </w:p>
    <w:p>
      <w:pPr>
        <w:jc w:val="both"/>
        <w:ind w:left="660" w:firstLine="1292"/>
        <w:spacing w:after="0" w:line="276" w:lineRule="auto"/>
        <w:tabs>
          <w:tab w:leader="none" w:pos="259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Employee will not copy any Proprietary Information except as needed in furtherance of and for use in the Company’s business. Employee agrees that copies of Proprietary Information must be treated with the same degree of confidentiality as the original information and are subject to the same restrictions contained in this Agreement;</w:t>
      </w:r>
    </w:p>
    <w:p>
      <w:pPr>
        <w:spacing w:after="0" w:line="203" w:lineRule="exact"/>
        <w:rPr>
          <w:rFonts w:ascii="Arial" w:cs="Arial" w:eastAsia="Arial" w:hAnsi="Arial"/>
          <w:sz w:val="18"/>
          <w:szCs w:val="18"/>
          <w:color w:val="auto"/>
        </w:rPr>
      </w:pPr>
    </w:p>
    <w:p>
      <w:pPr>
        <w:jc w:val="both"/>
        <w:ind w:left="660" w:firstLine="1292"/>
        <w:spacing w:after="0" w:line="276" w:lineRule="auto"/>
        <w:tabs>
          <w:tab w:leader="none" w:pos="259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Employee will promptly upon the Company’s request, and in any event promptly upon the termination of Employee’s employment with the Company, return to the Company all materials and property removed from or belonging to the Company and Employee will not retain copies of any of such materials and property;</w:t>
      </w:r>
    </w:p>
    <w:p>
      <w:pPr>
        <w:spacing w:after="0" w:line="203" w:lineRule="exact"/>
        <w:rPr>
          <w:rFonts w:ascii="Arial" w:cs="Arial" w:eastAsia="Arial" w:hAnsi="Arial"/>
          <w:sz w:val="18"/>
          <w:szCs w:val="18"/>
          <w:color w:val="auto"/>
        </w:rPr>
      </w:pPr>
    </w:p>
    <w:p>
      <w:pPr>
        <w:ind w:left="660" w:firstLine="1292"/>
        <w:spacing w:after="0" w:line="287" w:lineRule="auto"/>
        <w:tabs>
          <w:tab w:leader="none" w:pos="259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Employee agrees to take all reasonable steps to preserve the confidential and proprietary nature of Proprietary Information and to prevent the inadvertent or accidental disclosure of Proprietary Information; and</w:t>
      </w:r>
    </w:p>
    <w:p>
      <w:pPr>
        <w:spacing w:after="0" w:line="193" w:lineRule="exact"/>
        <w:rPr>
          <w:rFonts w:ascii="Arial" w:cs="Arial" w:eastAsia="Arial" w:hAnsi="Arial"/>
          <w:sz w:val="18"/>
          <w:szCs w:val="18"/>
          <w:color w:val="auto"/>
        </w:rPr>
      </w:pPr>
    </w:p>
    <w:p>
      <w:pPr>
        <w:jc w:val="both"/>
        <w:ind w:left="660" w:firstLine="1292"/>
        <w:spacing w:after="0" w:line="276" w:lineRule="auto"/>
        <w:tabs>
          <w:tab w:leader="none" w:pos="2597"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Employee will not use or rely on the confidential or proprietary information or trade secrets of a third party in the performance of Employee’s work for the Company except when obtained through lawful means such as contractual teaming agreements, purchase of copyrights, or other written permission for use of such information.</w:t>
      </w:r>
    </w:p>
    <w:p>
      <w:pPr>
        <w:spacing w:after="0" w:line="203" w:lineRule="exact"/>
        <w:rPr>
          <w:rFonts w:ascii="Arial" w:cs="Arial" w:eastAsia="Arial" w:hAnsi="Arial"/>
          <w:sz w:val="18"/>
          <w:szCs w:val="18"/>
          <w:color w:val="auto"/>
        </w:rPr>
      </w:pPr>
    </w:p>
    <w:p>
      <w:pPr>
        <w:jc w:val="both"/>
        <w:ind w:firstLine="1304"/>
        <w:spacing w:after="0" w:line="264" w:lineRule="auto"/>
        <w:tabs>
          <w:tab w:leader="none" w:pos="1938"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 of Covenants.</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desire for the restrictive covenants, including any time period and geographic</w:t>
      </w:r>
      <w:r>
        <w:rPr>
          <w:rFonts w:ascii="Arial" w:cs="Arial" w:eastAsia="Arial" w:hAnsi="Arial"/>
          <w:sz w:val="18"/>
          <w:szCs w:val="18"/>
          <w:b w:val="1"/>
          <w:bCs w:val="1"/>
          <w:color w:val="auto"/>
        </w:rPr>
        <w:t xml:space="preserve"> </w:t>
      </w:r>
      <w:r>
        <w:rPr>
          <w:rFonts w:ascii="Arial" w:cs="Arial" w:eastAsia="Arial" w:hAnsi="Arial"/>
          <w:sz w:val="18"/>
          <w:szCs w:val="18"/>
          <w:color w:val="auto"/>
        </w:rPr>
        <w:t>scope, to be construed as broadly as permitted by applicable law. It is the parties’ intent, and a critical inducement to the Company entering into this Agreement, to protect and preserve the Company’s legitimate interests, and thus the parties agree that the time period and the geographic coverage and scope of the post-employment restrictions herein are reasonable and necessary. However, if a court of competent jurisdiction finds that the time period of any of the foregoing post-employment restrictions is too lengthy, the geographic scope is too broad, or the agreement overreaches in any way, the parties authorize and respectfully ask the court to modify or, if modification is not possible, strike the offending portion, but only that portion, and grant the relief reasonably necessary to protect the Company’s interests so as to achieve the original intent of the parties.</w:t>
      </w:r>
    </w:p>
    <w:p>
      <w:pPr>
        <w:spacing w:after="0" w:line="217" w:lineRule="exact"/>
        <w:rPr>
          <w:rFonts w:ascii="Arial" w:cs="Arial" w:eastAsia="Arial" w:hAnsi="Arial"/>
          <w:sz w:val="18"/>
          <w:szCs w:val="18"/>
          <w:color w:val="auto"/>
        </w:rPr>
      </w:pPr>
    </w:p>
    <w:p>
      <w:pPr>
        <w:jc w:val="both"/>
        <w:ind w:firstLine="1304"/>
        <w:spacing w:after="0" w:line="267" w:lineRule="auto"/>
        <w:tabs>
          <w:tab w:leader="none" w:pos="1934" w:val="left"/>
        </w:tabs>
        <w:numPr>
          <w:ilvl w:val="0"/>
          <w:numId w:val="178"/>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a threatened or existing violation of any of the post-employment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in this Agreement would cause the Company irreparable injury for which it would have no adequate remedy at law and agrees that the Company will be entitled to obtain injunctive relief prohibiting such violation, in addition to any other rights and remedies available to it at law or in equity. The real or perceived existence of any claim or cause of action against the Company, whether predicated on this Agreement or some other basis, will not alleviate Employee of Employee’s obligations under this Agreement and will not constitute a defense to the enforcement by the Company of post-employment restrictions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7" w:right="339" w:bottom="1440" w:gutter="0" w:footer="0" w:header="0"/>
        </w:sectPr>
      </w:pPr>
    </w:p>
    <w:bookmarkStart w:id="194" w:name="page195"/>
    <w:bookmarkEnd w:id="194"/>
    <w:p>
      <w:pPr>
        <w:jc w:val="both"/>
        <w:ind w:firstLine="1304"/>
        <w:spacing w:after="0" w:line="276" w:lineRule="auto"/>
        <w:tabs>
          <w:tab w:leader="none" w:pos="1934" w:val="left"/>
        </w:tabs>
        <w:numPr>
          <w:ilvl w:val="1"/>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Tolling of Time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agrees that in the event Employee violates any subsection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color w:val="auto"/>
        </w:rPr>
        <w:t>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to which there is a specific time period during which Employee is prohibited from certain actions and activities, such violation shall toll the running of such time period from the date of such violation until the date the violation ceases.</w:t>
      </w:r>
    </w:p>
    <w:p>
      <w:pPr>
        <w:spacing w:after="0" w:line="203" w:lineRule="exact"/>
        <w:rPr>
          <w:rFonts w:ascii="Arial" w:cs="Arial" w:eastAsia="Arial" w:hAnsi="Arial"/>
          <w:sz w:val="18"/>
          <w:szCs w:val="18"/>
          <w:color w:val="auto"/>
        </w:rPr>
      </w:pPr>
    </w:p>
    <w:p>
      <w:pPr>
        <w:jc w:val="both"/>
        <w:ind w:firstLine="1304"/>
        <w:spacing w:after="0" w:line="267" w:lineRule="auto"/>
        <w:tabs>
          <w:tab w:leader="none" w:pos="1942" w:val="left"/>
        </w:tabs>
        <w:numPr>
          <w:ilvl w:val="1"/>
          <w:numId w:val="179"/>
        </w:numPr>
        <w:rPr>
          <w:rFonts w:ascii="Arial" w:cs="Arial" w:eastAsia="Arial" w:hAnsi="Arial"/>
          <w:sz w:val="18"/>
          <w:szCs w:val="18"/>
          <w:color w:val="auto"/>
        </w:rPr>
      </w:pPr>
      <w:r>
        <w:rPr>
          <w:rFonts w:ascii="Arial" w:cs="Arial" w:eastAsia="Arial" w:hAnsi="Arial"/>
          <w:sz w:val="18"/>
          <w:szCs w:val="18"/>
          <w:b w:val="1"/>
          <w:bCs w:val="1"/>
          <w:u w:val="single" w:color="auto"/>
          <w:color w:val="auto"/>
        </w:rPr>
        <w:t>Inevitable Use of Proprietary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and agrees that, after Employee’s separation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employment, Employee will possess the Company’s Proprietary Information which Employee would inevitably use if Employee were to engage in the conduct prohibited by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(including each of its sub-sections), that such use would be unfair and extremely detrimental to the Company and, in view of the benefits provided to Employee in this Agreement, that such conduct on his or her part would be inequitable. Accordingly, Employee separately and severally agrees for the benefit of the Company to be bound by each of the covenants described above.</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284"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Reasonable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acknowledges that it is necessary and appropriate for the Company to protect its</w:t>
      </w:r>
      <w:r>
        <w:rPr>
          <w:rFonts w:ascii="Arial" w:cs="Arial" w:eastAsia="Arial" w:hAnsi="Arial"/>
          <w:sz w:val="18"/>
          <w:szCs w:val="18"/>
          <w:b w:val="1"/>
          <w:bCs w:val="1"/>
          <w:color w:val="auto"/>
        </w:rPr>
        <w:t xml:space="preserve"> </w:t>
      </w:r>
      <w:r>
        <w:rPr>
          <w:rFonts w:ascii="Arial" w:cs="Arial" w:eastAsia="Arial" w:hAnsi="Arial"/>
          <w:sz w:val="18"/>
          <w:szCs w:val="18"/>
          <w:color w:val="auto"/>
        </w:rPr>
        <w:t>legitimate business interests by restricting Employee’s ability to engage in certain competitive activities and any violation of such post-employment restrictions would result in irreparable injury to the Company’s legitimate business interests. The parties agree that the post-employment restrictions contained in this Agreement are drafted narrowly to safeguard the Company’s legitimate business interests while not unreasonably interfering with Employee’s ability to obtain other employment.</w:t>
      </w:r>
    </w:p>
    <w:p>
      <w:pPr>
        <w:spacing w:after="0" w:line="206" w:lineRule="exact"/>
        <w:rPr>
          <w:rFonts w:ascii="Arial" w:cs="Arial" w:eastAsia="Arial" w:hAnsi="Arial"/>
          <w:sz w:val="18"/>
          <w:szCs w:val="18"/>
          <w:color w:val="auto"/>
        </w:rPr>
      </w:pPr>
    </w:p>
    <w:p>
      <w:pPr>
        <w:jc w:val="both"/>
        <w:ind w:firstLine="656"/>
        <w:spacing w:after="0" w:line="257" w:lineRule="auto"/>
        <w:tabs>
          <w:tab w:leader="none" w:pos="1284"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 representation, promise, understanding, or warranty not set forth herein has been made or relied</w:t>
      </w:r>
      <w:r>
        <w:rPr>
          <w:rFonts w:ascii="Arial" w:cs="Arial" w:eastAsia="Arial" w:hAnsi="Arial"/>
          <w:sz w:val="18"/>
          <w:szCs w:val="18"/>
          <w:b w:val="1"/>
          <w:bCs w:val="1"/>
          <w:color w:val="auto"/>
        </w:rPr>
        <w:t xml:space="preserve"> </w:t>
      </w:r>
      <w:r>
        <w:rPr>
          <w:rFonts w:ascii="Arial" w:cs="Arial" w:eastAsia="Arial" w:hAnsi="Arial"/>
          <w:sz w:val="18"/>
          <w:szCs w:val="18"/>
          <w:color w:val="auto"/>
        </w:rPr>
        <w:t>upon by either party in making this Agreement. No modification, amendment or addition will be valid, unless set forth in writing and signed by the patty against whom enforcement of any such modification, amendment or addition is sought. Notwithstanding, this Agreement supersedes any prior confidentiality agreements or restrictive covenants between the Company and Employee provided however that if a court of competent jurisdiction refuses to enforce this Agreement, then the patties agree that the term of any prior confidentiality or restrictive covenants shall govern.</w:t>
      </w:r>
    </w:p>
    <w:p>
      <w:pPr>
        <w:spacing w:after="0" w:line="209" w:lineRule="exact"/>
        <w:rPr>
          <w:rFonts w:ascii="Arial" w:cs="Arial" w:eastAsia="Arial" w:hAnsi="Arial"/>
          <w:sz w:val="18"/>
          <w:szCs w:val="18"/>
          <w:color w:val="auto"/>
        </w:rPr>
      </w:pPr>
    </w:p>
    <w:p>
      <w:pPr>
        <w:jc w:val="both"/>
        <w:ind w:firstLine="656"/>
        <w:spacing w:after="0" w:line="268" w:lineRule="auto"/>
        <w:tabs>
          <w:tab w:leader="none" w:pos="1284"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shall be deemed to constitute a contract of employment for any given</w:t>
      </w:r>
      <w:r>
        <w:rPr>
          <w:rFonts w:ascii="Arial" w:cs="Arial" w:eastAsia="Arial" w:hAnsi="Arial"/>
          <w:sz w:val="18"/>
          <w:szCs w:val="18"/>
          <w:b w:val="1"/>
          <w:bCs w:val="1"/>
          <w:color w:val="auto"/>
        </w:rPr>
        <w:t xml:space="preserve"> </w:t>
      </w:r>
      <w:r>
        <w:rPr>
          <w:rFonts w:ascii="Arial" w:cs="Arial" w:eastAsia="Arial" w:hAnsi="Arial"/>
          <w:sz w:val="18"/>
          <w:szCs w:val="18"/>
          <w:color w:val="auto"/>
        </w:rPr>
        <w:t>duration. The relationship between the Company and Employee shall be employment-at-will and either the Company or Employee may terminate it at any time for any reason without liability.</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Subsequent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In order to protect the Company’s rights under this Agreement, Employee agrees that:</w:t>
      </w:r>
    </w:p>
    <w:p>
      <w:pPr>
        <w:spacing w:after="0" w:line="252" w:lineRule="exact"/>
        <w:rPr>
          <w:rFonts w:ascii="Arial" w:cs="Arial" w:eastAsia="Arial" w:hAnsi="Arial"/>
          <w:sz w:val="18"/>
          <w:szCs w:val="18"/>
          <w:color w:val="auto"/>
        </w:rPr>
      </w:pPr>
    </w:p>
    <w:p>
      <w:pPr>
        <w:jc w:val="both"/>
        <w:ind w:firstLine="1304"/>
        <w:spacing w:after="0" w:line="267" w:lineRule="auto"/>
        <w:tabs>
          <w:tab w:leader="none" w:pos="193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For a period of 12 months following the termination of Employee’s employment with the Company, Employee shall advise the Company with respect to any new employment by Employee’s. Employee is aware that the Company may contact Employee’s prospective or subsequent employers and inform them of this Agreement or any other policy or employment agreement between Employee and the Company that may be in effect on Employee’s last day of employment. Employee understands that Employee has a duty to contact the Company if Employee has any questions regarding whether or not conduct by Employee would be restricted by this Agreement.</w:t>
      </w:r>
    </w:p>
    <w:p>
      <w:pPr>
        <w:spacing w:after="0" w:line="212" w:lineRule="exact"/>
        <w:rPr>
          <w:rFonts w:ascii="Arial" w:cs="Arial" w:eastAsia="Arial" w:hAnsi="Arial"/>
          <w:sz w:val="18"/>
          <w:szCs w:val="18"/>
          <w:color w:val="auto"/>
        </w:rPr>
      </w:pPr>
    </w:p>
    <w:p>
      <w:pPr>
        <w:jc w:val="both"/>
        <w:ind w:firstLine="1304"/>
        <w:spacing w:after="0" w:line="276" w:lineRule="auto"/>
        <w:tabs>
          <w:tab w:leader="none" w:pos="193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Employee shall make the terms and conditions of the post-employment restrictions in this Agreement known to any business, entity or persons engaged in activities competitive with the Company’s business with which Employee becomes associated during Employee’s employment with the Company and in the 12-month period after the termination of Employee’s employment.</w:t>
      </w:r>
    </w:p>
    <w:p>
      <w:pPr>
        <w:spacing w:after="0" w:line="95" w:lineRule="exact"/>
        <w:rPr>
          <w:rFonts w:ascii="Arial" w:cs="Arial" w:eastAsia="Arial" w:hAnsi="Arial"/>
          <w:sz w:val="18"/>
          <w:szCs w:val="18"/>
          <w:color w:val="auto"/>
        </w:rPr>
      </w:pPr>
    </w:p>
    <w:p>
      <w:pPr>
        <w:jc w:val="both"/>
        <w:ind w:firstLine="656"/>
        <w:spacing w:after="0" w:line="268" w:lineRule="auto"/>
        <w:tabs>
          <w:tab w:leader="none" w:pos="1289" w:val="left"/>
        </w:tabs>
        <w:numPr>
          <w:ilvl w:val="0"/>
          <w:numId w:val="180"/>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of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may assign this Agreement, its rights, interests and remedies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its obligations under this Agreement, to any successor or purchaser of the Company or any division or business of the Company in the discretion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7" w:right="339" w:bottom="1440" w:gutter="0" w:footer="0" w:header="0"/>
        </w:sectPr>
      </w:pPr>
    </w:p>
    <w:bookmarkStart w:id="195" w:name="page196"/>
    <w:bookmarkEnd w:id="195"/>
    <w:p>
      <w:pPr>
        <w:jc w:val="both"/>
        <w:spacing w:after="0" w:line="268" w:lineRule="auto"/>
        <w:rPr>
          <w:sz w:val="20"/>
          <w:szCs w:val="20"/>
          <w:color w:val="auto"/>
        </w:rPr>
      </w:pPr>
      <w:r>
        <w:rPr>
          <w:rFonts w:ascii="Arial" w:cs="Arial" w:eastAsia="Arial" w:hAnsi="Arial"/>
          <w:sz w:val="18"/>
          <w:szCs w:val="18"/>
          <w:color w:val="auto"/>
        </w:rPr>
        <w:t>Company and without notice to Employee. The validity of this Agreement will not be affected by the sale (whether via a stock or asset sale), merger, or any other change in ownership of the Company. Employee understands that Employee’s obligations under this Agreement are personal, and that Employee may not assign this Agreement, or any of Employee’s rights, interests, or obligations under this Agreement.</w:t>
      </w:r>
    </w:p>
    <w:p>
      <w:pPr>
        <w:spacing w:after="0" w:line="198" w:lineRule="exact"/>
        <w:rPr>
          <w:sz w:val="20"/>
          <w:szCs w:val="20"/>
          <w:color w:val="auto"/>
        </w:rPr>
      </w:pPr>
    </w:p>
    <w:p>
      <w:pPr>
        <w:jc w:val="both"/>
        <w:ind w:firstLine="656"/>
        <w:spacing w:after="0" w:line="262" w:lineRule="auto"/>
        <w:tabs>
          <w:tab w:leader="none" w:pos="1276"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Non-Waiver.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failure or delay by any party to this Agreement in exercising any right, power or privilege hereunder, will</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as a waiver thereof, nor will any single or partial exercise thereof preclude any other or further exercise thereof or the exercise of any other right, power or privilege. The rights and remedies provided herein will be cumulative and in addition to any rights or remedies provided by law or equity.</w:t>
      </w:r>
    </w:p>
    <w:p>
      <w:pPr>
        <w:spacing w:after="0" w:line="203" w:lineRule="exact"/>
        <w:rPr>
          <w:rFonts w:ascii="Arial" w:cs="Arial" w:eastAsia="Arial" w:hAnsi="Arial"/>
          <w:sz w:val="18"/>
          <w:szCs w:val="18"/>
          <w:color w:val="auto"/>
        </w:rPr>
      </w:pPr>
    </w:p>
    <w:p>
      <w:pPr>
        <w:ind w:firstLine="656"/>
        <w:spacing w:after="0" w:line="287" w:lineRule="auto"/>
        <w:tabs>
          <w:tab w:leader="none" w:pos="1289"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will be governed by and construed in accordance with the laws of the State of Illinois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conflict of law principles.</w:t>
      </w:r>
    </w:p>
    <w:p>
      <w:pPr>
        <w:spacing w:after="0" w:line="179" w:lineRule="exact"/>
        <w:rPr>
          <w:rFonts w:ascii="Arial" w:cs="Arial" w:eastAsia="Arial" w:hAnsi="Arial"/>
          <w:sz w:val="18"/>
          <w:szCs w:val="18"/>
          <w:color w:val="auto"/>
        </w:rPr>
      </w:pPr>
    </w:p>
    <w:p>
      <w:pPr>
        <w:jc w:val="both"/>
        <w:ind w:firstLine="656"/>
        <w:spacing w:after="0" w:line="259" w:lineRule="auto"/>
        <w:tabs>
          <w:tab w:leader="none" w:pos="1289"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expressly consent to the exclusive jurisdiction of the state or federal courts of Illinois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resolve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and hereby waive any right that they might have to object to jurisdiction or venue within such court or any defense based on the doctrine of </w:t>
      </w:r>
      <w:r>
        <w:rPr>
          <w:rFonts w:ascii="Arial" w:cs="Arial" w:eastAsia="Arial" w:hAnsi="Arial"/>
          <w:sz w:val="18"/>
          <w:szCs w:val="18"/>
          <w:i w:val="1"/>
          <w:iCs w:val="1"/>
          <w:color w:val="auto"/>
        </w:rPr>
        <w:t>forum non conveniens</w:t>
      </w:r>
      <w:r>
        <w:rPr>
          <w:rFonts w:ascii="Arial" w:cs="Arial" w:eastAsia="Arial" w:hAnsi="Arial"/>
          <w:sz w:val="18"/>
          <w:szCs w:val="18"/>
          <w:color w:val="auto"/>
        </w:rPr>
        <w:t xml:space="preserve">. The parties also agree that any and all disputes arising under the post-employment restrictions contained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this Agreement may be resolved in a state or federal court and shall not be subject to arbitration irrespective of any other agreement.</w:t>
      </w:r>
    </w:p>
    <w:p>
      <w:pPr>
        <w:spacing w:after="0" w:line="206" w:lineRule="exact"/>
        <w:rPr>
          <w:rFonts w:ascii="Arial" w:cs="Arial" w:eastAsia="Arial" w:hAnsi="Arial"/>
          <w:sz w:val="18"/>
          <w:szCs w:val="18"/>
          <w:color w:val="auto"/>
        </w:rPr>
      </w:pPr>
    </w:p>
    <w:p>
      <w:pPr>
        <w:jc w:val="both"/>
        <w:ind w:firstLine="656"/>
        <w:spacing w:after="0" w:line="262" w:lineRule="auto"/>
        <w:tabs>
          <w:tab w:leader="none" w:pos="1289"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&amp;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duplicate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taken together shall constitute one and the same instrument. Facsimile, electronic (PDF, etc.) and other copies or duplicates of this Agreement are valid and enforceable as originals. Similarly, Agreements signed by hand, electronically (DocuSign or similar service), or, on behalf of the Company, by signature stamp, are valid and enforceable as original signatures.</w:t>
      </w:r>
    </w:p>
    <w:p>
      <w:pPr>
        <w:spacing w:after="0" w:line="203" w:lineRule="exact"/>
        <w:rPr>
          <w:rFonts w:ascii="Arial" w:cs="Arial" w:eastAsia="Arial" w:hAnsi="Arial"/>
          <w:sz w:val="18"/>
          <w:szCs w:val="18"/>
          <w:color w:val="auto"/>
        </w:rPr>
      </w:pPr>
    </w:p>
    <w:p>
      <w:pPr>
        <w:jc w:val="both"/>
        <w:ind w:firstLine="656"/>
        <w:spacing w:after="0" w:line="254" w:lineRule="auto"/>
        <w:tabs>
          <w:tab w:leader="none" w:pos="1289"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of Immunity.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understands that nothing in this Agreement is intended to prohibit Employee from disclosing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including Proprietary Information, which is permitted to be disclosed by the Federal Defend Trade Secrets Act, which provides that an individual may not be held criminally or civilly liable under any federal or state trade secret law for disclosure of a trade secret (a) made in confidence to a government official, either directly or indirectly, or to an attorney, solely for the purpose ofrepo11ing or investigating a suspected violation of law or (b) in a complaint or other document filed in a lawsuit or other proceeding, if such filing is made under seal. In addition, Employee understands that if Employee files a lawsuit against the Company for retaliation based on the reporting of a suspected violation of law, Employee may disclose a trade secret to Employee’s attorney and use the trade secret information in the court proceeding, so long as any document containing the trade secret is filed under seal and the trade secret is not disclosed except pursuant to court order. To the extent Employee suspects a violation of the law, Employee should report their suspicion to an officer of the Company or in accordance with relevant the Company policies.</w:t>
      </w:r>
    </w:p>
    <w:p>
      <w:pPr>
        <w:spacing w:after="0" w:line="212" w:lineRule="exact"/>
        <w:rPr>
          <w:rFonts w:ascii="Arial" w:cs="Arial" w:eastAsia="Arial" w:hAnsi="Arial"/>
          <w:sz w:val="18"/>
          <w:szCs w:val="18"/>
          <w:color w:val="auto"/>
        </w:rPr>
      </w:pPr>
    </w:p>
    <w:p>
      <w:pPr>
        <w:jc w:val="both"/>
        <w:ind w:firstLine="656"/>
        <w:spacing w:after="0" w:line="254" w:lineRule="auto"/>
        <w:tabs>
          <w:tab w:leader="none" w:pos="1289" w:val="left"/>
        </w:tabs>
        <w:numPr>
          <w:ilvl w:val="1"/>
          <w:numId w:val="181"/>
        </w:numPr>
        <w:rPr>
          <w:rFonts w:ascii="Arial" w:cs="Arial" w:eastAsia="Arial" w:hAnsi="Arial"/>
          <w:sz w:val="18"/>
          <w:szCs w:val="18"/>
          <w:color w:val="auto"/>
        </w:rPr>
      </w:pPr>
      <w:r>
        <w:rPr>
          <w:rFonts w:ascii="Arial" w:cs="Arial" w:eastAsia="Arial" w:hAnsi="Arial"/>
          <w:sz w:val="18"/>
          <w:szCs w:val="18"/>
          <w:b w:val="1"/>
          <w:bCs w:val="1"/>
          <w:u w:val="single" w:color="auto"/>
          <w:color w:val="auto"/>
        </w:rPr>
        <w:t>Return of the Company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request of the Company (or, without any request, upon termination of my</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Employee will immediately deliver to the Company (a) all the Company property that is then in Employee’s possession, custody or control, including, without limitation, all keys, access cards, cell phones, tablets, computer hardware including but not limited to any hard drives, external storage devices, diskettes, fobs, laptops, tablets, computers and personal data assistants (and the contents thereof), internet connectivity devices, computer software and programs, data, materials, papers, books, files, documents, records;</w:t>
      </w:r>
    </w:p>
    <w:p>
      <w:pPr>
        <w:spacing w:after="0" w:line="2" w:lineRule="exact"/>
        <w:rPr>
          <w:rFonts w:ascii="Arial" w:cs="Arial" w:eastAsia="Arial" w:hAnsi="Arial"/>
          <w:sz w:val="18"/>
          <w:szCs w:val="18"/>
          <w:color w:val="auto"/>
        </w:rPr>
      </w:pPr>
    </w:p>
    <w:p>
      <w:pPr>
        <w:jc w:val="both"/>
        <w:ind w:firstLine="8"/>
        <w:spacing w:after="0" w:line="258" w:lineRule="auto"/>
        <w:tabs>
          <w:tab w:leader="none" w:pos="30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any and all documents or other items containing, summarizing, or describing any Proprietary Information, including all originals and copies in whatever form; (c) any personal device that Employee synced with or used to access any the Company system for purpose of inspection and copying; and (d) a list of passwords or codes needed to operate or access any of the items referenced in this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7" w:right="339" w:bottom="1440" w:gutter="0" w:footer="0" w:header="0"/>
        </w:sectPr>
      </w:pPr>
    </w:p>
    <w:bookmarkStart w:id="196" w:name="page197"/>
    <w:bookmarkEnd w:id="196"/>
    <w:p>
      <w:pPr>
        <w:spacing w:after="0" w:line="220" w:lineRule="exact"/>
        <w:rPr>
          <w:sz w:val="20"/>
          <w:szCs w:val="20"/>
          <w:color w:val="auto"/>
        </w:rPr>
      </w:pPr>
    </w:p>
    <w:p>
      <w:pPr>
        <w:jc w:val="both"/>
        <w:ind w:firstLine="656"/>
        <w:spacing w:after="0" w:line="255" w:lineRule="auto"/>
        <w:tabs>
          <w:tab w:leader="none" w:pos="1289"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Promotional Materials.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authorizes and consents to, during the term of Employee’s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creation and/or use of Employee’s likeness as well as Employee’s name by the Company, and persons or organizations authorized by it, without reservation or limitation and without further consideration. Pursuant to this authorization and consent, the Company may, for example, use Employee’s likeness on its website, and publish and distribute advertising, sales, or other promotional literature containing a likeness of Employee in the course of performing Employee’s job duties. Employee also waives any cause of action for personal injury and/or property damage by virtue of the creation and use of such a likeness. Property rights to any likeness of Employee produced or prepared by the Company, or any person or organization authorized by it shall vest in and remain with the Company. As used herein, “likeness” shall include a photograph, photographic reproduction, audio transmission, audio recording, video transmission and/or video recording, as well as any other similar medium.</w:t>
      </w:r>
    </w:p>
    <w:p>
      <w:pPr>
        <w:spacing w:after="0" w:line="207" w:lineRule="exact"/>
        <w:rPr>
          <w:rFonts w:ascii="Arial" w:cs="Arial" w:eastAsia="Arial" w:hAnsi="Arial"/>
          <w:sz w:val="18"/>
          <w:szCs w:val="18"/>
          <w:color w:val="auto"/>
        </w:rPr>
      </w:pPr>
    </w:p>
    <w:p>
      <w:pPr>
        <w:ind w:firstLine="656"/>
        <w:spacing w:after="0" w:line="287" w:lineRule="auto"/>
        <w:tabs>
          <w:tab w:leader="none" w:pos="1289"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Fair Meaning.</w:t>
      </w:r>
      <w:r>
        <w:rPr>
          <w:rFonts w:ascii="Arial" w:cs="Arial" w:eastAsia="Arial" w:hAnsi="Arial"/>
          <w:sz w:val="18"/>
          <w:szCs w:val="18"/>
          <w:b w:val="1"/>
          <w:bCs w:val="1"/>
          <w:color w:val="auto"/>
        </w:rPr>
        <w:t xml:space="preserve"> </w:t>
      </w:r>
      <w:r>
        <w:rPr>
          <w:rFonts w:ascii="Arial" w:cs="Arial" w:eastAsia="Arial" w:hAnsi="Arial"/>
          <w:sz w:val="18"/>
          <w:szCs w:val="18"/>
          <w:color w:val="auto"/>
        </w:rPr>
        <w:t>The language of this Agreement shall be construed as a whole, according to its fair meaning, and not strictly</w:t>
      </w:r>
      <w:r>
        <w:rPr>
          <w:rFonts w:ascii="Arial" w:cs="Arial" w:eastAsia="Arial" w:hAnsi="Arial"/>
          <w:sz w:val="18"/>
          <w:szCs w:val="18"/>
          <w:b w:val="1"/>
          <w:bCs w:val="1"/>
          <w:color w:val="auto"/>
        </w:rPr>
        <w:t xml:space="preserve"> </w:t>
      </w:r>
      <w:r>
        <w:rPr>
          <w:rFonts w:ascii="Arial" w:cs="Arial" w:eastAsia="Arial" w:hAnsi="Arial"/>
          <w:sz w:val="18"/>
          <w:szCs w:val="18"/>
          <w:color w:val="auto"/>
        </w:rPr>
        <w:t>for or against any party.</w:t>
      </w:r>
    </w:p>
    <w:p>
      <w:pPr>
        <w:spacing w:after="0" w:line="179" w:lineRule="exact"/>
        <w:rPr>
          <w:rFonts w:ascii="Arial" w:cs="Arial" w:eastAsia="Arial" w:hAnsi="Arial"/>
          <w:sz w:val="18"/>
          <w:szCs w:val="18"/>
          <w:color w:val="auto"/>
        </w:rPr>
      </w:pPr>
    </w:p>
    <w:p>
      <w:pPr>
        <w:jc w:val="both"/>
        <w:ind w:firstLine="656"/>
        <w:spacing w:after="0" w:line="257" w:lineRule="auto"/>
        <w:tabs>
          <w:tab w:leader="none" w:pos="1289" w:val="left"/>
        </w:tabs>
        <w:numPr>
          <w:ilvl w:val="0"/>
          <w:numId w:val="18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Consideration.</w:t>
      </w:r>
      <w:r>
        <w:rPr>
          <w:rFonts w:ascii="Arial" w:cs="Arial" w:eastAsia="Arial" w:hAnsi="Arial"/>
          <w:sz w:val="18"/>
          <w:szCs w:val="18"/>
          <w:b w:val="1"/>
          <w:bCs w:val="1"/>
          <w:color w:val="auto"/>
        </w:rPr>
        <w:t xml:space="preserve"> Employee understands that the Company’s obligations under the Employment Agreement, as well as the provision of the additional consideration identified in the Preliminary Statement, are conditioned upon Employee signing this Agreement. Further, as a result of Employee’s employment, Employee shall be (or has been) given access to the Company’s Proprietary Information, provision of confidential information, opportunities for advancement, and opportunities to participate in confidential meetings and specialized training, which shall constitute independent consideration for the post-employment restrictions contained in this Agreement and would not be (or would not have been) given to Employee without Employee’s agreement to abide by the terms and conditions of this Agreement, including without limitation the ancillary obligations of confidentiality and non-disclosure.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By initialing below, Employee specifically acknowledges that Employee has read, understands and agrees to Section 19.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Employee initials: </w:t>
      </w:r>
      <w:r>
        <w:rPr>
          <w:rFonts w:ascii="Arial" w:cs="Arial" w:eastAsia="Arial" w:hAnsi="Arial"/>
          <w:sz w:val="18"/>
          <w:szCs w:val="18"/>
          <w:u w:val="single" w:color="auto"/>
          <w:color w:val="auto"/>
        </w:rPr>
        <w:t>SE</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8"/>
          <w:szCs w:val="18"/>
          <w:color w:val="auto"/>
        </w:rPr>
        <w:t>By executing this Agreement below, the parties confirm they have read, understood, and voluntarily agreed to be bound by the entire Agreement.</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320" w:type="dxa"/>
            <w:vAlign w:val="bottom"/>
            <w:gridSpan w:val="4"/>
          </w:tcPr>
          <w:p>
            <w:pPr>
              <w:ind w:left="60"/>
              <w:spacing w:after="0"/>
              <w:rPr>
                <w:sz w:val="20"/>
                <w:szCs w:val="20"/>
                <w:color w:val="auto"/>
              </w:rPr>
            </w:pPr>
            <w:r>
              <w:rPr>
                <w:rFonts w:ascii="Arial" w:cs="Arial" w:eastAsia="Arial" w:hAnsi="Arial"/>
                <w:sz w:val="18"/>
                <w:szCs w:val="18"/>
                <w:b w:val="1"/>
                <w:bCs w:val="1"/>
                <w:color w:val="auto"/>
              </w:rPr>
              <w:t>Reynolds Consumer Products LLC</w:t>
            </w:r>
          </w:p>
        </w:tc>
        <w:tc>
          <w:tcPr>
            <w:tcW w:w="3560" w:type="dxa"/>
            <w:vAlign w:val="bottom"/>
            <w:gridSpan w:val="2"/>
          </w:tcPr>
          <w:p>
            <w:pPr>
              <w:ind w:left="1300"/>
              <w:spacing w:after="0"/>
              <w:rPr>
                <w:sz w:val="20"/>
                <w:szCs w:val="20"/>
                <w:color w:val="auto"/>
              </w:rPr>
            </w:pPr>
            <w:r>
              <w:rPr>
                <w:rFonts w:ascii="Arial" w:cs="Arial" w:eastAsia="Arial" w:hAnsi="Arial"/>
                <w:sz w:val="18"/>
                <w:szCs w:val="18"/>
                <w:b w:val="1"/>
                <w:bCs w:val="1"/>
                <w:color w:val="auto"/>
              </w:rPr>
              <w:t>Employee: Steve Estes</w:t>
            </w:r>
          </w:p>
        </w:tc>
      </w:tr>
      <w:tr>
        <w:trPr>
          <w:trHeight w:val="194"/>
        </w:trPr>
        <w:tc>
          <w:tcPr>
            <w:tcW w:w="4320" w:type="dxa"/>
            <w:vAlign w:val="bottom"/>
            <w:gridSpan w:val="4"/>
          </w:tcPr>
          <w:p>
            <w:pPr>
              <w:ind w:left="60"/>
              <w:spacing w:after="0" w:line="195" w:lineRule="exact"/>
              <w:rPr>
                <w:sz w:val="20"/>
                <w:szCs w:val="20"/>
                <w:color w:val="auto"/>
              </w:rPr>
            </w:pPr>
            <w:r>
              <w:rPr>
                <w:rFonts w:ascii="Arial" w:cs="Arial" w:eastAsia="Arial" w:hAnsi="Arial"/>
                <w:sz w:val="18"/>
                <w:szCs w:val="18"/>
                <w:color w:val="auto"/>
              </w:rPr>
              <w:t>By:  /s/ Lance Mitchell</w:t>
            </w:r>
          </w:p>
        </w:tc>
        <w:tc>
          <w:tcPr>
            <w:tcW w:w="2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
        </w:trPr>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V. Lance Mitchell</w:t>
            </w:r>
          </w:p>
        </w:tc>
        <w:tc>
          <w:tcPr>
            <w:tcW w:w="3560" w:type="dxa"/>
            <w:vAlign w:val="bottom"/>
            <w:gridSpan w:val="2"/>
          </w:tcPr>
          <w:p>
            <w:pPr>
              <w:ind w:left="1360"/>
              <w:spacing w:after="0"/>
              <w:rPr>
                <w:sz w:val="20"/>
                <w:szCs w:val="20"/>
                <w:color w:val="auto"/>
              </w:rPr>
            </w:pPr>
            <w:r>
              <w:rPr>
                <w:rFonts w:ascii="Arial" w:cs="Arial" w:eastAsia="Arial" w:hAnsi="Arial"/>
                <w:sz w:val="18"/>
                <w:szCs w:val="18"/>
                <w:color w:val="auto"/>
                <w:w w:val="99"/>
              </w:rPr>
              <w:t>Print Name: /s/ Steve Estes</w:t>
            </w:r>
          </w:p>
        </w:tc>
      </w:tr>
      <w:tr>
        <w:trPr>
          <w:trHeight w:val="20"/>
        </w:trPr>
        <w:tc>
          <w:tcPr>
            <w:tcW w:w="580" w:type="dxa"/>
            <w:vAlign w:val="bottom"/>
            <w:gridSpan w:val="2"/>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r>
        <w:trPr>
          <w:trHeight w:val="281"/>
        </w:trPr>
        <w:tc>
          <w:tcPr>
            <w:tcW w:w="580" w:type="dxa"/>
            <w:vAlign w:val="bottom"/>
            <w:gridSpan w:val="2"/>
          </w:tcPr>
          <w:p>
            <w:pPr>
              <w:spacing w:after="0"/>
              <w:rPr>
                <w:sz w:val="20"/>
                <w:szCs w:val="20"/>
                <w:color w:val="auto"/>
              </w:rPr>
            </w:pPr>
            <w:r>
              <w:rPr>
                <w:rFonts w:ascii="Arial" w:cs="Arial" w:eastAsia="Arial" w:hAnsi="Arial"/>
                <w:sz w:val="18"/>
                <w:szCs w:val="18"/>
                <w:color w:val="auto"/>
              </w:rPr>
              <w:t>Date:</w:t>
            </w:r>
          </w:p>
        </w:tc>
        <w:tc>
          <w:tcPr>
            <w:tcW w:w="3740" w:type="dxa"/>
            <w:vAlign w:val="bottom"/>
            <w:gridSpan w:val="2"/>
          </w:tcPr>
          <w:p>
            <w:pPr>
              <w:ind w:left="60"/>
              <w:spacing w:after="0"/>
              <w:rPr>
                <w:sz w:val="20"/>
                <w:szCs w:val="20"/>
                <w:color w:val="auto"/>
              </w:rPr>
            </w:pPr>
            <w:r>
              <w:rPr>
                <w:rFonts w:ascii="Arial" w:cs="Arial" w:eastAsia="Arial" w:hAnsi="Arial"/>
                <w:sz w:val="18"/>
                <w:szCs w:val="18"/>
                <w:color w:val="auto"/>
              </w:rPr>
              <w:t>February 1, 2022</w:t>
            </w:r>
          </w:p>
        </w:tc>
        <w:tc>
          <w:tcPr>
            <w:tcW w:w="3560" w:type="dxa"/>
            <w:vAlign w:val="bottom"/>
            <w:gridSpan w:val="2"/>
          </w:tcPr>
          <w:p>
            <w:pPr>
              <w:ind w:left="1300"/>
              <w:spacing w:after="0"/>
              <w:rPr>
                <w:sz w:val="20"/>
                <w:szCs w:val="20"/>
                <w:color w:val="auto"/>
              </w:rPr>
            </w:pPr>
            <w:r>
              <w:rPr>
                <w:rFonts w:ascii="Arial" w:cs="Arial" w:eastAsia="Arial" w:hAnsi="Arial"/>
                <w:sz w:val="18"/>
                <w:szCs w:val="18"/>
                <w:color w:val="auto"/>
              </w:rPr>
              <w:t>Date:  February 1,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197" w:name="page198"/>
    <w:bookmarkEnd w:id="197"/>
    <w:p>
      <w:pPr>
        <w:jc w:val="center"/>
        <w:ind w:right="19"/>
        <w:spacing w:after="0"/>
        <w:rPr>
          <w:sz w:val="20"/>
          <w:szCs w:val="20"/>
          <w:color w:val="auto"/>
        </w:rPr>
      </w:pPr>
      <w:r>
        <w:rPr>
          <w:rFonts w:ascii="Arial" w:cs="Arial" w:eastAsia="Arial" w:hAnsi="Arial"/>
          <w:sz w:val="18"/>
          <w:szCs w:val="18"/>
          <w:b w:val="1"/>
          <w:bCs w:val="1"/>
          <w:color w:val="auto"/>
        </w:rPr>
        <w:t>Attachment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RCP Competitors</w:t>
      </w:r>
    </w:p>
    <w:p>
      <w:pPr>
        <w:spacing w:after="0" w:line="200" w:lineRule="exact"/>
        <w:rPr>
          <w:sz w:val="20"/>
          <w:szCs w:val="20"/>
          <w:color w:val="auto"/>
        </w:rPr>
      </w:pPr>
    </w:p>
    <w:p>
      <w:pPr>
        <w:spacing w:after="0" w:line="331" w:lineRule="exact"/>
        <w:rPr>
          <w:sz w:val="20"/>
          <w:szCs w:val="20"/>
          <w:color w:val="auto"/>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The Clorox Company</w:t>
      </w:r>
    </w:p>
    <w:p>
      <w:pPr>
        <w:spacing w:after="0" w:line="3"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S.C. Johnson &amp; Sons, Inc.</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Trinidad Benham Corporation</w:t>
      </w:r>
    </w:p>
    <w:p>
      <w:pPr>
        <w:spacing w:after="0" w:line="3"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Dart Container Corporation</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Handi-foil Corporation</w:t>
      </w:r>
    </w:p>
    <w:p>
      <w:pPr>
        <w:spacing w:after="0" w:line="3"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Durable Packaging, International</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Solo Cup Company</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Novellis</w:t>
      </w:r>
    </w:p>
    <w:p>
      <w:pPr>
        <w:spacing w:after="0" w:line="3"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Georgia Pacific</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Huhtamaki</w:t>
      </w:r>
    </w:p>
    <w:p>
      <w:pPr>
        <w:spacing w:after="0" w:line="3"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Newell/Rubbermaid</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Jarden</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Waddington</w:t>
      </w:r>
    </w:p>
    <w:p>
      <w:pPr>
        <w:spacing w:after="0" w:line="3"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CuBe</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Poly-America, Inc.</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Inteplast Group, Ltd.</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Waste Zero</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Petoskey</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Multibax</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King Pac Industrial</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Sunkor</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Threestone Packing</w:t>
      </w:r>
    </w:p>
    <w:p>
      <w:pPr>
        <w:spacing w:after="0" w:line="15" w:lineRule="exact"/>
        <w:rPr>
          <w:rFonts w:ascii="Times New Roman" w:cs="Times New Roman" w:eastAsia="Times New Roman" w:hAnsi="Times New Roman"/>
          <w:sz w:val="21"/>
          <w:szCs w:val="21"/>
          <w:color w:val="111111"/>
        </w:rPr>
      </w:pPr>
    </w:p>
    <w:p>
      <w:pPr>
        <w:ind w:left="1960" w:hanging="324"/>
        <w:spacing w:after="0"/>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Bagmait Packaging</w:t>
      </w:r>
    </w:p>
    <w:p>
      <w:pPr>
        <w:spacing w:after="0" w:line="4" w:lineRule="exact"/>
        <w:rPr>
          <w:rFonts w:ascii="Times New Roman" w:cs="Times New Roman" w:eastAsia="Times New Roman" w:hAnsi="Times New Roman"/>
          <w:sz w:val="21"/>
          <w:szCs w:val="21"/>
          <w:color w:val="111111"/>
        </w:rPr>
      </w:pPr>
    </w:p>
    <w:p>
      <w:pPr>
        <w:ind w:left="1960" w:hanging="324"/>
        <w:spacing w:after="0" w:line="237" w:lineRule="auto"/>
        <w:tabs>
          <w:tab w:leader="none" w:pos="1960" w:val="left"/>
        </w:tabs>
        <w:numPr>
          <w:ilvl w:val="0"/>
          <w:numId w:val="184"/>
        </w:numPr>
        <w:rPr>
          <w:rFonts w:ascii="Times New Roman" w:cs="Times New Roman" w:eastAsia="Times New Roman" w:hAnsi="Times New Roman"/>
          <w:sz w:val="21"/>
          <w:szCs w:val="21"/>
          <w:color w:val="111111"/>
        </w:rPr>
      </w:pPr>
      <w:r>
        <w:rPr>
          <w:rFonts w:ascii="Arial" w:cs="Arial" w:eastAsia="Arial" w:hAnsi="Arial"/>
          <w:sz w:val="18"/>
          <w:szCs w:val="18"/>
          <w:color w:val="auto"/>
        </w:rPr>
        <w:t>Thantawan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1417" w:right="1440" w:bottom="1440" w:gutter="0" w:footer="0" w:header="0"/>
        </w:sectPr>
      </w:pPr>
    </w:p>
    <w:bookmarkStart w:id="198" w:name="page199"/>
    <w:bookmarkEnd w:id="198"/>
    <w:p>
      <w:pPr>
        <w:ind w:left="5040"/>
        <w:spacing w:after="0"/>
        <w:rPr>
          <w:sz w:val="20"/>
          <w:szCs w:val="20"/>
          <w:color w:val="auto"/>
        </w:rPr>
      </w:pPr>
      <w:r>
        <w:rPr>
          <w:rFonts w:ascii="Arial" w:cs="Arial" w:eastAsia="Arial" w:hAnsi="Arial"/>
          <w:sz w:val="18"/>
          <w:szCs w:val="18"/>
          <w:b w:val="1"/>
          <w:bCs w:val="1"/>
          <w:color w:val="auto"/>
        </w:rPr>
        <w:t>Attachment B</w:t>
      </w:r>
    </w:p>
    <w:p>
      <w:pPr>
        <w:spacing w:after="0" w:line="200" w:lineRule="exact"/>
        <w:rPr>
          <w:sz w:val="20"/>
          <w:szCs w:val="20"/>
          <w:color w:val="auto"/>
        </w:rPr>
      </w:pPr>
    </w:p>
    <w:p>
      <w:pPr>
        <w:spacing w:after="0" w:line="295" w:lineRule="exact"/>
        <w:rPr>
          <w:sz w:val="20"/>
          <w:szCs w:val="20"/>
          <w:color w:val="auto"/>
        </w:rPr>
      </w:pPr>
    </w:p>
    <w:p>
      <w:pPr>
        <w:jc w:val="right"/>
        <w:ind w:right="1679"/>
        <w:spacing w:after="0"/>
        <w:rPr>
          <w:sz w:val="20"/>
          <w:szCs w:val="20"/>
          <w:color w:val="auto"/>
        </w:rPr>
      </w:pPr>
      <w:r>
        <w:rPr>
          <w:rFonts w:ascii="Arial" w:cs="Arial" w:eastAsia="Arial" w:hAnsi="Arial"/>
          <w:sz w:val="18"/>
          <w:szCs w:val="18"/>
          <w:b w:val="1"/>
          <w:bCs w:val="1"/>
          <w:u w:val="single" w:color="auto"/>
          <w:color w:val="auto"/>
        </w:rPr>
        <w:t>List of Confidential or Proprietary Information Belonging to Others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39"/>
          </w:cols>
          <w:pgMar w:left="320" w:top="1417" w:right="1440" w:bottom="1440" w:gutter="0" w:footer="0" w:header="0"/>
        </w:sectPr>
      </w:pPr>
    </w:p>
    <w:bookmarkStart w:id="199" w:name="page200"/>
    <w:bookmarkEnd w:id="199"/>
    <w:p>
      <w:pPr>
        <w:ind w:left="5040"/>
        <w:spacing w:after="0"/>
        <w:rPr>
          <w:sz w:val="20"/>
          <w:szCs w:val="20"/>
          <w:color w:val="auto"/>
        </w:rPr>
      </w:pPr>
      <w:r>
        <w:rPr>
          <w:rFonts w:ascii="Arial" w:cs="Arial" w:eastAsia="Arial" w:hAnsi="Arial"/>
          <w:sz w:val="18"/>
          <w:szCs w:val="18"/>
          <w:b w:val="1"/>
          <w:bCs w:val="1"/>
          <w:color w:val="auto"/>
        </w:rPr>
        <w:t>Attachment C</w:t>
      </w:r>
    </w:p>
    <w:p>
      <w:pPr>
        <w:spacing w:after="0" w:line="200" w:lineRule="exact"/>
        <w:rPr>
          <w:sz w:val="20"/>
          <w:szCs w:val="20"/>
          <w:color w:val="auto"/>
        </w:rPr>
      </w:pPr>
    </w:p>
    <w:p>
      <w:pPr>
        <w:spacing w:after="0" w:line="295" w:lineRule="exact"/>
        <w:rPr>
          <w:sz w:val="20"/>
          <w:szCs w:val="20"/>
          <w:color w:val="auto"/>
        </w:rPr>
      </w:pPr>
    </w:p>
    <w:p>
      <w:pPr>
        <w:jc w:val="right"/>
        <w:ind w:right="2779"/>
        <w:spacing w:after="0"/>
        <w:rPr>
          <w:sz w:val="20"/>
          <w:szCs w:val="20"/>
          <w:color w:val="auto"/>
        </w:rPr>
      </w:pPr>
      <w:r>
        <w:rPr>
          <w:rFonts w:ascii="Arial" w:cs="Arial" w:eastAsia="Arial" w:hAnsi="Arial"/>
          <w:sz w:val="18"/>
          <w:szCs w:val="18"/>
          <w:b w:val="1"/>
          <w:bCs w:val="1"/>
          <w:u w:val="single" w:color="auto"/>
          <w:color w:val="auto"/>
        </w:rPr>
        <w:t>List of Prior Inventions or Improvements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139"/>
          </w:cols>
          <w:pgMar w:left="320" w:top="1417" w:right="1440"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10.32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firstLine="8"/>
        <w:spacing w:after="0" w:line="312" w:lineRule="auto"/>
        <w:tabs>
          <w:tab w:leader="none" w:pos="278" w:val="left"/>
        </w:tabs>
        <w:numPr>
          <w:ilvl w:val="0"/>
          <w:numId w:val="185"/>
        </w:numPr>
        <w:rPr>
          <w:rFonts w:ascii="Arial" w:cs="Arial" w:eastAsia="Arial" w:hAnsi="Arial"/>
          <w:sz w:val="18"/>
          <w:szCs w:val="18"/>
          <w:b w:val="1"/>
          <w:bCs w:val="1"/>
          <w:color w:val="131313"/>
        </w:rPr>
      </w:pPr>
      <w:r>
        <w:rPr>
          <w:rFonts w:ascii="Arial" w:cs="Arial" w:eastAsia="Arial" w:hAnsi="Arial"/>
          <w:sz w:val="18"/>
          <w:szCs w:val="18"/>
          <w:b w:val="1"/>
          <w:bCs w:val="1"/>
          <w:color w:val="131313"/>
        </w:rPr>
        <w:t>– Text omitted pursuant to Item 601(b)(10)(iv) of Regulation S-K under the Securities Exchange Act of 1934, as amended, because it is not material and is of the type that the registrant treats as private or confidential.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PURCHASE SCHEDULE</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This Third Amendment (this “</w:t>
      </w:r>
      <w:r>
        <w:rPr>
          <w:rFonts w:ascii="Arial" w:cs="Arial" w:eastAsia="Arial" w:hAnsi="Arial"/>
          <w:sz w:val="18"/>
          <w:szCs w:val="18"/>
          <w:u w:val="single" w:color="auto"/>
          <w:color w:val="auto"/>
        </w:rPr>
        <w:t>Third Amendment</w:t>
      </w:r>
      <w:r>
        <w:rPr>
          <w:rFonts w:ascii="Arial" w:cs="Arial" w:eastAsia="Arial" w:hAnsi="Arial"/>
          <w:sz w:val="18"/>
          <w:szCs w:val="18"/>
          <w:color w:val="auto"/>
        </w:rPr>
        <w:t>”), dated as of December 3, 2024 (the “</w:t>
      </w:r>
      <w:r>
        <w:rPr>
          <w:rFonts w:ascii="Arial" w:cs="Arial" w:eastAsia="Arial" w:hAnsi="Arial"/>
          <w:sz w:val="18"/>
          <w:szCs w:val="18"/>
          <w:u w:val="single" w:color="auto"/>
          <w:color w:val="auto"/>
        </w:rPr>
        <w:t>Third Amendment Effective Date</w:t>
      </w:r>
      <w:r>
        <w:rPr>
          <w:rFonts w:ascii="Arial" w:cs="Arial" w:eastAsia="Arial" w:hAnsi="Arial"/>
          <w:sz w:val="18"/>
          <w:szCs w:val="18"/>
          <w:color w:val="auto"/>
        </w:rPr>
        <w:t>”), amends that certain Purchase Schedule dated November 1, 2019 (the “</w:t>
      </w:r>
      <w:r>
        <w:rPr>
          <w:rFonts w:ascii="Arial" w:cs="Arial" w:eastAsia="Arial" w:hAnsi="Arial"/>
          <w:sz w:val="18"/>
          <w:szCs w:val="18"/>
          <w:u w:val="single" w:color="auto"/>
          <w:color w:val="auto"/>
        </w:rPr>
        <w:t>Purchase Schedule</w:t>
      </w:r>
      <w:r>
        <w:rPr>
          <w:rFonts w:ascii="Arial" w:cs="Arial" w:eastAsia="Arial" w:hAnsi="Arial"/>
          <w:sz w:val="18"/>
          <w:szCs w:val="18"/>
          <w:color w:val="auto"/>
        </w:rPr>
        <w:t>”) to the Master Supply Agreement dated November 1, 2019 (the “</w:t>
      </w:r>
      <w:r>
        <w:rPr>
          <w:rFonts w:ascii="Arial" w:cs="Arial" w:eastAsia="Arial" w:hAnsi="Arial"/>
          <w:sz w:val="18"/>
          <w:szCs w:val="18"/>
          <w:u w:val="single" w:color="auto"/>
          <w:color w:val="auto"/>
        </w:rPr>
        <w:t>Agreement</w:t>
      </w:r>
      <w:r>
        <w:rPr>
          <w:rFonts w:ascii="Arial" w:cs="Arial" w:eastAsia="Arial" w:hAnsi="Arial"/>
          <w:sz w:val="18"/>
          <w:szCs w:val="18"/>
          <w:color w:val="auto"/>
        </w:rPr>
        <w:t>”), as amended by that certain Amendment to Purchase Schedule dated January 15, 2022 and Second Amendment to</w:t>
      </w:r>
    </w:p>
    <w:p>
      <w:pPr>
        <w:spacing w:after="0" w:line="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Purchase Schedule dated March 31, 2023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between Pactiv LLC (“</w:t>
      </w:r>
      <w:r>
        <w:rPr>
          <w:rFonts w:ascii="Arial" w:cs="Arial" w:eastAsia="Arial" w:hAnsi="Arial"/>
          <w:sz w:val="18"/>
          <w:szCs w:val="18"/>
          <w:u w:val="single" w:color="auto"/>
          <w:color w:val="auto"/>
        </w:rPr>
        <w:t>Seller</w:t>
      </w:r>
      <w:r>
        <w:rPr>
          <w:rFonts w:ascii="Arial" w:cs="Arial" w:eastAsia="Arial" w:hAnsi="Arial"/>
          <w:sz w:val="18"/>
          <w:szCs w:val="18"/>
          <w:color w:val="auto"/>
        </w:rPr>
        <w:t>”) and Reynolds Consumer Products LLC (“</w:t>
      </w:r>
      <w:r>
        <w:rPr>
          <w:rFonts w:ascii="Arial" w:cs="Arial" w:eastAsia="Arial" w:hAnsi="Arial"/>
          <w:sz w:val="18"/>
          <w:szCs w:val="18"/>
          <w:u w:val="single" w:color="auto"/>
          <w:color w:val="auto"/>
        </w:rPr>
        <w:t>Buyer</w:t>
      </w:r>
      <w:r>
        <w:rPr>
          <w:rFonts w:ascii="Arial" w:cs="Arial" w:eastAsia="Arial" w:hAnsi="Arial"/>
          <w:sz w:val="18"/>
          <w:szCs w:val="18"/>
          <w:color w:val="auto"/>
        </w:rPr>
        <w:t>”). The Parties agree as follows:</w:t>
      </w:r>
    </w:p>
    <w:p>
      <w:pPr>
        <w:spacing w:after="0" w:line="180" w:lineRule="exact"/>
        <w:rPr>
          <w:sz w:val="20"/>
          <w:szCs w:val="20"/>
          <w:color w:val="auto"/>
        </w:rPr>
      </w:pPr>
    </w:p>
    <w:p>
      <w:pPr>
        <w:ind w:right="20" w:firstLine="8"/>
        <w:spacing w:after="0" w:line="287" w:lineRule="auto"/>
        <w:tabs>
          <w:tab w:leader="none" w:pos="350"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Capitalized terms and phrases not otherwise defined in this Third Amendment will have the same meaning ascribed to them</w:t>
      </w:r>
      <w:r>
        <w:rPr>
          <w:rFonts w:ascii="Arial" w:cs="Arial" w:eastAsia="Arial" w:hAnsi="Arial"/>
          <w:sz w:val="18"/>
          <w:szCs w:val="18"/>
          <w:b w:val="1"/>
          <w:bCs w:val="1"/>
          <w:color w:val="auto"/>
        </w:rPr>
        <w:t xml:space="preserve"> </w:t>
      </w:r>
      <w:r>
        <w:rPr>
          <w:rFonts w:ascii="Arial" w:cs="Arial" w:eastAsia="Arial" w:hAnsi="Arial"/>
          <w:sz w:val="18"/>
          <w:szCs w:val="18"/>
          <w:color w:val="auto"/>
        </w:rPr>
        <w:t>in the Agreement, including the Purchase Schedule, as amended.</w:t>
      </w:r>
    </w:p>
    <w:p>
      <w:pPr>
        <w:spacing w:after="0" w:line="179" w:lineRule="exact"/>
        <w:rPr>
          <w:rFonts w:ascii="Arial" w:cs="Arial" w:eastAsia="Arial" w:hAnsi="Arial"/>
          <w:sz w:val="18"/>
          <w:szCs w:val="18"/>
          <w:color w:val="auto"/>
        </w:rPr>
      </w:pPr>
    </w:p>
    <w:p>
      <w:pPr>
        <w:ind w:firstLine="8"/>
        <w:spacing w:after="0" w:line="287" w:lineRule="auto"/>
        <w:tabs>
          <w:tab w:leader="none" w:pos="417" w:val="left"/>
        </w:tabs>
        <w:numPr>
          <w:ilvl w:val="0"/>
          <w:numId w:val="186"/>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Foam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Purchase Schedule, as amended, is further amended by adding the following language to the end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 of the Second Amendment:</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anything to the contrary contained in the Agreement (including the Purchase Schedule), because Buyer has forecasted that it will purchase less than [*] pounds of polystyrene foam Products in calendar year 2024, having regard to clause (i) of the fifth sentence of this Section 6, Buyer shall be required to pay to Seller [*], to be paid to Seller in four (4) equal installments of [*] on the following dates: March 31, 2025, June 30, 2025, September 30, 2025 and December 31, 2025. For the avoidance of doubt, this does not change or modify Buyer’s purchase commitments beyond calendar year 2024 (as required by this Section 6).”</w:t>
      </w:r>
    </w:p>
    <w:p>
      <w:pPr>
        <w:spacing w:after="0" w:line="206" w:lineRule="exact"/>
        <w:rPr>
          <w:sz w:val="20"/>
          <w:szCs w:val="20"/>
          <w:color w:val="auto"/>
        </w:rPr>
      </w:pPr>
    </w:p>
    <w:p>
      <w:pPr>
        <w:ind w:left="500" w:hanging="492"/>
        <w:spacing w:after="0"/>
        <w:tabs>
          <w:tab w:leader="none" w:pos="500" w:val="left"/>
        </w:tabs>
        <w:numPr>
          <w:ilvl w:val="0"/>
          <w:numId w:val="187"/>
        </w:numPr>
        <w:rPr>
          <w:rFonts w:ascii="Arial" w:cs="Arial" w:eastAsia="Arial" w:hAnsi="Arial"/>
          <w:sz w:val="18"/>
          <w:szCs w:val="18"/>
          <w:color w:val="auto"/>
        </w:rPr>
      </w:pPr>
      <w:r>
        <w:rPr>
          <w:rFonts w:ascii="Arial" w:cs="Arial" w:eastAsia="Arial" w:hAnsi="Arial"/>
          <w:sz w:val="18"/>
          <w:szCs w:val="18"/>
          <w:b w:val="1"/>
          <w:bCs w:val="1"/>
          <w:u w:val="single" w:color="auto"/>
          <w:color w:val="auto"/>
        </w:rPr>
        <w:t>No Other Modifications</w:t>
      </w:r>
      <w:r>
        <w:rPr>
          <w:rFonts w:ascii="Arial" w:cs="Arial" w:eastAsia="Arial" w:hAnsi="Arial"/>
          <w:sz w:val="18"/>
          <w:szCs w:val="18"/>
          <w:color w:val="auto"/>
        </w:rPr>
        <w:t>. The terms of the Agreement, including the Purchase Schedule, as amended, remain in full force and effect.</w:t>
      </w:r>
    </w:p>
    <w:p>
      <w:pPr>
        <w:spacing w:after="0" w:line="252" w:lineRule="exact"/>
        <w:rPr>
          <w:sz w:val="20"/>
          <w:szCs w:val="20"/>
          <w:color w:val="auto"/>
        </w:rPr>
      </w:pPr>
    </w:p>
    <w:p>
      <w:pPr>
        <w:jc w:val="both"/>
        <w:ind w:firstLine="8"/>
        <w:spacing w:after="0" w:line="262" w:lineRule="auto"/>
        <w:tabs>
          <w:tab w:leader="none" w:pos="440" w:val="left"/>
        </w:tabs>
        <w:numPr>
          <w:ilvl w:val="0"/>
          <w:numId w:val="18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Third Amendment may be executed in several counterparts, each of which shall be deemed an original and all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shall together constitute one and the same instrument. Delivery of an executed counterpart of a signature page to this Third Amendment by electronic signature, facsimile or scanned pages shall be effective as delivery of a manually executed counterpart to this Third Amendment.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Third Amendment as of the Third Amendment Effective Date.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Pactiv LLC</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Michael King</w:t>
      </w:r>
    </w:p>
    <w:p>
      <w:pPr>
        <w:spacing w:after="0" w:line="2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Michael King</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Reynolds Consumer Products LLC</w:t>
      </w:r>
    </w:p>
    <w:p>
      <w:pPr>
        <w:spacing w:after="0" w:line="252"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Scott Huckins</w:t>
      </w:r>
    </w:p>
    <w:p>
      <w:pPr>
        <w:spacing w:after="0" w:line="2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Scott Huckins</w:t>
      </w:r>
    </w:p>
    <w:p>
      <w:pPr>
        <w:spacing w:after="0" w:line="9"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1240"/>
          </w:cols>
          <w:pgMar w:left="320" w:top="117"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120"/>
        <w:spacing w:after="0"/>
        <w:rPr>
          <w:sz w:val="20"/>
          <w:szCs w:val="20"/>
          <w:color w:val="auto"/>
        </w:rPr>
      </w:pPr>
      <w:r>
        <w:rPr>
          <w:rFonts w:ascii="Calibri" w:cs="Calibri" w:eastAsia="Calibri" w:hAnsi="Calibri"/>
          <w:sz w:val="28"/>
          <w:szCs w:val="28"/>
          <w:b w:val="1"/>
          <w:bCs w:val="1"/>
          <w:color w:val="auto"/>
        </w:rPr>
        <w:t>REYNOLDS CONSUMER PRODUCTS INC.</w:t>
      </w:r>
    </w:p>
    <w:p>
      <w:pPr>
        <w:spacing w:after="0" w:line="202" w:lineRule="exact"/>
        <w:rPr>
          <w:sz w:val="20"/>
          <w:szCs w:val="20"/>
          <w:color w:val="auto"/>
        </w:rPr>
      </w:pPr>
    </w:p>
    <w:p>
      <w:pPr>
        <w:ind w:left="3240"/>
        <w:spacing w:after="0"/>
        <w:rPr>
          <w:sz w:val="20"/>
          <w:szCs w:val="20"/>
          <w:color w:val="auto"/>
        </w:rPr>
      </w:pPr>
      <w:r>
        <w:rPr>
          <w:rFonts w:ascii="Calibri" w:cs="Calibri" w:eastAsia="Calibri" w:hAnsi="Calibri"/>
          <w:sz w:val="29"/>
          <w:szCs w:val="29"/>
          <w:b w:val="1"/>
          <w:bCs w:val="1"/>
          <w:color w:val="auto"/>
        </w:rPr>
        <w:t>Insider Trading Policy</w:t>
      </w:r>
    </w:p>
    <w:p>
      <w:pPr>
        <w:spacing w:after="0" w:line="253" w:lineRule="exact"/>
        <w:rPr>
          <w:sz w:val="20"/>
          <w:szCs w:val="20"/>
          <w:color w:val="auto"/>
        </w:rPr>
      </w:pPr>
    </w:p>
    <w:p>
      <w:pPr>
        <w:ind w:left="3440"/>
        <w:spacing w:after="0"/>
        <w:rPr>
          <w:sz w:val="20"/>
          <w:szCs w:val="20"/>
          <w:color w:val="auto"/>
        </w:rPr>
      </w:pPr>
      <w:r>
        <w:rPr>
          <w:rFonts w:ascii="Calibri" w:cs="Calibri" w:eastAsia="Calibri" w:hAnsi="Calibri"/>
          <w:sz w:val="22"/>
          <w:szCs w:val="22"/>
          <w:color w:val="auto"/>
        </w:rPr>
        <w:t>Amended April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460"/>
        <w:spacing w:after="0"/>
        <w:rPr>
          <w:sz w:val="20"/>
          <w:szCs w:val="20"/>
          <w:color w:val="auto"/>
        </w:rPr>
      </w:pPr>
      <w:r>
        <w:rPr>
          <w:rFonts w:ascii="Calibri" w:cs="Calibri" w:eastAsia="Calibri" w:hAnsi="Calibri"/>
          <w:sz w:val="20"/>
          <w:szCs w:val="20"/>
          <w:color w:val="auto"/>
        </w:rPr>
        <w:t>1</w:t>
      </w:r>
    </w:p>
    <w:p>
      <w:pPr>
        <w:sectPr>
          <w:pgSz w:w="11900" w:h="16838" w:orient="portrait"/>
          <w:cols w:equalWidth="0" w:num="1">
            <w:col w:w="10120"/>
          </w:cols>
          <w:pgMar w:left="1440" w:top="117" w:right="339" w:bottom="1440" w:gutter="0" w:footer="0" w:header="0"/>
        </w:sectPr>
      </w:pPr>
    </w:p>
    <w:bookmarkStart w:id="202" w:name="page203"/>
    <w:bookmarkEnd w:id="202"/>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 SUMMARY OF POLICY CONCERNING TRADING IN COMPANY SECURITIES</w:t>
      </w:r>
    </w:p>
    <w:p>
      <w:pPr>
        <w:spacing w:after="0" w:line="265" w:lineRule="exact"/>
        <w:rPr>
          <w:sz w:val="20"/>
          <w:szCs w:val="20"/>
          <w:color w:val="auto"/>
        </w:rPr>
      </w:pPr>
    </w:p>
    <w:p>
      <w:pPr>
        <w:jc w:val="both"/>
        <w:ind w:right="20"/>
        <w:spacing w:after="0" w:line="271" w:lineRule="auto"/>
        <w:rPr>
          <w:sz w:val="20"/>
          <w:szCs w:val="20"/>
          <w:color w:val="auto"/>
        </w:rPr>
      </w:pPr>
      <w:r>
        <w:rPr>
          <w:rFonts w:ascii="Calibri" w:cs="Calibri" w:eastAsia="Calibri" w:hAnsi="Calibri"/>
          <w:sz w:val="20"/>
          <w:szCs w:val="20"/>
          <w:color w:val="auto"/>
        </w:rPr>
        <w:t>It is Reynolds Consumer Products Inc.’s and its subsidiaries’ (collectvely, the “Company”) policy that it will, without excepton, comply with all applicable laws and regulatons in conductng its business. Each employee, director, ofcer, consultant and other agent of the Company, including their immediate family members, persons with whom they share a household, their economic dependents and any other individuals or enttes whose securites trading they infuence, direct or control, is expected to abide by this policy. When carrying out Company business, employees, directors, ofcers, consultants and other agents must avoid any actvity that violates applicable laws or regulatons. In order to avoid even an appearance of impropriety, the Company’s directors, ofcers and certain other employees are subject to pre-approval requirements and other limitatons on their ability to enter into transactons involving the Company’s securites. Although these limitatons do not apply to transactons pursuant to writen plans for trading securites that comply with Rule 10b5-1 under the Securites Exchange Act of 1934 (the “Exchange Act”), the entry into, amendment or terminaton of any such writen trading plan is subject to pre-approval requirements and other limitatons.</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II. THE USE OF INSIDE INFORMATION IN CONNECTION WITH TRADING IN SECURITIES</w:t>
      </w:r>
    </w:p>
    <w:p>
      <w:pPr>
        <w:spacing w:after="0" w:line="269"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i w:val="1"/>
          <w:iCs w:val="1"/>
          <w:color w:val="auto"/>
        </w:rPr>
        <w:t>A. General Rule.</w:t>
      </w:r>
    </w:p>
    <w:p>
      <w:pPr>
        <w:spacing w:after="0" w:line="198" w:lineRule="exact"/>
        <w:rPr>
          <w:sz w:val="20"/>
          <w:szCs w:val="20"/>
          <w:color w:val="auto"/>
        </w:rPr>
      </w:pPr>
    </w:p>
    <w:p>
      <w:pPr>
        <w:jc w:val="both"/>
        <w:ind w:right="20"/>
        <w:spacing w:after="0" w:line="267" w:lineRule="auto"/>
        <w:rPr>
          <w:sz w:val="20"/>
          <w:szCs w:val="20"/>
          <w:color w:val="auto"/>
        </w:rPr>
      </w:pPr>
      <w:r>
        <w:rPr>
          <w:rFonts w:ascii="Calibri" w:cs="Calibri" w:eastAsia="Calibri" w:hAnsi="Calibri"/>
          <w:sz w:val="20"/>
          <w:szCs w:val="20"/>
          <w:color w:val="auto"/>
        </w:rPr>
        <w:t>The U.S. securites laws regulate the sale and purchase of securites in the interest of protectng the investng public. U.S. securites laws give the Company, its ofcers and directors, and other employees the responsibility to ensure that informaton about the Company is not used unlawfully in the purchase and sale of securites.</w:t>
      </w:r>
    </w:p>
    <w:p>
      <w:pPr>
        <w:spacing w:after="0" w:line="252" w:lineRule="exact"/>
        <w:rPr>
          <w:sz w:val="20"/>
          <w:szCs w:val="20"/>
          <w:color w:val="auto"/>
        </w:rPr>
      </w:pPr>
    </w:p>
    <w:p>
      <w:pPr>
        <w:jc w:val="both"/>
        <w:ind w:right="20"/>
        <w:spacing w:after="0" w:line="269" w:lineRule="auto"/>
        <w:rPr>
          <w:sz w:val="20"/>
          <w:szCs w:val="20"/>
          <w:color w:val="auto"/>
        </w:rPr>
      </w:pPr>
      <w:r>
        <w:rPr>
          <w:rFonts w:ascii="Calibri" w:cs="Calibri" w:eastAsia="Calibri" w:hAnsi="Calibri"/>
          <w:sz w:val="20"/>
          <w:szCs w:val="20"/>
          <w:color w:val="auto"/>
        </w:rPr>
        <w:t>All employees, directors, ofcers, consultants and other agents of the Company should pay partcularly close atenton to the laws against trading on “inside” informaton. These laws are based upon the belief that all persons trading in a company’s securites should have equal access to all “material” informaton about that company. For example, if an employee or a director of a company knows material non-public fnancial informaton, that employee or director is prohibited from buying or selling shares in the company untl the informaton has been disclosed to the public. This is because the employee or director knows informaton that will probably cause the share price to change, and it would be unfair for the employee or director to have an advantage (knowledge that the share price will change) that the rest of the investng public does not have. In fact, it is more than unfair; it is fraudulent and illegal. Civil and criminal penaltes for this kind of actvity are severe.</w:t>
      </w:r>
    </w:p>
    <w:p>
      <w:pPr>
        <w:spacing w:after="0" w:line="241" w:lineRule="exact"/>
        <w:rPr>
          <w:sz w:val="20"/>
          <w:szCs w:val="20"/>
          <w:color w:val="auto"/>
        </w:rPr>
      </w:pPr>
    </w:p>
    <w:p>
      <w:pPr>
        <w:jc w:val="both"/>
        <w:spacing w:after="0" w:line="271" w:lineRule="auto"/>
        <w:rPr>
          <w:sz w:val="20"/>
          <w:szCs w:val="20"/>
          <w:color w:val="auto"/>
        </w:rPr>
      </w:pPr>
      <w:r>
        <w:rPr>
          <w:rFonts w:ascii="Calibri" w:cs="Calibri" w:eastAsia="Calibri" w:hAnsi="Calibri"/>
          <w:sz w:val="20"/>
          <w:szCs w:val="20"/>
          <w:color w:val="auto"/>
        </w:rPr>
        <w:t>The general rule can be stated as follows: It is a violaton of federal securites laws for any person to buy or sell securites if he or she has material non-public informaton. Informaton is material if there is a substantal likelihood that a reasonable investor would consider it important in making an investment decision or would view the informaton as signifcantly altering the total mix of informaton in the marketplace. It is non-public informaton if it has not been publicly disclosed in a manner making it available to investors generally on a broad-based non-exclusionary basis. Furthermore, it is illegal for any person having material non-public informaton to provide other people with such informaton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0860"/>
          </w:cols>
          <w:pgMar w:left="320" w:top="1440" w:right="719" w:bottom="1440" w:gutter="0" w:footer="0" w:header="0"/>
        </w:sectPr>
      </w:pPr>
    </w:p>
    <w:bookmarkStart w:id="203" w:name="page204"/>
    <w:bookmarkEnd w:id="203"/>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alibri" w:cs="Calibri" w:eastAsia="Calibri" w:hAnsi="Calibri"/>
          <w:sz w:val="20"/>
          <w:szCs w:val="20"/>
          <w:color w:val="auto"/>
        </w:rPr>
        <w:t>recommend that they buy or sell the securites. (This is called “tpping”). In that case, they may both be held liable.</w:t>
      </w:r>
    </w:p>
    <w:p>
      <w:pPr>
        <w:spacing w:after="0" w:line="265" w:lineRule="exact"/>
        <w:rPr>
          <w:sz w:val="20"/>
          <w:szCs w:val="20"/>
          <w:color w:val="auto"/>
        </w:rPr>
      </w:pPr>
    </w:p>
    <w:p>
      <w:pPr>
        <w:jc w:val="both"/>
        <w:spacing w:after="0" w:line="272" w:lineRule="auto"/>
        <w:rPr>
          <w:sz w:val="20"/>
          <w:szCs w:val="20"/>
          <w:color w:val="auto"/>
        </w:rPr>
      </w:pPr>
      <w:r>
        <w:rPr>
          <w:rFonts w:ascii="Calibri" w:cs="Calibri" w:eastAsia="Calibri" w:hAnsi="Calibri"/>
          <w:sz w:val="20"/>
          <w:szCs w:val="20"/>
          <w:color w:val="auto"/>
        </w:rPr>
        <w:t>The Securites and Exchange Commission (the “SEC”), the stock exchanges and plaintfs’ lawyers focus on uncovering insider trading. A breach of the insider trading laws could expose the insider to substantal criminal fnes and terms of imprisonment, in additon to civil penaltes and injunctve actons. In additon, punitve damages may be imposed under applicable state laws. Securites laws also subject controlling persons to civil penaltes for illegal insider trading by employees, including employees located outside the United States. Controlling persons include directors, ofcers, and supervisors.</w:t>
      </w:r>
    </w:p>
    <w:p>
      <w:pPr>
        <w:spacing w:after="0" w:line="237" w:lineRule="exact"/>
        <w:rPr>
          <w:sz w:val="20"/>
          <w:szCs w:val="20"/>
          <w:color w:val="auto"/>
        </w:rPr>
      </w:pPr>
    </w:p>
    <w:p>
      <w:pPr>
        <w:jc w:val="both"/>
        <w:ind w:right="20"/>
        <w:spacing w:after="0" w:line="266" w:lineRule="auto"/>
        <w:rPr>
          <w:sz w:val="20"/>
          <w:szCs w:val="20"/>
          <w:color w:val="auto"/>
        </w:rPr>
      </w:pPr>
      <w:r>
        <w:rPr>
          <w:rFonts w:ascii="Calibri" w:cs="Calibri" w:eastAsia="Calibri" w:hAnsi="Calibri"/>
          <w:sz w:val="20"/>
          <w:szCs w:val="20"/>
          <w:color w:val="auto"/>
        </w:rPr>
        <w:t>Inside informaton does not belong to the individual directors, ofcers, employees, consultants and other agents who may handle it or otherwise become knowledgeable about it. It is an asset of the Company. For any person to use such informaton for personal beneft or to disclose it to others outside the Company violates the Company’s interests and is a fraud against members of the investng public and the Company.</w:t>
      </w:r>
    </w:p>
    <w:p>
      <w:pPr>
        <w:spacing w:after="0" w:line="244"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i w:val="1"/>
          <w:iCs w:val="1"/>
          <w:color w:val="auto"/>
        </w:rPr>
        <w:t>B. To Whom Does the Policy Apply?</w:t>
      </w:r>
    </w:p>
    <w:p>
      <w:pPr>
        <w:spacing w:after="0" w:line="198" w:lineRule="exact"/>
        <w:rPr>
          <w:sz w:val="20"/>
          <w:szCs w:val="20"/>
          <w:color w:val="auto"/>
        </w:rPr>
      </w:pPr>
    </w:p>
    <w:p>
      <w:pPr>
        <w:jc w:val="both"/>
        <w:ind w:right="20"/>
        <w:spacing w:after="0" w:line="272" w:lineRule="auto"/>
        <w:rPr>
          <w:sz w:val="20"/>
          <w:szCs w:val="20"/>
          <w:color w:val="auto"/>
        </w:rPr>
      </w:pPr>
      <w:r>
        <w:rPr>
          <w:rFonts w:ascii="Calibri" w:cs="Calibri" w:eastAsia="Calibri" w:hAnsi="Calibri"/>
          <w:sz w:val="20"/>
          <w:szCs w:val="20"/>
          <w:color w:val="auto"/>
        </w:rPr>
        <w:t>The provisions of this policy, including the prohibiton against trading on inside informaton, apply to all employees, directors, ofcers, consultants and other agents of the Company and to other people who gain access to that informaton, including their immediate family members, persons with whom they share a household, their economic dependents and any other individuals or enttes whose securites trading they infuence, direct or control, in each case whether domestc or internatonal (collectvely, “Covered Persons”). Each employee, director, ofcer, consultant and other agent of the Company is responsible for ensuring that these other individuals and enttes comply with this policy. Because of their potental ability to access to confdental informaton on a regular basis, Company policy subjects its directors and certain employees to additonal restrictons on trading in Company securites, which are discussed below. In additon, the General Counsel may impose ad hoc restrictons on trading on individual Covered Persons with inside knowledge of material informaton from tme to tme. Please note that portons of this policy contnue to apply to Covered Persons even afer their departure from the Company, and even afer they no longer have any material nonpublic informaton.</w:t>
      </w: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i w:val="1"/>
          <w:iCs w:val="1"/>
          <w:color w:val="auto"/>
        </w:rPr>
        <w:t>C. Other Companies’ Stock.</w:t>
      </w:r>
    </w:p>
    <w:p>
      <w:pPr>
        <w:spacing w:after="0" w:line="198" w:lineRule="exact"/>
        <w:rPr>
          <w:sz w:val="20"/>
          <w:szCs w:val="20"/>
          <w:color w:val="auto"/>
        </w:rPr>
      </w:pPr>
    </w:p>
    <w:p>
      <w:pPr>
        <w:jc w:val="both"/>
        <w:ind w:right="20"/>
        <w:spacing w:after="0" w:line="273" w:lineRule="auto"/>
        <w:rPr>
          <w:sz w:val="20"/>
          <w:szCs w:val="20"/>
          <w:color w:val="auto"/>
        </w:rPr>
      </w:pPr>
      <w:r>
        <w:rPr>
          <w:rFonts w:ascii="Calibri" w:cs="Calibri" w:eastAsia="Calibri" w:hAnsi="Calibri"/>
          <w:sz w:val="20"/>
          <w:szCs w:val="20"/>
          <w:color w:val="auto"/>
        </w:rPr>
        <w:t>Covered Persons who learn material informaton about suppliers, customers, or compettors through their involvement with the Company, shall keep it confdental and not buy or sell stock in such companies untl the informaton becomes public. Covered Persons shall not give tps about such stock.</w:t>
      </w:r>
    </w:p>
    <w:p>
      <w:pPr>
        <w:spacing w:after="0" w:line="224"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i w:val="1"/>
          <w:iCs w:val="1"/>
          <w:color w:val="auto"/>
        </w:rPr>
        <w:t>D. Hedging and Derivatves.</w:t>
      </w:r>
    </w:p>
    <w:p>
      <w:pPr>
        <w:spacing w:after="0" w:line="198" w:lineRule="exact"/>
        <w:rPr>
          <w:sz w:val="20"/>
          <w:szCs w:val="20"/>
          <w:color w:val="auto"/>
        </w:rPr>
      </w:pPr>
    </w:p>
    <w:p>
      <w:pPr>
        <w:jc w:val="both"/>
        <w:ind w:right="20"/>
        <w:spacing w:after="0" w:line="273" w:lineRule="auto"/>
        <w:rPr>
          <w:sz w:val="20"/>
          <w:szCs w:val="20"/>
          <w:color w:val="auto"/>
        </w:rPr>
      </w:pPr>
      <w:r>
        <w:rPr>
          <w:rFonts w:ascii="Calibri" w:cs="Calibri" w:eastAsia="Calibri" w:hAnsi="Calibri"/>
          <w:sz w:val="20"/>
          <w:szCs w:val="20"/>
          <w:color w:val="auto"/>
        </w:rPr>
        <w:t>Covered Persons are prohibited from engaging in any hedging transactons (including transactons involving optons, puts, calls, prepaid variable forward contracts, equity swaps, collars and exchange funds or other derivatves) involving the Company’s securites or that are otherwise designed to hedge or speculate on the Company’s securites.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860"/>
          </w:cols>
          <w:pgMar w:left="320" w:top="1440" w:right="719" w:bottom="1440" w:gutter="0" w:footer="0" w:header="0"/>
        </w:sectPr>
      </w:pPr>
    </w:p>
    <w:bookmarkStart w:id="204" w:name="page205"/>
    <w:bookmarkEnd w:id="204"/>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Calibri" w:cs="Calibri" w:eastAsia="Calibri" w:hAnsi="Calibri"/>
          <w:sz w:val="20"/>
          <w:szCs w:val="20"/>
          <w:color w:val="auto"/>
        </w:rPr>
        <w:t>Trading in optons or other derivatves is generally highly speculatve and very risky. People who buy optons are betng that the stock price will move rapidly. For that reason, when a person trades in optons in his or her employer’s stock, it will arouse suspicion in the eyes of the SEC that the person was trading on the basis of inside informaton, partcularly where the trading occurs before a company announcement or major event. It is difcult for an employee or director to prove that he or she did not know about the announcement or event.</w:t>
      </w:r>
    </w:p>
    <w:p>
      <w:pPr>
        <w:spacing w:after="0" w:line="252" w:lineRule="exact"/>
        <w:rPr>
          <w:sz w:val="20"/>
          <w:szCs w:val="20"/>
          <w:color w:val="auto"/>
        </w:rPr>
      </w:pPr>
    </w:p>
    <w:p>
      <w:pPr>
        <w:jc w:val="both"/>
        <w:spacing w:after="0" w:line="269" w:lineRule="auto"/>
        <w:rPr>
          <w:sz w:val="20"/>
          <w:szCs w:val="20"/>
          <w:color w:val="auto"/>
        </w:rPr>
      </w:pPr>
      <w:r>
        <w:rPr>
          <w:rFonts w:ascii="Calibri" w:cs="Calibri" w:eastAsia="Calibri" w:hAnsi="Calibri"/>
          <w:sz w:val="20"/>
          <w:szCs w:val="20"/>
          <w:color w:val="auto"/>
        </w:rPr>
        <w:t>If the SEC or the stock exchanges were to notce actve optons trading by one or more employees or directors of the Company prior to an announcement, they would investgate. Such an investgaton could be embarrassing to the Company (as well as expensive), and could result in severe penaltes and expense for the persons involved. For all of these reasons, the Company prohibits its employees, directors, ofcers, consultants and other agents of the Company and all Covered Persons from trading in optons or other securites involving the Company’s stock.</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 Pledging of Securites, Margin Accounts.</w:t>
      </w:r>
    </w:p>
    <w:p>
      <w:pPr>
        <w:spacing w:after="0" w:line="211" w:lineRule="exact"/>
        <w:rPr>
          <w:sz w:val="20"/>
          <w:szCs w:val="20"/>
          <w:color w:val="auto"/>
        </w:rPr>
      </w:pPr>
    </w:p>
    <w:p>
      <w:pPr>
        <w:jc w:val="both"/>
        <w:spacing w:after="0" w:line="269" w:lineRule="auto"/>
        <w:rPr>
          <w:sz w:val="20"/>
          <w:szCs w:val="20"/>
          <w:color w:val="auto"/>
        </w:rPr>
      </w:pPr>
      <w:r>
        <w:rPr>
          <w:rFonts w:ascii="Calibri" w:cs="Calibri" w:eastAsia="Calibri" w:hAnsi="Calibri"/>
          <w:sz w:val="20"/>
          <w:szCs w:val="20"/>
          <w:color w:val="auto"/>
        </w:rPr>
        <w:t>Pledged securites may be sold by the pledgee without the pledgor’s consent under certain conditons. For example, securites held in a margin account may be sold by a broker without the customer’s consent if the customer fails to meet a margin call. Because such a sale may occur at a tme when an employee or a director has material inside informaton or is otherwise not permited to trade in Company securites, the Company prohibits Covered Persons from pledging Company securites in any circumstance, including by purchasing Company securites on margin or holding Company securites in a margin account.</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 Window Group Restrictons.</w:t>
      </w:r>
    </w:p>
    <w:p>
      <w:pPr>
        <w:spacing w:after="0" w:line="211" w:lineRule="exact"/>
        <w:rPr>
          <w:sz w:val="20"/>
          <w:szCs w:val="20"/>
          <w:color w:val="auto"/>
        </w:rPr>
      </w:pPr>
    </w:p>
    <w:p>
      <w:pPr>
        <w:jc w:val="both"/>
        <w:spacing w:after="0" w:line="268" w:lineRule="auto"/>
        <w:rPr>
          <w:sz w:val="20"/>
          <w:szCs w:val="20"/>
          <w:color w:val="auto"/>
        </w:rPr>
      </w:pPr>
      <w:r>
        <w:rPr>
          <w:rFonts w:ascii="Calibri" w:cs="Calibri" w:eastAsia="Calibri" w:hAnsi="Calibri"/>
          <w:sz w:val="20"/>
          <w:szCs w:val="20"/>
          <w:color w:val="auto"/>
        </w:rPr>
        <w:t>The “Window Group” consists of (i) directors and executve ofcers (within the meaning of Secton 16 of the Exchange Act) of the Company, and (ii) those individuals designated from tme to tme and informed of such status by the General Counsel, together with all such persons’ immediate family members, persons with whom they share a household, their economic dependents and any other individuals or enttes whose securites trading they infuence, direct or control, in each case whether domestc or internatonal. The Window Group shall be reviewed at least annually by the Chief Executve Ofcer, the Chief Financial Ofcer and the General Counsel. The Window Group is subject to the following restrictons on trading in Company securites:</w:t>
      </w:r>
    </w:p>
    <w:p>
      <w:pPr>
        <w:spacing w:after="0" w:line="254" w:lineRule="exact"/>
        <w:rPr>
          <w:sz w:val="20"/>
          <w:szCs w:val="20"/>
          <w:color w:val="auto"/>
        </w:rPr>
      </w:pPr>
    </w:p>
    <w:p>
      <w:pPr>
        <w:jc w:val="both"/>
        <w:ind w:firstLine="656"/>
        <w:spacing w:after="0" w:line="266" w:lineRule="auto"/>
        <w:tabs>
          <w:tab w:leader="none" w:pos="945" w:val="left"/>
        </w:tabs>
        <w:numPr>
          <w:ilvl w:val="0"/>
          <w:numId w:val="189"/>
        </w:numPr>
        <w:rPr>
          <w:rFonts w:ascii="Calibri" w:cs="Calibri" w:eastAsia="Calibri" w:hAnsi="Calibri"/>
          <w:sz w:val="20"/>
          <w:szCs w:val="20"/>
          <w:color w:val="auto"/>
        </w:rPr>
      </w:pPr>
      <w:r>
        <w:rPr>
          <w:rFonts w:ascii="Calibri" w:cs="Calibri" w:eastAsia="Calibri" w:hAnsi="Calibri"/>
          <w:sz w:val="20"/>
          <w:szCs w:val="20"/>
          <w:color w:val="auto"/>
        </w:rPr>
        <w:t>trading is permited beginning at the start of trading on the second trading day following the Company’s frst public disclosure of its earnings results with respect to the preceding fscal quarter and ending at the close of trading on the third Friday of the last month of the then current fscal quarter, or if that day is not a trading day, then the close of trading on the immediately preceding trading day (the “Window”), subject to the restrictons below;</w:t>
      </w:r>
    </w:p>
    <w:p>
      <w:pPr>
        <w:spacing w:after="0" w:line="240" w:lineRule="exact"/>
        <w:rPr>
          <w:rFonts w:ascii="Calibri" w:cs="Calibri" w:eastAsia="Calibri" w:hAnsi="Calibri"/>
          <w:sz w:val="20"/>
          <w:szCs w:val="20"/>
          <w:color w:val="auto"/>
        </w:rPr>
      </w:pPr>
    </w:p>
    <w:p>
      <w:pPr>
        <w:ind w:firstLine="656"/>
        <w:spacing w:after="0" w:line="269" w:lineRule="auto"/>
        <w:tabs>
          <w:tab w:leader="none" w:pos="925" w:val="left"/>
        </w:tabs>
        <w:numPr>
          <w:ilvl w:val="0"/>
          <w:numId w:val="189"/>
        </w:numPr>
        <w:rPr>
          <w:rFonts w:ascii="Calibri" w:cs="Calibri" w:eastAsia="Calibri" w:hAnsi="Calibri"/>
          <w:sz w:val="20"/>
          <w:szCs w:val="20"/>
          <w:color w:val="auto"/>
        </w:rPr>
      </w:pPr>
      <w:r>
        <w:rPr>
          <w:rFonts w:ascii="Calibri" w:cs="Calibri" w:eastAsia="Calibri" w:hAnsi="Calibri"/>
          <w:sz w:val="20"/>
          <w:szCs w:val="20"/>
          <w:color w:val="auto"/>
        </w:rPr>
        <w:t>even during the Window, all trades must be reviewed and approved in advance by the General Counsel (but a proposed trade by the General Counsel must be so precleared by the Chief Executve Ofcer or Chief Financial Ofcer);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840"/>
          </w:cols>
          <w:pgMar w:left="320" w:top="1440" w:right="739" w:bottom="1440" w:gutter="0" w:footer="0" w:header="0"/>
        </w:sectPr>
      </w:pPr>
    </w:p>
    <w:bookmarkStart w:id="205" w:name="page206"/>
    <w:bookmarkEnd w:id="205"/>
    <w:p>
      <w:pPr>
        <w:spacing w:after="0" w:line="200" w:lineRule="exact"/>
        <w:rPr>
          <w:sz w:val="20"/>
          <w:szCs w:val="20"/>
          <w:color w:val="auto"/>
        </w:rPr>
      </w:pPr>
    </w:p>
    <w:p>
      <w:pPr>
        <w:spacing w:after="0" w:line="379" w:lineRule="exact"/>
        <w:rPr>
          <w:sz w:val="20"/>
          <w:szCs w:val="20"/>
          <w:color w:val="auto"/>
        </w:rPr>
      </w:pPr>
    </w:p>
    <w:p>
      <w:pPr>
        <w:ind w:firstLine="656"/>
        <w:spacing w:after="0" w:line="269" w:lineRule="auto"/>
        <w:tabs>
          <w:tab w:leader="none" w:pos="944" w:val="left"/>
        </w:tabs>
        <w:numPr>
          <w:ilvl w:val="1"/>
          <w:numId w:val="190"/>
        </w:numPr>
        <w:rPr>
          <w:rFonts w:ascii="Calibri" w:cs="Calibri" w:eastAsia="Calibri" w:hAnsi="Calibri"/>
          <w:sz w:val="20"/>
          <w:szCs w:val="20"/>
          <w:color w:val="auto"/>
        </w:rPr>
      </w:pPr>
      <w:r>
        <w:rPr>
          <w:rFonts w:ascii="Calibri" w:cs="Calibri" w:eastAsia="Calibri" w:hAnsi="Calibri"/>
          <w:sz w:val="20"/>
          <w:szCs w:val="20"/>
          <w:color w:val="auto"/>
        </w:rPr>
        <w:t>if the Window is closed at the tme that a person in the Window Group departs from the Company, he or she shall contnue to refrain from trading untl the Window reopens; and</w:t>
      </w:r>
    </w:p>
    <w:p>
      <w:pPr>
        <w:spacing w:after="0" w:line="212" w:lineRule="exact"/>
        <w:rPr>
          <w:rFonts w:ascii="Calibri" w:cs="Calibri" w:eastAsia="Calibri" w:hAnsi="Calibri"/>
          <w:sz w:val="20"/>
          <w:szCs w:val="20"/>
          <w:color w:val="auto"/>
        </w:rPr>
      </w:pPr>
    </w:p>
    <w:p>
      <w:pPr>
        <w:ind w:left="460" w:hanging="269"/>
        <w:spacing w:after="0"/>
        <w:tabs>
          <w:tab w:leader="none" w:pos="460" w:val="left"/>
        </w:tabs>
        <w:numPr>
          <w:ilvl w:val="0"/>
          <w:numId w:val="191"/>
        </w:numPr>
        <w:rPr>
          <w:rFonts w:ascii="Calibri" w:cs="Calibri" w:eastAsia="Calibri" w:hAnsi="Calibri"/>
          <w:sz w:val="20"/>
          <w:szCs w:val="20"/>
          <w:color w:val="auto"/>
        </w:rPr>
      </w:pPr>
      <w:r>
        <w:rPr>
          <w:rFonts w:ascii="Calibri" w:cs="Calibri" w:eastAsia="Calibri" w:hAnsi="Calibri"/>
          <w:sz w:val="20"/>
          <w:szCs w:val="20"/>
          <w:color w:val="auto"/>
        </w:rPr>
        <w:t>individuals in the Window Group are also subject to the general restrictons on all Covered Persons.</w:t>
      </w:r>
    </w:p>
    <w:p>
      <w:pPr>
        <w:spacing w:after="0" w:line="265" w:lineRule="exact"/>
        <w:rPr>
          <w:sz w:val="20"/>
          <w:szCs w:val="20"/>
          <w:color w:val="auto"/>
        </w:rPr>
      </w:pPr>
    </w:p>
    <w:p>
      <w:pPr>
        <w:jc w:val="both"/>
        <w:spacing w:after="0" w:line="266" w:lineRule="auto"/>
        <w:rPr>
          <w:sz w:val="20"/>
          <w:szCs w:val="20"/>
          <w:color w:val="auto"/>
        </w:rPr>
      </w:pPr>
      <w:r>
        <w:rPr>
          <w:rFonts w:ascii="Calibri" w:cs="Calibri" w:eastAsia="Calibri" w:hAnsi="Calibri"/>
          <w:sz w:val="20"/>
          <w:szCs w:val="20"/>
          <w:color w:val="auto"/>
        </w:rPr>
        <w:t>Note that at tmes the General Counsel may close the Window early, or may decide not to open the Window when scheduled, either for all members of the Window Group or for individual members of the Window Group. The General Counsel is not required to explain the closing or non-opening of the Window, and Covered Persons should treat an early closing or non-opening of the Window as material non-public informaton that should not be communicated.</w:t>
      </w:r>
    </w:p>
    <w:p>
      <w:pPr>
        <w:spacing w:after="0" w:line="231"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 Special Blackout Periods</w:t>
      </w:r>
      <w:r>
        <w:rPr>
          <w:rFonts w:ascii="Calibri" w:cs="Calibri" w:eastAsia="Calibri" w:hAnsi="Calibri"/>
          <w:sz w:val="20"/>
          <w:szCs w:val="20"/>
          <w:b w:val="1"/>
          <w:bCs w:val="1"/>
          <w:color w:val="auto"/>
        </w:rPr>
        <w:t>.</w:t>
      </w:r>
    </w:p>
    <w:p>
      <w:pPr>
        <w:spacing w:after="0" w:line="198"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The General Counsel may, at any tme, prohibit any or all Covered Persons, whether or not they are members of the Window Group, from trading in Company securites when, in his or her judgment, a trading blackout is warranted. The General Counsel may impose such a Company-wide or more targeted special trading blackout period for any reason, and shall notfy all persons subject thereto promptly afer it is declared. Covered Persons who have been notfed that they are subject to a special blackout may not trade Company securites untl instructed otherwise by the General Counsel (or his or her designee) that he or she has lifed the special trading blackout with respect to them, and should not disclose to others that the special blackout period has been declared.</w:t>
      </w:r>
    </w:p>
    <w:p>
      <w:pPr>
        <w:spacing w:after="0" w:line="2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H. General Guidelines.</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The following guidelines should be followed in order to ensure compliance with applicable laws and with the Company’s policies:</w:t>
      </w:r>
    </w:p>
    <w:p>
      <w:pPr>
        <w:spacing w:after="0" w:line="252" w:lineRule="exact"/>
        <w:rPr>
          <w:sz w:val="20"/>
          <w:szCs w:val="20"/>
          <w:color w:val="auto"/>
        </w:rPr>
      </w:pPr>
    </w:p>
    <w:p>
      <w:pPr>
        <w:ind w:firstLine="656"/>
        <w:spacing w:after="0" w:line="228" w:lineRule="auto"/>
        <w:tabs>
          <w:tab w:leader="none" w:pos="932"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Nondisclosure. Covered Persons shall not disclose material non-public informaton to anyone, except to persons within the Company whose positons require them to know it.</w:t>
      </w:r>
    </w:p>
    <w:p>
      <w:pPr>
        <w:spacing w:after="0" w:line="251" w:lineRule="exact"/>
        <w:rPr>
          <w:rFonts w:ascii="Calibri" w:cs="Calibri" w:eastAsia="Calibri" w:hAnsi="Calibri"/>
          <w:sz w:val="20"/>
          <w:szCs w:val="20"/>
          <w:color w:val="auto"/>
        </w:rPr>
      </w:pPr>
    </w:p>
    <w:p>
      <w:pPr>
        <w:jc w:val="both"/>
        <w:ind w:firstLine="656"/>
        <w:spacing w:after="0" w:line="231" w:lineRule="auto"/>
        <w:tabs>
          <w:tab w:leader="none" w:pos="968"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Trading in Company Securites. No Covered Person may trade, or recommend that another person trade, in the Company’s securites when he or she has material non-public informaton. Any Covered Person who has material non-public informaton shall not trade untl the start of the second business day afer the informaton has been publicly released.</w:t>
      </w:r>
    </w:p>
    <w:p>
      <w:pPr>
        <w:spacing w:after="0" w:line="253" w:lineRule="exact"/>
        <w:rPr>
          <w:rFonts w:ascii="Calibri" w:cs="Calibri" w:eastAsia="Calibri" w:hAnsi="Calibri"/>
          <w:sz w:val="20"/>
          <w:szCs w:val="20"/>
          <w:color w:val="auto"/>
        </w:rPr>
      </w:pPr>
    </w:p>
    <w:p>
      <w:pPr>
        <w:jc w:val="both"/>
        <w:ind w:firstLine="656"/>
        <w:spacing w:after="0" w:line="231" w:lineRule="auto"/>
        <w:tabs>
          <w:tab w:leader="none" w:pos="933"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Avoid Speculaton. Investng in the Company’s common stock provides an opportunity to share in the future growth of the Company. But investment in the Company and sharing in the growth of the Company does not mean short range speculaton based on fuctuatons in the market. Such actvites put the personal gain of the person trading in confict with the best interests of the Company and its stockholders. Although this policy does not prohibit Covered Persons from selling shares, the Company encourages them to avoid frequent trading in Company stock. Speculatng in Company stock is not part of the Company’s culture.</w:t>
      </w:r>
    </w:p>
    <w:p>
      <w:pPr>
        <w:spacing w:after="0" w:line="256" w:lineRule="exact"/>
        <w:rPr>
          <w:rFonts w:ascii="Calibri" w:cs="Calibri" w:eastAsia="Calibri" w:hAnsi="Calibri"/>
          <w:sz w:val="20"/>
          <w:szCs w:val="20"/>
          <w:color w:val="auto"/>
        </w:rPr>
      </w:pPr>
    </w:p>
    <w:p>
      <w:pPr>
        <w:jc w:val="both"/>
        <w:ind w:firstLine="656"/>
        <w:spacing w:after="0" w:line="230" w:lineRule="auto"/>
        <w:tabs>
          <w:tab w:leader="none" w:pos="923" w:val="left"/>
        </w:tabs>
        <w:numPr>
          <w:ilvl w:val="0"/>
          <w:numId w:val="192"/>
        </w:numPr>
        <w:rPr>
          <w:rFonts w:ascii="Calibri" w:cs="Calibri" w:eastAsia="Calibri" w:hAnsi="Calibri"/>
          <w:sz w:val="20"/>
          <w:szCs w:val="20"/>
          <w:color w:val="auto"/>
        </w:rPr>
      </w:pPr>
      <w:r>
        <w:rPr>
          <w:rFonts w:ascii="Calibri" w:cs="Calibri" w:eastAsia="Calibri" w:hAnsi="Calibri"/>
          <w:sz w:val="20"/>
          <w:szCs w:val="20"/>
          <w:color w:val="auto"/>
        </w:rPr>
        <w:t>Trading in Other Securites. No Covered Person shall trade, or recommend that another person trade, in the securites of another company, if the Covered Person learns in the course of his or her employment or service confdental informaton about the other company that is likely to afect the value of those securites. For example, it would be a violaton of the securites laws if a Covered Person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0840"/>
          </w:cols>
          <w:pgMar w:left="320" w:top="1440" w:right="739" w:bottom="1440" w:gutter="0" w:footer="0" w:header="0"/>
        </w:sectPr>
      </w:pPr>
    </w:p>
    <w:bookmarkStart w:id="206" w:name="page207"/>
    <w:bookmarkEnd w:id="206"/>
    <w:p>
      <w:pPr>
        <w:spacing w:after="0" w:line="200" w:lineRule="exact"/>
        <w:rPr>
          <w:sz w:val="20"/>
          <w:szCs w:val="20"/>
          <w:color w:val="auto"/>
        </w:rPr>
      </w:pPr>
    </w:p>
    <w:p>
      <w:pPr>
        <w:spacing w:after="0" w:line="366"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learned through Company sources that the Company intended to purchase assets from a company, and then traded in that other company’s securites because of the likely increase or decrease in their value.</w:t>
      </w:r>
    </w:p>
    <w:p>
      <w:pPr>
        <w:spacing w:after="0" w:line="239" w:lineRule="exact"/>
        <w:rPr>
          <w:sz w:val="20"/>
          <w:szCs w:val="20"/>
          <w:color w:val="auto"/>
        </w:rPr>
      </w:pPr>
    </w:p>
    <w:p>
      <w:pPr>
        <w:jc w:val="both"/>
        <w:ind w:firstLine="656"/>
        <w:spacing w:after="0" w:line="233" w:lineRule="auto"/>
        <w:tabs>
          <w:tab w:leader="none" w:pos="941" w:val="left"/>
        </w:tabs>
        <w:numPr>
          <w:ilvl w:val="1"/>
          <w:numId w:val="193"/>
        </w:numPr>
        <w:rPr>
          <w:rFonts w:ascii="Calibri" w:cs="Calibri" w:eastAsia="Calibri" w:hAnsi="Calibri"/>
          <w:sz w:val="20"/>
          <w:szCs w:val="20"/>
          <w:color w:val="auto"/>
        </w:rPr>
      </w:pPr>
      <w:r>
        <w:rPr>
          <w:rFonts w:ascii="Calibri" w:cs="Calibri" w:eastAsia="Calibri" w:hAnsi="Calibri"/>
          <w:sz w:val="20"/>
          <w:szCs w:val="20"/>
          <w:color w:val="auto"/>
        </w:rPr>
        <w:t>Personal Responsibility; Reportng Violatons. Although the General Counsel is generally responsible for administering this policy, the ultmate responsibility for complying with this policy and applicable laws rests with each Covered Person. Covered Persons should use their best judgment at all tmes and consult with their legal and fnancial advisors, as needed. Any person who wishes to report possible or suspected violatons of this policy should report them to the atenton of the General Counsel. If the reportng person’s situaton requires that his or her identty be kept secret, it will be preserved to the greatest extent reasonably possible and permited by law. If the reportng person wishes to remain anonymous, send a leter addressed to the atenton of the General Counsel or the Audit Commitee of the Board of Directors.</w:t>
      </w:r>
    </w:p>
    <w:p>
      <w:pPr>
        <w:spacing w:after="0" w:line="257" w:lineRule="exact"/>
        <w:rPr>
          <w:rFonts w:ascii="Calibri" w:cs="Calibri" w:eastAsia="Calibri" w:hAnsi="Calibri"/>
          <w:sz w:val="20"/>
          <w:szCs w:val="20"/>
          <w:color w:val="auto"/>
        </w:rPr>
      </w:pPr>
    </w:p>
    <w:p>
      <w:pPr>
        <w:jc w:val="both"/>
        <w:ind w:firstLine="656"/>
        <w:spacing w:after="0"/>
        <w:tabs>
          <w:tab w:leader="none" w:pos="932" w:val="left"/>
        </w:tabs>
        <w:numPr>
          <w:ilvl w:val="1"/>
          <w:numId w:val="193"/>
        </w:numPr>
        <w:rPr>
          <w:rFonts w:ascii="Calibri" w:cs="Calibri" w:eastAsia="Calibri" w:hAnsi="Calibri"/>
          <w:sz w:val="20"/>
          <w:szCs w:val="20"/>
          <w:color w:val="auto"/>
        </w:rPr>
      </w:pPr>
      <w:r>
        <w:rPr>
          <w:rFonts w:ascii="Calibri" w:cs="Calibri" w:eastAsia="Calibri" w:hAnsi="Calibri"/>
          <w:sz w:val="20"/>
          <w:szCs w:val="20"/>
          <w:color w:val="auto"/>
        </w:rPr>
        <w:t>No Exceptons Based on Personal Circumstances. There may be instances where the restrictons imposed by this policy cause a Covered Person to forego a planned trade, which could cause fnancial harm or other hardship. Personal fnancial emergency or other personal circumstances do not excuse a failure to comply with this policy or with federal or state securites laws.</w:t>
      </w:r>
    </w:p>
    <w:p>
      <w:pPr>
        <w:spacing w:after="0" w:line="200" w:lineRule="exact"/>
        <w:rPr>
          <w:rFonts w:ascii="Calibri" w:cs="Calibri" w:eastAsia="Calibri" w:hAnsi="Calibri"/>
          <w:sz w:val="20"/>
          <w:szCs w:val="20"/>
          <w:color w:val="auto"/>
        </w:rPr>
      </w:pPr>
    </w:p>
    <w:p>
      <w:pPr>
        <w:spacing w:after="0" w:line="259" w:lineRule="exact"/>
        <w:rPr>
          <w:rFonts w:ascii="Calibri" w:cs="Calibri" w:eastAsia="Calibri" w:hAnsi="Calibri"/>
          <w:sz w:val="20"/>
          <w:szCs w:val="20"/>
          <w:color w:val="auto"/>
        </w:rPr>
      </w:pPr>
    </w:p>
    <w:p>
      <w:pPr>
        <w:ind w:left="160" w:hanging="152"/>
        <w:spacing w:after="0"/>
        <w:tabs>
          <w:tab w:leader="none" w:pos="160" w:val="left"/>
        </w:tabs>
        <w:numPr>
          <w:ilvl w:val="0"/>
          <w:numId w:val="194"/>
        </w:numPr>
        <w:rPr>
          <w:rFonts w:ascii="Calibri" w:cs="Calibri" w:eastAsia="Calibri" w:hAnsi="Calibri"/>
          <w:sz w:val="20"/>
          <w:szCs w:val="20"/>
          <w:b w:val="1"/>
          <w:bCs w:val="1"/>
          <w:i w:val="1"/>
          <w:iCs w:val="1"/>
          <w:color w:val="auto"/>
        </w:rPr>
      </w:pPr>
      <w:r>
        <w:rPr>
          <w:rFonts w:ascii="Calibri" w:cs="Calibri" w:eastAsia="Calibri" w:hAnsi="Calibri"/>
          <w:sz w:val="20"/>
          <w:szCs w:val="20"/>
          <w:b w:val="1"/>
          <w:bCs w:val="1"/>
          <w:i w:val="1"/>
          <w:iCs w:val="1"/>
          <w:color w:val="auto"/>
        </w:rPr>
        <w:t>Limited Exceptons.</w:t>
      </w:r>
    </w:p>
    <w:p>
      <w:pPr>
        <w:spacing w:after="0" w:line="198" w:lineRule="exact"/>
        <w:rPr>
          <w:sz w:val="20"/>
          <w:szCs w:val="20"/>
          <w:color w:val="auto"/>
        </w:rPr>
      </w:pPr>
    </w:p>
    <w:p>
      <w:pPr>
        <w:spacing w:after="0" w:line="228" w:lineRule="auto"/>
        <w:rPr>
          <w:sz w:val="20"/>
          <w:szCs w:val="20"/>
          <w:color w:val="auto"/>
        </w:rPr>
      </w:pPr>
      <w:r>
        <w:rPr>
          <w:rFonts w:ascii="Calibri" w:cs="Calibri" w:eastAsia="Calibri" w:hAnsi="Calibri"/>
          <w:sz w:val="20"/>
          <w:szCs w:val="20"/>
          <w:color w:val="auto"/>
        </w:rPr>
        <w:t>This Secton I details several limited exceptons to the restrictons imposed by this policy. Even if a trade is not prohibited by this policy, Covered Persons must separately assess whether it complies with applicable law.</w:t>
      </w:r>
    </w:p>
    <w:p>
      <w:pPr>
        <w:spacing w:after="0" w:line="252" w:lineRule="exact"/>
        <w:rPr>
          <w:sz w:val="20"/>
          <w:szCs w:val="20"/>
          <w:color w:val="auto"/>
        </w:rPr>
      </w:pPr>
    </w:p>
    <w:p>
      <w:pPr>
        <w:jc w:val="both"/>
        <w:ind w:firstLine="656"/>
        <w:spacing w:after="0"/>
        <w:tabs>
          <w:tab w:leader="none" w:pos="928" w:val="left"/>
        </w:tabs>
        <w:numPr>
          <w:ilvl w:val="0"/>
          <w:numId w:val="195"/>
        </w:numPr>
        <w:rPr>
          <w:rFonts w:ascii="Calibri" w:cs="Calibri" w:eastAsia="Calibri" w:hAnsi="Calibri"/>
          <w:sz w:val="20"/>
          <w:szCs w:val="20"/>
          <w:color w:val="auto"/>
        </w:rPr>
      </w:pPr>
      <w:r>
        <w:rPr>
          <w:rFonts w:ascii="Calibri" w:cs="Calibri" w:eastAsia="Calibri" w:hAnsi="Calibri"/>
          <w:sz w:val="20"/>
          <w:szCs w:val="20"/>
          <w:color w:val="auto"/>
        </w:rPr>
        <w:t>Trades Under a 10b5-1 Plan. The SEC has enacted rules that provide an afrmatve defense against alleged violatons of U.S. federal insider trading laws for trades under trading plans that meet certain requirements. These requirements are spelled out in Rule 10b5-1 under the Exchange Act, and trading plans that comply with those requirements are therefore known as “10b5-1 plans.” In general, Rule 10b5-1 provides an afrmatve defense from insider trading liability under the federal securites laws for trading plans that meet certain requirements. In general, a 10b5-1 plan must be entered into (or modifed) in good faith, not as part of a plan or scheme to evade the prohibitons of the insider trading rules and during a tme when the trading person is not aware of material non-public informaton. The plan must either specify (including by formula) the amount, pricing and tming of the transactons in advance or delegate discreton on those maters to an independent party. The plan must also provide for a cooling-of period for at least the minimum period required under, and must comply with all other applicable provisions of, Rule 10b5-1(c) of the Exchange Act.</w:t>
      </w:r>
    </w:p>
    <w:p>
      <w:pPr>
        <w:spacing w:after="0" w:line="200" w:lineRule="exact"/>
        <w:rPr>
          <w:sz w:val="20"/>
          <w:szCs w:val="20"/>
          <w:color w:val="auto"/>
        </w:rPr>
      </w:pPr>
    </w:p>
    <w:p>
      <w:pPr>
        <w:spacing w:after="0" w:line="330"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The restrictons in this policy against trades made while aware of material non-public informaton, or by members of the Window Group during a tme when the Window is closed (and the requirement that members of the Window Group obtain preclearance for trades) do not apply to trades made under 10b5-1 plans pre-approved by the General Counsel. All 10b5-1 plans, and all amendments thereto, including suspensions and terminatons thereof, must be approved by the General Counsel. In reviewing and approving a 10b5-1 plan, or an amendment thereto or suspension or terminaton thereof, the General Counsel may impose criteria in additon to those required by law.</w:t>
      </w:r>
    </w:p>
    <w:p>
      <w:pPr>
        <w:spacing w:after="0" w:line="238"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0"/>
          <w:szCs w:val="20"/>
          <w:color w:val="auto"/>
        </w:rPr>
        <w:t>The SEC’s rules on 10b5-1 plans are complicated and must be followed completely to be efectve. The descripton provided above is only a summary, and Covered Persons are strongly advised to consult with their legal advisors if they intend to adopt or amend a 10b5-1 plan. While 10b5-1 plans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0840"/>
          </w:cols>
          <w:pgMar w:left="320" w:top="1440" w:right="739" w:bottom="1440" w:gutter="0" w:footer="0" w:header="0"/>
        </w:sectPr>
      </w:pPr>
    </w:p>
    <w:bookmarkStart w:id="207" w:name="page208"/>
    <w:bookmarkEnd w:id="207"/>
    <w:p>
      <w:pPr>
        <w:spacing w:after="0" w:line="200" w:lineRule="exact"/>
        <w:rPr>
          <w:sz w:val="20"/>
          <w:szCs w:val="20"/>
          <w:color w:val="auto"/>
        </w:rPr>
      </w:pPr>
    </w:p>
    <w:p>
      <w:pPr>
        <w:spacing w:after="0" w:line="366"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are subject to the Company’s review and approval, Covered Persons are ultmately responsible for their compliance with the law and this policy.</w:t>
      </w:r>
    </w:p>
    <w:p>
      <w:pPr>
        <w:spacing w:after="0" w:line="239"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0"/>
          <w:szCs w:val="20"/>
          <w:color w:val="auto"/>
        </w:rPr>
        <w:t>All 10b5-1 plans and amendments thereto and suspensions and terminatons thereof must be fled with the Legal Department and, if applicable, accompanied by an executed certfcate statng that the 10b5-1 plan complies with applicable law and any other criteria the General Counsel may establish. The Company may publicly disclose informaton regarding any 10b5-1 plan that a Covered Person enters.</w:t>
      </w:r>
    </w:p>
    <w:p>
      <w:pPr>
        <w:spacing w:after="0" w:line="253" w:lineRule="exact"/>
        <w:rPr>
          <w:sz w:val="20"/>
          <w:szCs w:val="20"/>
          <w:color w:val="auto"/>
        </w:rPr>
      </w:pPr>
    </w:p>
    <w:p>
      <w:pPr>
        <w:jc w:val="both"/>
        <w:ind w:firstLine="656"/>
        <w:spacing w:after="0" w:line="233" w:lineRule="auto"/>
        <w:tabs>
          <w:tab w:leader="none" w:pos="951" w:val="left"/>
        </w:tabs>
        <w:numPr>
          <w:ilvl w:val="1"/>
          <w:numId w:val="196"/>
        </w:numPr>
        <w:rPr>
          <w:rFonts w:ascii="Calibri" w:cs="Calibri" w:eastAsia="Calibri" w:hAnsi="Calibri"/>
          <w:sz w:val="20"/>
          <w:szCs w:val="20"/>
          <w:color w:val="auto"/>
        </w:rPr>
      </w:pPr>
      <w:r>
        <w:rPr>
          <w:rFonts w:ascii="Calibri" w:cs="Calibri" w:eastAsia="Calibri" w:hAnsi="Calibri"/>
          <w:sz w:val="20"/>
          <w:szCs w:val="20"/>
          <w:color w:val="auto"/>
        </w:rPr>
        <w:t>Employee Beneft Plans. The trading restrictons under this policy do not apply to the acceptance of stock optons, restricted stock units or other Company securites that the Company issues or ofers to Covered Persons or to the vestng, cancellaton or forfeiture thereof under applicable plans and agreements. The restrictons also do not apply to the exercise of Company stock optons for cash under applicable stock opton plans or the exercise of stock optons in a stock-for-stock exercise with the Company or an electon to have the Company withhold securites to cover taxes due upon an opton exercise or the vestng or setlement of restricted stock units. However, the restrictons under this policy do apply to (i) the sale of stock issued upon the exercise of an opton, (ii) a cashless exercise of a stock opton through a broker, as this involves selling a porton of the underlying shares to cover the costs of exercise or withholding of taxes, as applicable, and (iii) any other market sale for the purpose of generatng the cash needed to pay the exercise price of an opton or withholding taxes, as applicable.</w:t>
      </w:r>
    </w:p>
    <w:p>
      <w:pPr>
        <w:spacing w:after="0" w:line="242" w:lineRule="exact"/>
        <w:rPr>
          <w:rFonts w:ascii="Calibri" w:cs="Calibri" w:eastAsia="Calibri" w:hAnsi="Calibri"/>
          <w:sz w:val="20"/>
          <w:szCs w:val="20"/>
          <w:color w:val="auto"/>
        </w:rPr>
      </w:pPr>
    </w:p>
    <w:p>
      <w:pPr>
        <w:jc w:val="both"/>
        <w:ind w:firstLine="656"/>
        <w:spacing w:after="0" w:line="234" w:lineRule="auto"/>
        <w:tabs>
          <w:tab w:leader="none" w:pos="937" w:val="left"/>
        </w:tabs>
        <w:numPr>
          <w:ilvl w:val="1"/>
          <w:numId w:val="196"/>
        </w:numPr>
        <w:rPr>
          <w:rFonts w:ascii="Calibri" w:cs="Calibri" w:eastAsia="Calibri" w:hAnsi="Calibri"/>
          <w:sz w:val="20"/>
          <w:szCs w:val="20"/>
          <w:color w:val="auto"/>
        </w:rPr>
      </w:pPr>
      <w:r>
        <w:rPr>
          <w:rFonts w:ascii="Calibri" w:cs="Calibri" w:eastAsia="Calibri" w:hAnsi="Calibri"/>
          <w:sz w:val="20"/>
          <w:szCs w:val="20"/>
          <w:color w:val="auto"/>
        </w:rPr>
        <w:t>Bona Fide Gifs and Inheritance. The policy’s trading restrictons do not apply to a bona fde gif of Company stock so long as either (i) the recipient of the gif is subject to the same trading restrictons under this policy as are applicable to the Covered Person, or (ii) the Covered Person otherwise has no reason to believe that the recipient intends to sell the securites immediately or during a period when the Covered Person would not be permited to trade pursuant to the terms of this policy. The trading restrictons under this policy also do not apply to transfers by will or the laws of descent.</w:t>
      </w:r>
    </w:p>
    <w:p>
      <w:pPr>
        <w:spacing w:after="0" w:line="240" w:lineRule="exact"/>
        <w:rPr>
          <w:rFonts w:ascii="Calibri" w:cs="Calibri" w:eastAsia="Calibri" w:hAnsi="Calibri"/>
          <w:sz w:val="20"/>
          <w:szCs w:val="20"/>
          <w:color w:val="auto"/>
        </w:rPr>
      </w:pPr>
    </w:p>
    <w:p>
      <w:pPr>
        <w:jc w:val="both"/>
        <w:ind w:firstLine="656"/>
        <w:spacing w:after="0" w:line="233" w:lineRule="auto"/>
        <w:tabs>
          <w:tab w:leader="none" w:pos="927" w:val="left"/>
        </w:tabs>
        <w:numPr>
          <w:ilvl w:val="1"/>
          <w:numId w:val="196"/>
        </w:numPr>
        <w:rPr>
          <w:rFonts w:ascii="Calibri" w:cs="Calibri" w:eastAsia="Calibri" w:hAnsi="Calibri"/>
          <w:sz w:val="20"/>
          <w:szCs w:val="20"/>
          <w:color w:val="auto"/>
        </w:rPr>
      </w:pPr>
      <w:r>
        <w:rPr>
          <w:rFonts w:ascii="Calibri" w:cs="Calibri" w:eastAsia="Calibri" w:hAnsi="Calibri"/>
          <w:sz w:val="20"/>
          <w:szCs w:val="20"/>
          <w:color w:val="auto"/>
        </w:rPr>
        <w:t>Non-Substantve Changes. The trading restrictons under this policy do not apply to trades that involve merely a change in the form in which you own securites; for example, you may transfer shares to an inter vivos trust of which you are the sole benefciary during your lifetme. Similarly, the restrictons do not apply to a change in the number of securites held as a result of a stock split, reverse stock split or stock dividend applying equally to all securites of a class.</w:t>
      </w:r>
    </w:p>
    <w:p>
      <w:pPr>
        <w:spacing w:after="0" w:line="253" w:lineRule="exact"/>
        <w:rPr>
          <w:rFonts w:ascii="Calibri" w:cs="Calibri" w:eastAsia="Calibri" w:hAnsi="Calibri"/>
          <w:sz w:val="20"/>
          <w:szCs w:val="20"/>
          <w:color w:val="auto"/>
        </w:rPr>
      </w:pPr>
    </w:p>
    <w:p>
      <w:pPr>
        <w:jc w:val="both"/>
        <w:ind w:firstLine="656"/>
        <w:spacing w:after="0"/>
        <w:tabs>
          <w:tab w:leader="none" w:pos="951" w:val="left"/>
        </w:tabs>
        <w:numPr>
          <w:ilvl w:val="1"/>
          <w:numId w:val="196"/>
        </w:numPr>
        <w:rPr>
          <w:rFonts w:ascii="Calibri" w:cs="Calibri" w:eastAsia="Calibri" w:hAnsi="Calibri"/>
          <w:sz w:val="20"/>
          <w:szCs w:val="20"/>
          <w:color w:val="auto"/>
        </w:rPr>
      </w:pPr>
      <w:r>
        <w:rPr>
          <w:rFonts w:ascii="Calibri" w:cs="Calibri" w:eastAsia="Calibri" w:hAnsi="Calibri"/>
          <w:sz w:val="20"/>
          <w:szCs w:val="20"/>
          <w:color w:val="auto"/>
        </w:rPr>
        <w:t>Other Exceptons. Any excepton from this policy other than as set forth in this Secton I must be approved by the General Counsel, in consultaton with the Compensaton, Nominatng and Corporate Governance Commitee of the Board of Directors.</w:t>
      </w:r>
    </w:p>
    <w:p>
      <w:pPr>
        <w:spacing w:after="0" w:line="200" w:lineRule="exact"/>
        <w:rPr>
          <w:rFonts w:ascii="Calibri" w:cs="Calibri" w:eastAsia="Calibri" w:hAnsi="Calibri"/>
          <w:sz w:val="20"/>
          <w:szCs w:val="20"/>
          <w:color w:val="auto"/>
        </w:rPr>
      </w:pPr>
    </w:p>
    <w:p>
      <w:pPr>
        <w:spacing w:after="0" w:line="260" w:lineRule="exact"/>
        <w:rPr>
          <w:rFonts w:ascii="Calibri" w:cs="Calibri" w:eastAsia="Calibri" w:hAnsi="Calibri"/>
          <w:sz w:val="20"/>
          <w:szCs w:val="20"/>
          <w:color w:val="auto"/>
        </w:rPr>
      </w:pPr>
    </w:p>
    <w:p>
      <w:pPr>
        <w:ind w:left="180" w:hanging="172"/>
        <w:spacing w:after="0"/>
        <w:tabs>
          <w:tab w:leader="none" w:pos="180" w:val="left"/>
        </w:tabs>
        <w:numPr>
          <w:ilvl w:val="0"/>
          <w:numId w:val="197"/>
        </w:numPr>
        <w:rPr>
          <w:rFonts w:ascii="Calibri" w:cs="Calibri" w:eastAsia="Calibri" w:hAnsi="Calibri"/>
          <w:sz w:val="20"/>
          <w:szCs w:val="20"/>
          <w:b w:val="1"/>
          <w:bCs w:val="1"/>
          <w:i w:val="1"/>
          <w:iCs w:val="1"/>
          <w:color w:val="auto"/>
        </w:rPr>
      </w:pPr>
      <w:r>
        <w:rPr>
          <w:rFonts w:ascii="Calibri" w:cs="Calibri" w:eastAsia="Calibri" w:hAnsi="Calibri"/>
          <w:sz w:val="20"/>
          <w:szCs w:val="20"/>
          <w:b w:val="1"/>
          <w:bCs w:val="1"/>
          <w:i w:val="1"/>
          <w:iCs w:val="1"/>
          <w:color w:val="auto"/>
        </w:rPr>
        <w:t>Applicability of U.S. Securites Laws to Internatonal Transactons.</w:t>
      </w:r>
    </w:p>
    <w:p>
      <w:pPr>
        <w:spacing w:after="0" w:line="211" w:lineRule="exact"/>
        <w:rPr>
          <w:sz w:val="20"/>
          <w:szCs w:val="20"/>
          <w:color w:val="auto"/>
        </w:rPr>
      </w:pPr>
    </w:p>
    <w:p>
      <w:pPr>
        <w:jc w:val="both"/>
        <w:spacing w:after="0" w:line="266" w:lineRule="auto"/>
        <w:rPr>
          <w:sz w:val="20"/>
          <w:szCs w:val="20"/>
          <w:color w:val="auto"/>
        </w:rPr>
      </w:pPr>
      <w:r>
        <w:rPr>
          <w:rFonts w:ascii="Calibri" w:cs="Calibri" w:eastAsia="Calibri" w:hAnsi="Calibri"/>
          <w:sz w:val="20"/>
          <w:szCs w:val="20"/>
          <w:color w:val="auto"/>
        </w:rPr>
        <w:t>All Covered Persons are subject to the restrictons on trading in Company securites and the securites of other companies set forth in this policy. The U.S. securites laws may be applicable to the securites of the Company’s subsidiaries or afliates, even if they are located outside the United States. Transactons involving securites of subsidiaries or afliates should be carefully reviewed by counsel for compliance not only with local law but also for possible applicaton of U.S. securites laws.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III. OTHER LIMITATIONS ON SECURITIES TRANSACTIONS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 Public Resales – Rule 144.</w:t>
      </w:r>
    </w:p>
    <w:p>
      <w:pPr>
        <w:sectPr>
          <w:pgSz w:w="11900" w:h="16838" w:orient="portrait"/>
          <w:cols w:equalWidth="0" w:num="1">
            <w:col w:w="10840"/>
          </w:cols>
          <w:pgMar w:left="32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19"/>
        <w:spacing w:after="0"/>
        <w:rPr>
          <w:sz w:val="20"/>
          <w:szCs w:val="20"/>
          <w:color w:val="auto"/>
        </w:rPr>
      </w:pPr>
      <w:r>
        <w:rPr>
          <w:rFonts w:ascii="Calibri" w:cs="Calibri" w:eastAsia="Calibri" w:hAnsi="Calibri"/>
          <w:sz w:val="19"/>
          <w:szCs w:val="19"/>
          <w:color w:val="auto"/>
        </w:rPr>
        <w:t>7</w:t>
      </w:r>
    </w:p>
    <w:p>
      <w:pPr>
        <w:sectPr>
          <w:pgSz w:w="11900" w:h="16838" w:orient="portrait"/>
          <w:cols w:equalWidth="0" w:num="1">
            <w:col w:w="10840"/>
          </w:cols>
          <w:pgMar w:left="320" w:top="1440" w:right="739" w:bottom="1440" w:gutter="0" w:footer="0" w:header="0"/>
          <w:type w:val="continuous"/>
        </w:sectPr>
      </w:pPr>
    </w:p>
    <w:bookmarkStart w:id="208" w:name="page209"/>
    <w:bookmarkEnd w:id="208"/>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Calibri" w:cs="Calibri" w:eastAsia="Calibri" w:hAnsi="Calibri"/>
          <w:sz w:val="20"/>
          <w:szCs w:val="20"/>
          <w:color w:val="auto"/>
        </w:rPr>
        <w:t>The U.S. Securites Act of 1933 (the “Securites Act”) requires every person who ofers or sells a security to register such transacton with the SEC unless an exempton from registraton is available. Rule 144 under the Securites Act is the exempton typically relied upon for (i) public resales by any person of “restricted securites” (</w:t>
      </w:r>
      <w:r>
        <w:rPr>
          <w:rFonts w:ascii="Calibri" w:cs="Calibri" w:eastAsia="Calibri" w:hAnsi="Calibri"/>
          <w:sz w:val="20"/>
          <w:szCs w:val="20"/>
          <w:i w:val="1"/>
          <w:iCs w:val="1"/>
          <w:color w:val="auto"/>
        </w:rPr>
        <w:t>i.e.</w:t>
      </w:r>
      <w:r>
        <w:rPr>
          <w:rFonts w:ascii="Calibri" w:cs="Calibri" w:eastAsia="Calibri" w:hAnsi="Calibri"/>
          <w:sz w:val="20"/>
          <w:szCs w:val="20"/>
          <w:color w:val="auto"/>
        </w:rPr>
        <w:t>, unregistered securites acquired in a private ofering or sale) and (ii) public resales by directors, ofcers and other control persons of a company (known as “afliates”) of any of the Company’s securites, whether restricted or unrestricted.</w:t>
      </w:r>
    </w:p>
    <w:p>
      <w:pPr>
        <w:spacing w:after="0" w:line="252" w:lineRule="exact"/>
        <w:rPr>
          <w:sz w:val="20"/>
          <w:szCs w:val="20"/>
          <w:color w:val="auto"/>
        </w:rPr>
      </w:pPr>
    </w:p>
    <w:p>
      <w:pPr>
        <w:jc w:val="both"/>
        <w:spacing w:after="0" w:line="255" w:lineRule="auto"/>
        <w:rPr>
          <w:sz w:val="20"/>
          <w:szCs w:val="20"/>
          <w:color w:val="auto"/>
        </w:rPr>
      </w:pPr>
      <w:r>
        <w:rPr>
          <w:rFonts w:ascii="Calibri" w:cs="Calibri" w:eastAsia="Calibri" w:hAnsi="Calibri"/>
          <w:sz w:val="20"/>
          <w:szCs w:val="20"/>
          <w:color w:val="auto"/>
        </w:rPr>
        <w:t>The exempton in Rule 144 may only be relied upon if certain conditons are met. These conditons vary based upon whether the person seeking to sell the securites is an afliate or not.</w:t>
      </w:r>
    </w:p>
    <w:p>
      <w:pPr>
        <w:spacing w:after="0" w:line="237" w:lineRule="exact"/>
        <w:rPr>
          <w:sz w:val="20"/>
          <w:szCs w:val="20"/>
          <w:color w:val="auto"/>
        </w:rPr>
      </w:pPr>
    </w:p>
    <w:p>
      <w:pPr>
        <w:jc w:val="both"/>
        <w:ind w:firstLine="656"/>
        <w:spacing w:after="0" w:line="233" w:lineRule="auto"/>
        <w:tabs>
          <w:tab w:leader="none" w:pos="919" w:val="left"/>
        </w:tabs>
        <w:numPr>
          <w:ilvl w:val="0"/>
          <w:numId w:val="198"/>
        </w:numPr>
        <w:rPr>
          <w:rFonts w:ascii="Calibri" w:cs="Calibri" w:eastAsia="Calibri" w:hAnsi="Calibri"/>
          <w:sz w:val="20"/>
          <w:szCs w:val="20"/>
          <w:color w:val="auto"/>
        </w:rPr>
      </w:pPr>
      <w:r>
        <w:rPr>
          <w:rFonts w:ascii="Calibri" w:cs="Calibri" w:eastAsia="Calibri" w:hAnsi="Calibri"/>
          <w:sz w:val="20"/>
          <w:szCs w:val="20"/>
          <w:u w:val="single" w:color="auto"/>
          <w:color w:val="auto"/>
        </w:rPr>
        <w:t>Holding Period</w:t>
      </w:r>
      <w:r>
        <w:rPr>
          <w:rFonts w:ascii="Calibri" w:cs="Calibri" w:eastAsia="Calibri" w:hAnsi="Calibri"/>
          <w:sz w:val="20"/>
          <w:szCs w:val="20"/>
          <w:color w:val="auto"/>
        </w:rPr>
        <w:t>. Restricted securites must be held and fully paid for a period of six months prior to their sale. Generally, if the seller acquired the securites from someone other than the Company or an afliate of the Company, the holding period of the person from whom the seller acquired such securites can be “tacked” to the seller’s holding period in determining if the holding period has been satsfed.</w:t>
      </w:r>
    </w:p>
    <w:p>
      <w:pPr>
        <w:spacing w:after="0" w:line="361" w:lineRule="exact"/>
        <w:rPr>
          <w:rFonts w:ascii="Calibri" w:cs="Calibri" w:eastAsia="Calibri" w:hAnsi="Calibri"/>
          <w:sz w:val="20"/>
          <w:szCs w:val="20"/>
          <w:color w:val="auto"/>
        </w:rPr>
      </w:pPr>
    </w:p>
    <w:p>
      <w:pPr>
        <w:ind w:firstLine="656"/>
        <w:spacing w:after="0" w:line="228" w:lineRule="auto"/>
        <w:tabs>
          <w:tab w:leader="none" w:pos="919" w:val="left"/>
        </w:tabs>
        <w:numPr>
          <w:ilvl w:val="0"/>
          <w:numId w:val="198"/>
        </w:numPr>
        <w:rPr>
          <w:rFonts w:ascii="Calibri" w:cs="Calibri" w:eastAsia="Calibri" w:hAnsi="Calibri"/>
          <w:sz w:val="20"/>
          <w:szCs w:val="20"/>
          <w:color w:val="auto"/>
        </w:rPr>
      </w:pPr>
      <w:r>
        <w:rPr>
          <w:rFonts w:ascii="Calibri" w:cs="Calibri" w:eastAsia="Calibri" w:hAnsi="Calibri"/>
          <w:sz w:val="20"/>
          <w:szCs w:val="20"/>
          <w:u w:val="single" w:color="auto"/>
          <w:color w:val="auto"/>
        </w:rPr>
        <w:t>Current Public Informaton</w:t>
      </w:r>
      <w:r>
        <w:rPr>
          <w:rFonts w:ascii="Calibri" w:cs="Calibri" w:eastAsia="Calibri" w:hAnsi="Calibri"/>
          <w:sz w:val="20"/>
          <w:szCs w:val="20"/>
          <w:color w:val="auto"/>
        </w:rPr>
        <w:t>. Generally, current informaton about the Company must be publicly available before the sale can be made. The Company’s periodic reports fled with the SEC ordinarily satsfy this requirement.</w:t>
      </w:r>
    </w:p>
    <w:p>
      <w:pPr>
        <w:spacing w:after="0" w:line="130" w:lineRule="exact"/>
        <w:rPr>
          <w:sz w:val="20"/>
          <w:szCs w:val="20"/>
          <w:color w:val="auto"/>
        </w:rPr>
      </w:pPr>
    </w:p>
    <w:p>
      <w:pPr>
        <w:jc w:val="both"/>
        <w:ind w:firstLine="648"/>
        <w:spacing w:after="0" w:line="267" w:lineRule="auto"/>
        <w:rPr>
          <w:sz w:val="20"/>
          <w:szCs w:val="20"/>
          <w:color w:val="auto"/>
        </w:rPr>
      </w:pPr>
      <w:r>
        <w:rPr>
          <w:rFonts w:ascii="Calibri" w:cs="Calibri" w:eastAsia="Calibri" w:hAnsi="Calibri"/>
          <w:sz w:val="20"/>
          <w:szCs w:val="20"/>
          <w:color w:val="auto"/>
        </w:rPr>
        <w:t>Rule 144 also imposes the following additonal conditons on sales by persons who are “afliates.” A person or entty is considered an “afliate,” and therefore subject to these additonal conditons, if it is currently an afliate or has been an afliate within the previous three months:</w:t>
      </w:r>
    </w:p>
    <w:p>
      <w:pPr>
        <w:spacing w:after="0" w:line="225" w:lineRule="exact"/>
        <w:rPr>
          <w:sz w:val="20"/>
          <w:szCs w:val="20"/>
          <w:color w:val="auto"/>
        </w:rPr>
      </w:pPr>
    </w:p>
    <w:p>
      <w:pPr>
        <w:jc w:val="both"/>
        <w:ind w:firstLine="656"/>
        <w:spacing w:after="0" w:line="233" w:lineRule="auto"/>
        <w:tabs>
          <w:tab w:leader="none" w:pos="946" w:val="left"/>
        </w:tabs>
        <w:numPr>
          <w:ilvl w:val="0"/>
          <w:numId w:val="199"/>
        </w:numPr>
        <w:rPr>
          <w:rFonts w:ascii="Calibri" w:cs="Calibri" w:eastAsia="Calibri" w:hAnsi="Calibri"/>
          <w:sz w:val="20"/>
          <w:szCs w:val="20"/>
          <w:color w:val="auto"/>
        </w:rPr>
      </w:pPr>
      <w:r>
        <w:rPr>
          <w:rFonts w:ascii="Calibri" w:cs="Calibri" w:eastAsia="Calibri" w:hAnsi="Calibri"/>
          <w:sz w:val="20"/>
          <w:szCs w:val="20"/>
          <w:u w:val="single" w:color="auto"/>
          <w:color w:val="auto"/>
        </w:rPr>
        <w:t>Volume Limitatons</w:t>
      </w:r>
      <w:r>
        <w:rPr>
          <w:rFonts w:ascii="Calibri" w:cs="Calibri" w:eastAsia="Calibri" w:hAnsi="Calibri"/>
          <w:sz w:val="20"/>
          <w:szCs w:val="20"/>
          <w:color w:val="auto"/>
        </w:rPr>
        <w:t>. The amount of equity securites that can be sold by an afliate during any three-month period cannot exceed the greater of (i) one percent of the outstanding shares of the class or (ii) the average weekly reported trading volume for shares of the class during the four calendar weeks preceding the tme the order to sell is received by the broker or executed directly with a market maker.</w:t>
      </w:r>
    </w:p>
    <w:p>
      <w:pPr>
        <w:spacing w:after="0" w:line="104" w:lineRule="exact"/>
        <w:rPr>
          <w:rFonts w:ascii="Calibri" w:cs="Calibri" w:eastAsia="Calibri" w:hAnsi="Calibri"/>
          <w:sz w:val="20"/>
          <w:szCs w:val="20"/>
          <w:color w:val="auto"/>
        </w:rPr>
      </w:pPr>
    </w:p>
    <w:p>
      <w:pPr>
        <w:ind w:firstLine="656"/>
        <w:spacing w:after="0" w:line="234" w:lineRule="auto"/>
        <w:tabs>
          <w:tab w:leader="none" w:pos="919" w:val="left"/>
        </w:tabs>
        <w:numPr>
          <w:ilvl w:val="0"/>
          <w:numId w:val="199"/>
        </w:numPr>
        <w:rPr>
          <w:rFonts w:ascii="Calibri" w:cs="Calibri" w:eastAsia="Calibri" w:hAnsi="Calibri"/>
          <w:sz w:val="20"/>
          <w:szCs w:val="20"/>
          <w:color w:val="auto"/>
        </w:rPr>
      </w:pPr>
      <w:r>
        <w:rPr>
          <w:rFonts w:ascii="Calibri" w:cs="Calibri" w:eastAsia="Calibri" w:hAnsi="Calibri"/>
          <w:sz w:val="20"/>
          <w:szCs w:val="20"/>
          <w:u w:val="single" w:color="auto"/>
          <w:color w:val="auto"/>
        </w:rPr>
        <w:t>Manner of Sale</w:t>
      </w:r>
      <w:r>
        <w:rPr>
          <w:rFonts w:ascii="Calibri" w:cs="Calibri" w:eastAsia="Calibri" w:hAnsi="Calibri"/>
          <w:sz w:val="20"/>
          <w:szCs w:val="20"/>
          <w:color w:val="auto"/>
        </w:rPr>
        <w:t>. Equity securites held by afliates must be sold in unsolicited brokers’ transactons, directly to a market maker or in riskless principal transactons.</w:t>
      </w:r>
    </w:p>
    <w:p>
      <w:pPr>
        <w:spacing w:after="0" w:line="117" w:lineRule="exact"/>
        <w:rPr>
          <w:rFonts w:ascii="Calibri" w:cs="Calibri" w:eastAsia="Calibri" w:hAnsi="Calibri"/>
          <w:sz w:val="20"/>
          <w:szCs w:val="20"/>
          <w:color w:val="auto"/>
        </w:rPr>
      </w:pPr>
    </w:p>
    <w:p>
      <w:pPr>
        <w:jc w:val="both"/>
        <w:ind w:firstLine="656"/>
        <w:spacing w:after="0" w:line="231" w:lineRule="auto"/>
        <w:tabs>
          <w:tab w:leader="none" w:pos="933" w:val="left"/>
        </w:tabs>
        <w:numPr>
          <w:ilvl w:val="0"/>
          <w:numId w:val="199"/>
        </w:numPr>
        <w:rPr>
          <w:rFonts w:ascii="Calibri" w:cs="Calibri" w:eastAsia="Calibri" w:hAnsi="Calibri"/>
          <w:sz w:val="20"/>
          <w:szCs w:val="20"/>
          <w:color w:val="auto"/>
        </w:rPr>
      </w:pPr>
      <w:r>
        <w:rPr>
          <w:rFonts w:ascii="Calibri" w:cs="Calibri" w:eastAsia="Calibri" w:hAnsi="Calibri"/>
          <w:sz w:val="20"/>
          <w:szCs w:val="20"/>
          <w:u w:val="single" w:color="auto"/>
          <w:color w:val="auto"/>
        </w:rPr>
        <w:t>Notce of Sale</w:t>
      </w:r>
      <w:r>
        <w:rPr>
          <w:rFonts w:ascii="Calibri" w:cs="Calibri" w:eastAsia="Calibri" w:hAnsi="Calibri"/>
          <w:sz w:val="20"/>
          <w:szCs w:val="20"/>
          <w:color w:val="auto"/>
        </w:rPr>
        <w:t>. An afliate seller must fle a notce of the proposed sale with the SEC at the tme the order to sell is placed with the broker, unless the amount to be sold neither exceeds 5,000 shares nor involves sale proceeds greater than $50,000. See “Filing Requirements”.</w:t>
      </w:r>
    </w:p>
    <w:p>
      <w:pPr>
        <w:spacing w:after="0" w:line="362" w:lineRule="exact"/>
        <w:rPr>
          <w:sz w:val="20"/>
          <w:szCs w:val="20"/>
          <w:color w:val="auto"/>
        </w:rPr>
      </w:pPr>
    </w:p>
    <w:p>
      <w:pPr>
        <w:jc w:val="both"/>
        <w:spacing w:after="0" w:line="273" w:lineRule="auto"/>
        <w:rPr>
          <w:sz w:val="20"/>
          <w:szCs w:val="20"/>
          <w:color w:val="auto"/>
        </w:rPr>
      </w:pPr>
      <w:r>
        <w:rPr>
          <w:rFonts w:ascii="Calibri" w:cs="Calibri" w:eastAsia="Calibri" w:hAnsi="Calibri"/>
          <w:sz w:val="20"/>
          <w:szCs w:val="20"/>
          <w:i w:val="1"/>
          <w:iCs w:val="1"/>
          <w:color w:val="auto"/>
        </w:rPr>
        <w:t xml:space="preserve">Bona fde </w:t>
      </w:r>
      <w:r>
        <w:rPr>
          <w:rFonts w:ascii="Calibri" w:cs="Calibri" w:eastAsia="Calibri" w:hAnsi="Calibri"/>
          <w:sz w:val="20"/>
          <w:szCs w:val="20"/>
          <w:color w:val="auto"/>
        </w:rPr>
        <w:t>gifs are not deemed to involve sales of shares for purposes of Rule 144, so they can be made at any tme without</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limitaton on the amount of the gif. Donees who receive restricted securites from an afliate generally will be subject to the same restrictons under Rule 144 that would have applied to the donor, depending on the circumstances.</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 Private Resales.</w:t>
      </w:r>
    </w:p>
    <w:p>
      <w:pPr>
        <w:spacing w:after="0" w:line="265" w:lineRule="exact"/>
        <w:rPr>
          <w:sz w:val="20"/>
          <w:szCs w:val="20"/>
          <w:color w:val="auto"/>
        </w:rPr>
      </w:pPr>
    </w:p>
    <w:p>
      <w:pPr>
        <w:jc w:val="both"/>
        <w:spacing w:after="0" w:line="270" w:lineRule="auto"/>
        <w:rPr>
          <w:sz w:val="20"/>
          <w:szCs w:val="20"/>
          <w:color w:val="auto"/>
        </w:rPr>
      </w:pPr>
      <w:r>
        <w:rPr>
          <w:rFonts w:ascii="Calibri" w:cs="Calibri" w:eastAsia="Calibri" w:hAnsi="Calibri"/>
          <w:sz w:val="20"/>
          <w:szCs w:val="20"/>
          <w:color w:val="auto"/>
        </w:rPr>
        <w:t>Directors and ofcers also may sell securites in a private transacton without registraton. Although there is no statutory provision or SEC rule expressly dealing with private sales, the general view is that such sales can safely be made by afliates if the party acquiring the securites understands he is acquiring restricted securites that must be held for at least six months before the securites will be</w:t>
      </w:r>
    </w:p>
    <w:p>
      <w:pPr>
        <w:sectPr>
          <w:pgSz w:w="11900" w:h="16838" w:orient="portrait"/>
          <w:cols w:equalWidth="0" w:num="1">
            <w:col w:w="10840"/>
          </w:cols>
          <w:pgMar w:left="320" w:top="1440"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419"/>
        <w:spacing w:after="0"/>
        <w:rPr>
          <w:sz w:val="20"/>
          <w:szCs w:val="20"/>
          <w:color w:val="auto"/>
        </w:rPr>
      </w:pPr>
      <w:r>
        <w:rPr>
          <w:rFonts w:ascii="Calibri" w:cs="Calibri" w:eastAsia="Calibri" w:hAnsi="Calibri"/>
          <w:sz w:val="19"/>
          <w:szCs w:val="19"/>
          <w:color w:val="auto"/>
        </w:rPr>
        <w:t>8</w:t>
      </w:r>
    </w:p>
    <w:p>
      <w:pPr>
        <w:sectPr>
          <w:pgSz w:w="11900" w:h="16838" w:orient="portrait"/>
          <w:cols w:equalWidth="0" w:num="1">
            <w:col w:w="10840"/>
          </w:cols>
          <w:pgMar w:left="320" w:top="1440" w:right="739" w:bottom="1440" w:gutter="0" w:footer="0" w:header="0"/>
          <w:type w:val="continuous"/>
        </w:sectPr>
      </w:pPr>
    </w:p>
    <w:bookmarkStart w:id="209" w:name="page210"/>
    <w:bookmarkEnd w:id="209"/>
    <w:p>
      <w:pPr>
        <w:spacing w:after="0" w:line="200" w:lineRule="exact"/>
        <w:rPr>
          <w:sz w:val="20"/>
          <w:szCs w:val="20"/>
          <w:color w:val="auto"/>
        </w:rPr>
      </w:pPr>
    </w:p>
    <w:p>
      <w:pPr>
        <w:spacing w:after="0" w:line="379" w:lineRule="exact"/>
        <w:rPr>
          <w:sz w:val="20"/>
          <w:szCs w:val="20"/>
          <w:color w:val="auto"/>
        </w:rPr>
      </w:pPr>
    </w:p>
    <w:p>
      <w:pPr>
        <w:jc w:val="both"/>
        <w:spacing w:after="0" w:line="269" w:lineRule="auto"/>
        <w:rPr>
          <w:sz w:val="20"/>
          <w:szCs w:val="20"/>
          <w:color w:val="auto"/>
        </w:rPr>
      </w:pPr>
      <w:r>
        <w:rPr>
          <w:rFonts w:ascii="Calibri" w:cs="Calibri" w:eastAsia="Calibri" w:hAnsi="Calibri"/>
          <w:sz w:val="20"/>
          <w:szCs w:val="20"/>
          <w:color w:val="auto"/>
        </w:rPr>
        <w:t>eligible for resale to the public under Rule 144. Private resales raise certain documentaton and other issues and must be reviewed in advance by the Company’s General Counsel.</w:t>
      </w:r>
    </w:p>
    <w:p>
      <w:pPr>
        <w:spacing w:after="0" w:line="22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 Restrictons on Purchases of Company Securites.</w:t>
      </w:r>
    </w:p>
    <w:p>
      <w:pPr>
        <w:spacing w:after="0" w:line="265" w:lineRule="exact"/>
        <w:rPr>
          <w:sz w:val="20"/>
          <w:szCs w:val="20"/>
          <w:color w:val="auto"/>
        </w:rPr>
      </w:pPr>
    </w:p>
    <w:p>
      <w:pPr>
        <w:jc w:val="both"/>
        <w:spacing w:after="0" w:line="269" w:lineRule="auto"/>
        <w:rPr>
          <w:sz w:val="20"/>
          <w:szCs w:val="20"/>
          <w:color w:val="auto"/>
        </w:rPr>
      </w:pPr>
      <w:r>
        <w:rPr>
          <w:rFonts w:ascii="Calibri" w:cs="Calibri" w:eastAsia="Calibri" w:hAnsi="Calibri"/>
          <w:sz w:val="20"/>
          <w:szCs w:val="20"/>
          <w:color w:val="auto"/>
        </w:rPr>
        <w:t>In order to prevent market manipulaton, the SEC adopted Regulaton M under the Exchange Act. Regulaton M generally restricts the Company or any of its afliates from buying Company stock, including as part of a share buyback program, in the open market during certain periods while a distributon, such as a public ofering, is taking place. You should consult with the Company’s General Counsel, if you desire to make purchases of Company stock during any period that the Company is conductng an ofering or buying shares from the public.</w:t>
      </w:r>
    </w:p>
    <w:p>
      <w:pPr>
        <w:spacing w:after="0" w:line="22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 Disgorgement of Profts on Short-Swing Transactons – Secton 16(b).</w:t>
      </w:r>
    </w:p>
    <w:p>
      <w:pPr>
        <w:spacing w:after="0" w:line="279" w:lineRule="exact"/>
        <w:rPr>
          <w:sz w:val="20"/>
          <w:szCs w:val="20"/>
          <w:color w:val="auto"/>
        </w:rPr>
      </w:pPr>
    </w:p>
    <w:p>
      <w:pPr>
        <w:jc w:val="both"/>
        <w:spacing w:after="0" w:line="255" w:lineRule="auto"/>
        <w:rPr>
          <w:sz w:val="20"/>
          <w:szCs w:val="20"/>
          <w:color w:val="auto"/>
        </w:rPr>
      </w:pPr>
      <w:r>
        <w:rPr>
          <w:rFonts w:ascii="Calibri" w:cs="Calibri" w:eastAsia="Calibri" w:hAnsi="Calibri"/>
          <w:sz w:val="20"/>
          <w:szCs w:val="20"/>
          <w:color w:val="auto"/>
        </w:rPr>
        <w:t>Secton 16 of the Exchange Act applies to directors and ofcers of the Company and to any person owning more than ten percent of any registered class of the Company’s equity securites. The secton is intended</w:t>
      </w:r>
    </w:p>
    <w:p>
      <w:pPr>
        <w:spacing w:after="0" w:line="268" w:lineRule="exact"/>
        <w:rPr>
          <w:sz w:val="20"/>
          <w:szCs w:val="20"/>
          <w:color w:val="auto"/>
        </w:rPr>
      </w:pPr>
    </w:p>
    <w:p>
      <w:pPr>
        <w:spacing w:after="0"/>
        <w:rPr>
          <w:sz w:val="20"/>
          <w:szCs w:val="20"/>
          <w:color w:val="auto"/>
        </w:rPr>
      </w:pPr>
      <w:r>
        <w:rPr>
          <w:rFonts w:ascii="Calibri" w:cs="Calibri" w:eastAsia="Calibri" w:hAnsi="Calibri"/>
          <w:sz w:val="20"/>
          <w:szCs w:val="20"/>
          <w:color w:val="auto"/>
        </w:rPr>
        <w:t>Secton 16(c) efectvely prohibits insiders from engaging in short sales (see “Prohibiton of Short Sales”, below).</w:t>
      </w:r>
    </w:p>
    <w:p>
      <w:pPr>
        <w:spacing w:after="0" w:line="265" w:lineRule="exact"/>
        <w:rPr>
          <w:sz w:val="20"/>
          <w:szCs w:val="20"/>
          <w:color w:val="auto"/>
        </w:rPr>
      </w:pPr>
    </w:p>
    <w:p>
      <w:pPr>
        <w:jc w:val="both"/>
        <w:spacing w:after="0" w:line="271" w:lineRule="auto"/>
        <w:rPr>
          <w:sz w:val="20"/>
          <w:szCs w:val="20"/>
          <w:color w:val="auto"/>
        </w:rPr>
      </w:pPr>
      <w:r>
        <w:rPr>
          <w:rFonts w:ascii="Calibri" w:cs="Calibri" w:eastAsia="Calibri" w:hAnsi="Calibri"/>
          <w:sz w:val="20"/>
          <w:szCs w:val="20"/>
          <w:color w:val="auto"/>
        </w:rPr>
        <w:t>Under Secton 16(b), any proft realized by an insider on a “short-swing” transacton (</w:t>
      </w:r>
      <w:r>
        <w:rPr>
          <w:rFonts w:ascii="Calibri" w:cs="Calibri" w:eastAsia="Calibri" w:hAnsi="Calibri"/>
          <w:sz w:val="20"/>
          <w:szCs w:val="20"/>
          <w:i w:val="1"/>
          <w:iCs w:val="1"/>
          <w:color w:val="auto"/>
        </w:rPr>
        <w:t>i.e.</w:t>
      </w:r>
      <w:r>
        <w:rPr>
          <w:rFonts w:ascii="Calibri" w:cs="Calibri" w:eastAsia="Calibri" w:hAnsi="Calibri"/>
          <w:sz w:val="20"/>
          <w:szCs w:val="20"/>
          <w:color w:val="auto"/>
        </w:rPr>
        <w:t>,a purchase and sale, or sale and purchase, of the Company’s equity securites within a period of less than six months) must be disgorged to the Company upon demand by the Company or a stockholder actng on its behalf. By law, the Company cannot waive or release any claim it may have under Secton 16(b), or enter into an enforceable agreement to provide indemnifcaton for amounts recovered under the secton.</w:t>
      </w:r>
    </w:p>
    <w:p>
      <w:pPr>
        <w:spacing w:after="0" w:line="234" w:lineRule="exact"/>
        <w:rPr>
          <w:sz w:val="20"/>
          <w:szCs w:val="20"/>
          <w:color w:val="auto"/>
        </w:rPr>
      </w:pPr>
    </w:p>
    <w:p>
      <w:pPr>
        <w:jc w:val="both"/>
        <w:spacing w:after="0" w:line="270" w:lineRule="auto"/>
        <w:rPr>
          <w:sz w:val="20"/>
          <w:szCs w:val="20"/>
          <w:color w:val="auto"/>
        </w:rPr>
      </w:pPr>
      <w:r>
        <w:rPr>
          <w:rFonts w:ascii="Calibri" w:cs="Calibri" w:eastAsia="Calibri" w:hAnsi="Calibri"/>
          <w:sz w:val="20"/>
          <w:szCs w:val="20"/>
          <w:color w:val="auto"/>
        </w:rPr>
        <w:t>Liability under Secton 16(b) is imposed in a mechanical fashion without regard to whether the insider intended to violate the secton. Good faith, therefore, is not a defense. All that is necessary for a successful claim is to show that the insider realized “profts” on a short-swing transacton; however, proft, for this purpose, is calculated as the diference between the sale price and the purchase price in the matching transactons, and may be unrelated to the actual gain on the shares sold. When computng recoverable profts on multple purchases and sales within a six-month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transactons while having recoverable “profts.”</w:t>
      </w:r>
    </w:p>
    <w:p>
      <w:pPr>
        <w:spacing w:after="0" w:line="200" w:lineRule="exact"/>
        <w:rPr>
          <w:sz w:val="20"/>
          <w:szCs w:val="20"/>
          <w:color w:val="auto"/>
        </w:rPr>
      </w:pPr>
    </w:p>
    <w:p>
      <w:pPr>
        <w:spacing w:after="0" w:line="321" w:lineRule="exact"/>
        <w:rPr>
          <w:sz w:val="20"/>
          <w:szCs w:val="20"/>
          <w:color w:val="auto"/>
        </w:rPr>
      </w:pPr>
    </w:p>
    <w:p>
      <w:pPr>
        <w:jc w:val="both"/>
        <w:spacing w:after="0" w:line="270" w:lineRule="auto"/>
        <w:rPr>
          <w:sz w:val="20"/>
          <w:szCs w:val="20"/>
          <w:color w:val="auto"/>
        </w:rPr>
      </w:pPr>
      <w:r>
        <w:rPr>
          <w:rFonts w:ascii="Calibri" w:cs="Calibri" w:eastAsia="Calibri" w:hAnsi="Calibri"/>
          <w:sz w:val="20"/>
          <w:szCs w:val="20"/>
          <w:color w:val="auto"/>
        </w:rPr>
        <w:t>The terms “purchase” and “sale” are construed under Secton 16(b) to cover a broad range of transactons, including acquisitons and dispositons in tender ofers and certain corporate reorganizatons. Moreover, purchases and sales by an insider may be matched with transactons by any person (such as certain family members) whose securites are deemed to be benefcially owned by the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0840"/>
          </w:cols>
          <w:pgMar w:left="320" w:top="1440" w:right="739" w:bottom="1440" w:gutter="0" w:footer="0" w:header="0"/>
        </w:sectPr>
      </w:pPr>
    </w:p>
    <w:bookmarkStart w:id="210" w:name="page211"/>
    <w:bookmarkEnd w:id="210"/>
    <w:p>
      <w:pPr>
        <w:spacing w:after="0" w:line="200" w:lineRule="exact"/>
        <w:rPr>
          <w:sz w:val="20"/>
          <w:szCs w:val="20"/>
          <w:color w:val="auto"/>
        </w:rPr>
      </w:pPr>
    </w:p>
    <w:p>
      <w:pPr>
        <w:spacing w:after="0" w:line="379" w:lineRule="exact"/>
        <w:rPr>
          <w:sz w:val="20"/>
          <w:szCs w:val="20"/>
          <w:color w:val="auto"/>
        </w:rPr>
      </w:pPr>
    </w:p>
    <w:p>
      <w:pPr>
        <w:jc w:val="both"/>
        <w:spacing w:after="0" w:line="271" w:lineRule="auto"/>
        <w:rPr>
          <w:sz w:val="20"/>
          <w:szCs w:val="20"/>
          <w:color w:val="auto"/>
        </w:rPr>
      </w:pPr>
      <w:r>
        <w:rPr>
          <w:rFonts w:ascii="Calibri" w:cs="Calibri" w:eastAsia="Calibri" w:hAnsi="Calibri"/>
          <w:sz w:val="20"/>
          <w:szCs w:val="20"/>
          <w:color w:val="auto"/>
        </w:rPr>
        <w:t>The Secton 16 rules are complicated and present ample opportunity for inadvertent error. To avoid unnecessary costs and potental embarrassment for insiders and the Company, ofcers and directors are strongly urged to consult with the Company’s General Counsel, prior to engaging in any transacton or other transfer of Company equity securites regarding the potental applicability of Secton 16(b).</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 Prohibiton of Short Sales.</w:t>
      </w:r>
    </w:p>
    <w:p>
      <w:pPr>
        <w:spacing w:after="0" w:line="265" w:lineRule="exact"/>
        <w:rPr>
          <w:sz w:val="20"/>
          <w:szCs w:val="20"/>
          <w:color w:val="auto"/>
        </w:rPr>
      </w:pPr>
    </w:p>
    <w:p>
      <w:pPr>
        <w:jc w:val="both"/>
        <w:ind w:right="20"/>
        <w:spacing w:after="0" w:line="269" w:lineRule="auto"/>
        <w:rPr>
          <w:sz w:val="20"/>
          <w:szCs w:val="20"/>
          <w:color w:val="auto"/>
        </w:rPr>
      </w:pPr>
      <w:r>
        <w:rPr>
          <w:rFonts w:ascii="Calibri" w:cs="Calibri" w:eastAsia="Calibri" w:hAnsi="Calibri"/>
          <w:sz w:val="20"/>
          <w:szCs w:val="20"/>
          <w:color w:val="auto"/>
        </w:rPr>
        <w:t>Under Secton 16(c), insiders are prohibited from efectng “short sales” of the Company’s equity securites. A “short sale” is one involving securites which the seller does not own at the tme of sale, or, if owned, are not delivered within 20 days afer the sale or deposited in the mail or other usual channels of transportaton within fve days afer the sale. Wholly apart from Secton 16(c), the Company prohibits directors and employees from selling the Company’s stock short. This type of actvity is inherently speculatve in nature and is contrary to the best interests of the Company and its stockholders.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 Filing Requirements.</w:t>
      </w:r>
    </w:p>
    <w:p>
      <w:pPr>
        <w:spacing w:after="0" w:line="252" w:lineRule="exact"/>
        <w:rPr>
          <w:sz w:val="20"/>
          <w:szCs w:val="20"/>
          <w:color w:val="auto"/>
        </w:rPr>
      </w:pPr>
    </w:p>
    <w:p>
      <w:pPr>
        <w:jc w:val="both"/>
        <w:ind w:right="20" w:firstLine="656"/>
        <w:spacing w:after="0" w:line="232" w:lineRule="auto"/>
        <w:tabs>
          <w:tab w:leader="none" w:pos="919" w:val="left"/>
        </w:tabs>
        <w:numPr>
          <w:ilvl w:val="0"/>
          <w:numId w:val="200"/>
        </w:numPr>
        <w:rPr>
          <w:rFonts w:ascii="Calibri" w:cs="Calibri" w:eastAsia="Calibri" w:hAnsi="Calibri"/>
          <w:sz w:val="20"/>
          <w:szCs w:val="20"/>
          <w:color w:val="auto"/>
        </w:rPr>
      </w:pPr>
      <w:r>
        <w:rPr>
          <w:rFonts w:ascii="Calibri" w:cs="Calibri" w:eastAsia="Calibri" w:hAnsi="Calibri"/>
          <w:sz w:val="20"/>
          <w:szCs w:val="20"/>
          <w:u w:val="single" w:color="auto"/>
          <w:color w:val="auto"/>
        </w:rPr>
        <w:t>Form 3, 4 and 5</w:t>
      </w:r>
      <w:r>
        <w:rPr>
          <w:rFonts w:ascii="Calibri" w:cs="Calibri" w:eastAsia="Calibri" w:hAnsi="Calibri"/>
          <w:sz w:val="20"/>
          <w:szCs w:val="20"/>
          <w:color w:val="auto"/>
        </w:rPr>
        <w:t xml:space="preserve">. Under Secton 16(a) of the Exchange Act, insiders must fle with the SEC public reports disclosing their holdings of and transactons involving, the Company’s equity securites. An inital report on Form 3 must be fled by every insider within 10 days afer electon or appointment disclosing </w:t>
      </w:r>
      <w:r>
        <w:rPr>
          <w:rFonts w:ascii="Calibri" w:cs="Calibri" w:eastAsia="Calibri" w:hAnsi="Calibri"/>
          <w:sz w:val="20"/>
          <w:szCs w:val="20"/>
          <w:i w:val="1"/>
          <w:iCs w:val="1"/>
          <w:color w:val="auto"/>
        </w:rPr>
        <w:t>all</w:t>
      </w:r>
      <w:r>
        <w:rPr>
          <w:rFonts w:ascii="Calibri" w:cs="Calibri" w:eastAsia="Calibri" w:hAnsi="Calibri"/>
          <w:sz w:val="20"/>
          <w:szCs w:val="20"/>
          <w:color w:val="auto"/>
        </w:rPr>
        <w:t xml:space="preserve"> equity securites of the Company benefcially owned by the reportng person on the date he or she became an insider. Even if no securites were owned on that date, the insider must fle a report. Any subsequent change in the nature or amount of benefcial ownership by the insider must be reported on Form 4 and fled by the end of the second business day following the date of the transacton. Certain exempt transactons may be reported on Form 5 within 45 days afer the end of the fscal year. The fact that an insider’s transactons during the month resulted in no net change, or the fact that no securites were owned afer the transactons were completed, does not provide a basis for failing to report.</w:t>
      </w:r>
    </w:p>
    <w:p>
      <w:pPr>
        <w:spacing w:after="0" w:line="124" w:lineRule="exact"/>
        <w:rPr>
          <w:sz w:val="20"/>
          <w:szCs w:val="20"/>
          <w:color w:val="auto"/>
        </w:rPr>
      </w:pPr>
    </w:p>
    <w:p>
      <w:pPr>
        <w:jc w:val="both"/>
        <w:ind w:right="20" w:firstLine="648"/>
        <w:spacing w:after="0" w:line="271" w:lineRule="auto"/>
        <w:rPr>
          <w:sz w:val="20"/>
          <w:szCs w:val="20"/>
          <w:color w:val="auto"/>
        </w:rPr>
      </w:pPr>
      <w:r>
        <w:rPr>
          <w:rFonts w:ascii="Calibri" w:cs="Calibri" w:eastAsia="Calibri" w:hAnsi="Calibri"/>
          <w:sz w:val="20"/>
          <w:szCs w:val="20"/>
          <w:color w:val="auto"/>
        </w:rPr>
        <w:t>All changes in the amount or the form (</w:t>
      </w:r>
      <w:r>
        <w:rPr>
          <w:rFonts w:ascii="Calibri" w:cs="Calibri" w:eastAsia="Calibri" w:hAnsi="Calibri"/>
          <w:sz w:val="20"/>
          <w:szCs w:val="20"/>
          <w:i w:val="1"/>
          <w:iCs w:val="1"/>
          <w:color w:val="auto"/>
        </w:rPr>
        <w:t>i.e.,</w:t>
      </w:r>
      <w:r>
        <w:rPr>
          <w:rFonts w:ascii="Calibri" w:cs="Calibri" w:eastAsia="Calibri" w:hAnsi="Calibri"/>
          <w:sz w:val="20"/>
          <w:szCs w:val="20"/>
          <w:color w:val="auto"/>
        </w:rPr>
        <w:t xml:space="preserve"> direct or indirect) of benefcial ownership (not just purchases and sales) must be reported. Thus, gifs are reportable, and must be reported on a Form 4 fled by the end of the second business day following the gif. Moreover, an ofcer or director who has ceased to be an ofcer or director must report any transactons afer terminaton which occurred within six months of a transacton that occurred while the person was an insider.</w:t>
      </w:r>
    </w:p>
    <w:p>
      <w:pPr>
        <w:spacing w:after="0" w:line="234" w:lineRule="exact"/>
        <w:rPr>
          <w:sz w:val="20"/>
          <w:szCs w:val="20"/>
          <w:color w:val="auto"/>
        </w:rPr>
      </w:pPr>
    </w:p>
    <w:p>
      <w:pPr>
        <w:jc w:val="both"/>
        <w:ind w:right="20" w:firstLine="648"/>
        <w:spacing w:after="0" w:line="271" w:lineRule="auto"/>
        <w:rPr>
          <w:sz w:val="20"/>
          <w:szCs w:val="20"/>
          <w:color w:val="auto"/>
        </w:rPr>
      </w:pPr>
      <w:r>
        <w:rPr>
          <w:rFonts w:ascii="Calibri" w:cs="Calibri" w:eastAsia="Calibri" w:hAnsi="Calibri"/>
          <w:sz w:val="20"/>
          <w:szCs w:val="20"/>
          <w:color w:val="auto"/>
        </w:rPr>
        <w:t>The reports under Secton 16(a) are intended to cover all securites benefcially owned either directly by the insider or indirectly through others. An insider is considered the direct owner of all Company equity securites held in his or her own name or held jointly with others. An insider is considered the indirect owner of any securites from which he obtains benefts substantally equivalent to those of ownership. Thus, equity securites of the Company benefcially owned through partnerships, corporatons, trusts, estates and by family members generally are subject to reportng. Absent countervailing facts, an insider is presumed to be the benefcial owner of securites held by his or her spouse and other family members sharing the same household. But an insider is free to disclaim benefcial ownership of these or any other securites being reported if the insider believes there is a reasonable basis for doing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0860"/>
          </w:cols>
          <w:pgMar w:left="320" w:top="1440" w:right="719" w:bottom="1440" w:gutter="0" w:footer="0" w:header="0"/>
        </w:sectPr>
      </w:pPr>
    </w:p>
    <w:bookmarkStart w:id="211" w:name="page212"/>
    <w:bookmarkEnd w:id="211"/>
    <w:p>
      <w:pPr>
        <w:spacing w:after="0" w:line="200" w:lineRule="exact"/>
        <w:rPr>
          <w:sz w:val="20"/>
          <w:szCs w:val="20"/>
          <w:color w:val="auto"/>
        </w:rPr>
      </w:pPr>
    </w:p>
    <w:p>
      <w:pPr>
        <w:spacing w:after="0" w:line="379" w:lineRule="exact"/>
        <w:rPr>
          <w:sz w:val="20"/>
          <w:szCs w:val="20"/>
          <w:color w:val="auto"/>
        </w:rPr>
      </w:pPr>
    </w:p>
    <w:p>
      <w:pPr>
        <w:jc w:val="both"/>
        <w:ind w:firstLine="648"/>
        <w:spacing w:after="0" w:line="269" w:lineRule="auto"/>
        <w:rPr>
          <w:sz w:val="20"/>
          <w:szCs w:val="20"/>
          <w:color w:val="auto"/>
        </w:rPr>
      </w:pPr>
      <w:r>
        <w:rPr>
          <w:rFonts w:ascii="Calibri" w:cs="Calibri" w:eastAsia="Calibri" w:hAnsi="Calibri"/>
          <w:sz w:val="20"/>
          <w:szCs w:val="20"/>
          <w:color w:val="auto"/>
        </w:rPr>
        <w:t>It is important that reports under Secton 16(a) be prepared properly and fled on a tmely basis. The reports must be received at the SEC by the fling deadline. There is no provision for an extension of the fling deadlines, and the SEC can take enforcement acton against insiders who do not comply fully with the fling requirements. In additon, the Company is required to disclose in its annual proxy statement the names of insiders who failed to fle Secton 16(a) reports properly during the fscal year, along with the partculars of such instances of noncompliance.</w:t>
      </w:r>
    </w:p>
    <w:p>
      <w:pPr>
        <w:spacing w:after="0" w:line="252" w:lineRule="exact"/>
        <w:rPr>
          <w:sz w:val="20"/>
          <w:szCs w:val="20"/>
          <w:color w:val="auto"/>
        </w:rPr>
      </w:pPr>
    </w:p>
    <w:p>
      <w:pPr>
        <w:jc w:val="both"/>
        <w:ind w:firstLine="648"/>
        <w:spacing w:after="0" w:line="267" w:lineRule="auto"/>
        <w:rPr>
          <w:sz w:val="20"/>
          <w:szCs w:val="20"/>
          <w:color w:val="auto"/>
        </w:rPr>
      </w:pPr>
      <w:r>
        <w:rPr>
          <w:rFonts w:ascii="Calibri" w:cs="Calibri" w:eastAsia="Calibri" w:hAnsi="Calibri"/>
          <w:sz w:val="20"/>
          <w:szCs w:val="20"/>
          <w:color w:val="auto"/>
        </w:rPr>
        <w:t>Accordingly, all directors and ofcers must notfy the Company’s General Counsel, prior to any transactons or changes in their or their family members’ benefcial ownership involving Company stock and are strongly encouraged to avail themselves of the assistance available from the General Counsel’s ofce in satsfying the reportng requirements.</w:t>
      </w:r>
    </w:p>
    <w:p>
      <w:pPr>
        <w:spacing w:after="0" w:line="225" w:lineRule="exact"/>
        <w:rPr>
          <w:sz w:val="20"/>
          <w:szCs w:val="20"/>
          <w:color w:val="auto"/>
        </w:rPr>
      </w:pPr>
    </w:p>
    <w:p>
      <w:pPr>
        <w:jc w:val="both"/>
        <w:ind w:firstLine="656"/>
        <w:spacing w:after="0"/>
        <w:tabs>
          <w:tab w:leader="none" w:pos="933" w:val="left"/>
        </w:tabs>
        <w:numPr>
          <w:ilvl w:val="0"/>
          <w:numId w:val="201"/>
        </w:numPr>
        <w:rPr>
          <w:rFonts w:ascii="Calibri" w:cs="Calibri" w:eastAsia="Calibri" w:hAnsi="Calibri"/>
          <w:sz w:val="20"/>
          <w:szCs w:val="20"/>
          <w:color w:val="auto"/>
        </w:rPr>
      </w:pPr>
      <w:r>
        <w:rPr>
          <w:rFonts w:ascii="Calibri" w:cs="Calibri" w:eastAsia="Calibri" w:hAnsi="Calibri"/>
          <w:sz w:val="20"/>
          <w:szCs w:val="20"/>
          <w:u w:val="single" w:color="auto"/>
          <w:color w:val="auto"/>
        </w:rPr>
        <w:t>Schedule 13D and 13G</w:t>
      </w:r>
      <w:r>
        <w:rPr>
          <w:rFonts w:ascii="Calibri" w:cs="Calibri" w:eastAsia="Calibri" w:hAnsi="Calibri"/>
          <w:sz w:val="20"/>
          <w:szCs w:val="20"/>
          <w:color w:val="auto"/>
        </w:rPr>
        <w:t>. Secton 13(d) of the Exchange Act requires the fling of a statement on Schedule 13D (or on Schedule 13G, in certain limited circumstances) by any person or group which acquires benefcial ownership of more than fve percent of a class of equity securites registered under the Exchange Act. The threshold for reportng is met if the stock owned, when coupled with the amount of stock subject to derivatves (such as warrants or optons) exercisable within 60 days, exceeds the fve percent limit.</w:t>
      </w:r>
    </w:p>
    <w:p>
      <w:pPr>
        <w:spacing w:after="0" w:line="333" w:lineRule="exact"/>
        <w:rPr>
          <w:sz w:val="20"/>
          <w:szCs w:val="20"/>
          <w:color w:val="auto"/>
        </w:rPr>
      </w:pPr>
    </w:p>
    <w:p>
      <w:pPr>
        <w:jc w:val="both"/>
        <w:ind w:firstLine="648"/>
        <w:spacing w:after="0" w:line="266" w:lineRule="auto"/>
        <w:rPr>
          <w:sz w:val="20"/>
          <w:szCs w:val="20"/>
          <w:color w:val="auto"/>
        </w:rPr>
      </w:pPr>
      <w:r>
        <w:rPr>
          <w:rFonts w:ascii="Calibri" w:cs="Calibri" w:eastAsia="Calibri" w:hAnsi="Calibri"/>
          <w:sz w:val="20"/>
          <w:szCs w:val="20"/>
          <w:color w:val="auto"/>
        </w:rPr>
        <w:t>A report on Schedule 13D is required to be fled with the SEC and submited to the Company within ten days afer the reportng threshold is reached. If a material change occurs in the facts set forth in the Schedule 13D, such as an increase or decrease of one percent or more in the percentage of stock benefcially owned, an amendment disclosing the change must be fled promptly. A decrease in benefcial ownership to less than fve percent is per se material and must be reported.</w:t>
      </w:r>
    </w:p>
    <w:p>
      <w:pPr>
        <w:spacing w:after="0" w:line="254" w:lineRule="exact"/>
        <w:rPr>
          <w:sz w:val="20"/>
          <w:szCs w:val="20"/>
          <w:color w:val="auto"/>
        </w:rPr>
      </w:pPr>
    </w:p>
    <w:p>
      <w:pPr>
        <w:jc w:val="both"/>
        <w:ind w:firstLine="648"/>
        <w:spacing w:after="0" w:line="266" w:lineRule="auto"/>
        <w:rPr>
          <w:sz w:val="20"/>
          <w:szCs w:val="20"/>
          <w:color w:val="auto"/>
        </w:rPr>
      </w:pPr>
      <w:r>
        <w:rPr>
          <w:rFonts w:ascii="Calibri" w:cs="Calibri" w:eastAsia="Calibri" w:hAnsi="Calibri"/>
          <w:sz w:val="20"/>
          <w:szCs w:val="20"/>
          <w:color w:val="auto"/>
        </w:rPr>
        <w:t>A person is deemed the benefcial owner of securites for purposes of Secton 13(d) of the Exchange Act if such person has or shares votng power (</w:t>
      </w:r>
      <w:r>
        <w:rPr>
          <w:rFonts w:ascii="Calibri" w:cs="Calibri" w:eastAsia="Calibri" w:hAnsi="Calibri"/>
          <w:sz w:val="20"/>
          <w:szCs w:val="20"/>
          <w:i w:val="1"/>
          <w:iCs w:val="1"/>
          <w:color w:val="auto"/>
        </w:rPr>
        <w:t>i.e.</w:t>
      </w:r>
      <w:r>
        <w:rPr>
          <w:rFonts w:ascii="Calibri" w:cs="Calibri" w:eastAsia="Calibri" w:hAnsi="Calibri"/>
          <w:sz w:val="20"/>
          <w:szCs w:val="20"/>
          <w:color w:val="auto"/>
        </w:rPr>
        <w:t>, the power to vote or direct the votng of the securites) or dispositve power (</w:t>
      </w:r>
      <w:r>
        <w:rPr>
          <w:rFonts w:ascii="Calibri" w:cs="Calibri" w:eastAsia="Calibri" w:hAnsi="Calibri"/>
          <w:sz w:val="20"/>
          <w:szCs w:val="20"/>
          <w:i w:val="1"/>
          <w:iCs w:val="1"/>
          <w:color w:val="auto"/>
        </w:rPr>
        <w:t>i.e.</w:t>
      </w:r>
      <w:r>
        <w:rPr>
          <w:rFonts w:ascii="Calibri" w:cs="Calibri" w:eastAsia="Calibri" w:hAnsi="Calibri"/>
          <w:sz w:val="20"/>
          <w:szCs w:val="20"/>
          <w:color w:val="auto"/>
        </w:rPr>
        <w:t>, the power to sell or direct the sale of the securites). As is true under Secton 16(a) of the Exchange Act, a person fling a Schedule 13D may disclaim benefcial ownership of any securites atributed to him or her if he or she believes there is a reasonable basis for doing so.</w:t>
      </w:r>
    </w:p>
    <w:p>
      <w:pPr>
        <w:spacing w:after="0" w:line="227" w:lineRule="exact"/>
        <w:rPr>
          <w:sz w:val="20"/>
          <w:szCs w:val="20"/>
          <w:color w:val="auto"/>
        </w:rPr>
      </w:pPr>
    </w:p>
    <w:p>
      <w:pPr>
        <w:jc w:val="both"/>
        <w:ind w:firstLine="656"/>
        <w:spacing w:after="0" w:line="236" w:lineRule="auto"/>
        <w:tabs>
          <w:tab w:leader="none" w:pos="919" w:val="left"/>
        </w:tabs>
        <w:numPr>
          <w:ilvl w:val="1"/>
          <w:numId w:val="202"/>
        </w:numPr>
        <w:rPr>
          <w:rFonts w:ascii="Calibri" w:cs="Calibri" w:eastAsia="Calibri" w:hAnsi="Calibri"/>
          <w:sz w:val="20"/>
          <w:szCs w:val="20"/>
          <w:color w:val="auto"/>
        </w:rPr>
      </w:pPr>
      <w:r>
        <w:rPr>
          <w:rFonts w:ascii="Calibri" w:cs="Calibri" w:eastAsia="Calibri" w:hAnsi="Calibri"/>
          <w:sz w:val="20"/>
          <w:szCs w:val="20"/>
          <w:u w:val="single" w:color="auto"/>
          <w:color w:val="auto"/>
        </w:rPr>
        <w:t>Form 144</w:t>
      </w:r>
      <w:r>
        <w:rPr>
          <w:rFonts w:ascii="Calibri" w:cs="Calibri" w:eastAsia="Calibri" w:hAnsi="Calibri"/>
          <w:sz w:val="20"/>
          <w:szCs w:val="20"/>
          <w:color w:val="auto"/>
        </w:rPr>
        <w:t>. As described above under the discussion of Rule 144, an afliate seller relying on Rule 144 must fle a notce of proposed sale with the SEC at the tme the order to sell is placed with the broker unless the amount to be sold during any three-month period neither exceeds 5,000 shares nor involves sale proceeds greater than $50,000.</w:t>
      </w:r>
    </w:p>
    <w:p>
      <w:pPr>
        <w:spacing w:after="0" w:line="336" w:lineRule="exact"/>
        <w:rPr>
          <w:rFonts w:ascii="Calibri" w:cs="Calibri" w:eastAsia="Calibri" w:hAnsi="Calibri"/>
          <w:sz w:val="20"/>
          <w:szCs w:val="20"/>
          <w:color w:val="auto"/>
        </w:rPr>
      </w:pPr>
    </w:p>
    <w:p>
      <w:pPr>
        <w:ind w:left="260" w:hanging="252"/>
        <w:spacing w:after="0"/>
        <w:tabs>
          <w:tab w:leader="none" w:pos="260" w:val="left"/>
        </w:tabs>
        <w:numPr>
          <w:ilvl w:val="0"/>
          <w:numId w:val="20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MISCELLANEOUS</w:t>
      </w:r>
    </w:p>
    <w:p>
      <w:pPr>
        <w:spacing w:after="0" w:line="25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A. Amendments.</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reserves the right to amend, alter or terminate this policy at any tme and for any reason, subject to applicable law.</w:t>
      </w:r>
    </w:p>
    <w:p>
      <w:pPr>
        <w:spacing w:after="0" w:line="238" w:lineRule="auto"/>
        <w:rPr>
          <w:sz w:val="20"/>
          <w:szCs w:val="20"/>
          <w:color w:val="auto"/>
        </w:rPr>
      </w:pPr>
      <w:r>
        <w:rPr>
          <w:rFonts w:ascii="Calibri" w:cs="Calibri" w:eastAsia="Calibri" w:hAnsi="Calibri"/>
          <w:sz w:val="20"/>
          <w:szCs w:val="20"/>
          <w:color w:val="auto"/>
        </w:rPr>
        <w:t>Covered Persons may obtain a current copy of the Company’s policies on insider trading by contactng the General Counsel.</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 No Employment Contract</w:t>
      </w:r>
      <w:r>
        <w:rPr>
          <w:rFonts w:ascii="Calibri" w:cs="Calibri" w:eastAsia="Calibri" w:hAnsi="Calibri"/>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0840"/>
          </w:cols>
          <w:pgMar w:left="320" w:top="1440" w:right="739" w:bottom="1440" w:gutter="0" w:footer="0" w:header="0"/>
        </w:sectPr>
      </w:pPr>
    </w:p>
    <w:bookmarkStart w:id="212" w:name="page213"/>
    <w:bookmarkEnd w:id="212"/>
    <w:p>
      <w:pPr>
        <w:spacing w:after="0" w:line="200" w:lineRule="exact"/>
        <w:rPr>
          <w:sz w:val="20"/>
          <w:szCs w:val="20"/>
          <w:color w:val="auto"/>
        </w:rPr>
      </w:pPr>
    </w:p>
    <w:p>
      <w:pPr>
        <w:spacing w:after="0" w:line="366"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Nothing in this policy creates or implies an employment contract or term of employment. Employment at the Company is at will. Employment at will may be terminated with or without cause and with or without notce at any tme by the employee or the Company. Nothing in this policy limits the right of either party to terminate employment at will. The policies in this policy do not consttute a complete list of Company policies or a complete list of the types of conduct that can result in discipline, up to and including discharge.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9"/>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0840"/>
          </w:cols>
          <w:pgMar w:left="320" w:top="1440" w:right="73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440" w:type="dxa"/>
            <w:vAlign w:val="bottom"/>
          </w:tcPr>
          <w:p>
            <w:pPr>
              <w:spacing w:after="0"/>
              <w:rPr>
                <w:sz w:val="22"/>
                <w:szCs w:val="22"/>
                <w:color w:val="auto"/>
              </w:rPr>
            </w:pPr>
          </w:p>
        </w:tc>
        <w:tc>
          <w:tcPr>
            <w:tcW w:w="78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Subsidiaries of Reynolds Consumer Products Inc.</w:t>
            </w:r>
          </w:p>
        </w:tc>
      </w:tr>
      <w:tr>
        <w:trPr>
          <w:trHeight w:val="457"/>
        </w:trPr>
        <w:tc>
          <w:tcPr>
            <w:tcW w:w="34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Jurisdiction of Organization</w:t>
            </w:r>
          </w:p>
        </w:tc>
      </w:tr>
      <w:tr>
        <w:trPr>
          <w:trHeight w:val="23"/>
        </w:trPr>
        <w:tc>
          <w:tcPr>
            <w:tcW w:w="3440" w:type="dxa"/>
            <w:vAlign w:val="bottom"/>
            <w:tcBorders>
              <w:bottom w:val="single" w:sz="8" w:color="CCEEFF"/>
            </w:tcBorders>
          </w:tcPr>
          <w:p>
            <w:pPr>
              <w:spacing w:after="0"/>
              <w:rPr>
                <w:sz w:val="2"/>
                <w:szCs w:val="2"/>
                <w:color w:val="auto"/>
              </w:rPr>
            </w:pPr>
          </w:p>
        </w:tc>
        <w:tc>
          <w:tcPr>
            <w:tcW w:w="5000" w:type="dxa"/>
            <w:vAlign w:val="bottom"/>
            <w:tcBorders>
              <w:bottom w:val="single" w:sz="8" w:color="CCEEFF"/>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0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Legal name of subsidiary</w:t>
            </w:r>
          </w:p>
        </w:tc>
        <w:tc>
          <w:tcPr>
            <w:tcW w:w="50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Atacama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RB Risk Management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Arizona</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Canada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Ontario, Canada</w:t>
            </w:r>
          </w:p>
        </w:tc>
      </w:tr>
      <w:tr>
        <w:trPr>
          <w:trHeight w:val="230"/>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Consumer Products Holdings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Consumer Products LLC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International Services LLC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0"/>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Reynolds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29"/>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Reynolds Presto Products Inc.</w:t>
            </w:r>
          </w:p>
        </w:tc>
        <w:tc>
          <w:tcPr>
            <w:tcW w:w="5000" w:type="dxa"/>
            <w:vAlign w:val="bottom"/>
            <w:shd w:val="clear" w:color="auto" w:fill="CCEEFF"/>
          </w:tcPr>
          <w:p>
            <w:pPr>
              <w:spacing w:after="0"/>
              <w:rPr>
                <w:sz w:val="19"/>
                <w:szCs w:val="19"/>
                <w:color w:val="auto"/>
              </w:rPr>
            </w:pP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234"/>
        </w:trPr>
        <w:tc>
          <w:tcPr>
            <w:tcW w:w="3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 Western Polymers, Inc.</w:t>
            </w:r>
          </w:p>
        </w:tc>
        <w:tc>
          <w:tcPr>
            <w:tcW w:w="500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California</w:t>
            </w:r>
          </w:p>
        </w:tc>
      </w:tr>
    </w:tbl>
    <w:p>
      <w:pPr>
        <w:sectPr>
          <w:pgSz w:w="11900" w:h="16838" w:orient="portrait"/>
          <w:cols w:equalWidth="0" w:num="1">
            <w:col w:w="11240"/>
          </w:cols>
          <w:pgMar w:left="320" w:top="114"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48"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S-8 (No. 333-236204) and in the Registration Statement on Form S-3 (No. 333-279197) of Reynolds Consumer Products Inc. of our report dated February 5, 2025 relating to the financial statements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5, 2025</w:t>
      </w:r>
    </w:p>
    <w:p>
      <w:pPr>
        <w:sectPr>
          <w:pgSz w:w="11900" w:h="16838" w:orient="portrait"/>
          <w:cols w:equalWidth="0" w:num="1">
            <w:col w:w="11240"/>
          </w:cols>
          <w:pgMar w:left="320" w:top="1413" w:right="33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Huckins, certify that:</w:t>
      </w:r>
    </w:p>
    <w:p>
      <w:pPr>
        <w:spacing w:after="0" w:line="225" w:lineRule="exact"/>
        <w:rPr>
          <w:sz w:val="20"/>
          <w:szCs w:val="20"/>
          <w:color w:val="auto"/>
        </w:rPr>
      </w:pPr>
    </w:p>
    <w:p>
      <w:pPr>
        <w:ind w:left="660" w:hanging="652"/>
        <w:spacing w:after="0"/>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Nathan Lowe, certify that:</w:t>
      </w:r>
    </w:p>
    <w:p>
      <w:pPr>
        <w:spacing w:after="0" w:line="225" w:lineRule="exact"/>
        <w:rPr>
          <w:sz w:val="20"/>
          <w:szCs w:val="20"/>
          <w:color w:val="auto"/>
        </w:rPr>
      </w:pPr>
    </w:p>
    <w:p>
      <w:pPr>
        <w:ind w:left="660" w:hanging="652"/>
        <w:spacing w:after="0"/>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Reynolds Consumer Products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40" w:hanging="644"/>
        <w:spacing w:after="0" w:line="266" w:lineRule="auto"/>
        <w:tabs>
          <w:tab w:leader="none" w:pos="129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00" w:hanging="652"/>
        <w:spacing w:after="0" w:line="282" w:lineRule="auto"/>
        <w:tabs>
          <w:tab w:leader="none" w:pos="66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9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60" w:val="left"/>
          <w:tab w:leader="none" w:pos="806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3" w:right="33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2024 as filed with the Securities and Exchange Commission on the date hereof (the “Report”), I, Scott Huckins, President and Chief Executive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4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Scott Huckins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Scott Huckins</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ectPr>
          <w:pgSz w:w="11900" w:h="16838" w:orient="portrait"/>
          <w:cols w:equalWidth="0" w:num="1">
            <w:col w:w="11240"/>
          </w:cols>
          <w:pgMar w:left="320" w:top="1143" w:right="339" w:bottom="1440" w:gutter="0" w:footer="0" w:header="0"/>
        </w:sectPr>
      </w:pPr>
    </w:p>
    <w:bookmarkStart w:id="218" w:name="page219"/>
    <w:bookmarkEnd w:id="21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Reynolds Consumer Products Inc. (the “Company”) on Form 10-K for the period ended December 31, 2024 as filed with the Securities and Exchange Commission on the date hereof (the “Report”), I, Nathan Lowe, Chief Financial Officer,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16" w:lineRule="exact"/>
        <w:rPr>
          <w:sz w:val="20"/>
          <w:szCs w:val="20"/>
          <w:color w:val="auto"/>
        </w:rPr>
      </w:pPr>
    </w:p>
    <w:p>
      <w:pPr>
        <w:ind w:left="20"/>
        <w:spacing w:after="0"/>
        <w:tabs>
          <w:tab w:leader="none" w:pos="5660" w:val="left"/>
          <w:tab w:leader="none" w:pos="8060" w:val="left"/>
        </w:tabs>
        <w:rPr>
          <w:sz w:val="20"/>
          <w:szCs w:val="20"/>
          <w:color w:val="auto"/>
        </w:rPr>
      </w:pPr>
      <w:r>
        <w:rPr>
          <w:rFonts w:ascii="Times New Roman" w:cs="Times New Roman" w:eastAsia="Times New Roman" w:hAnsi="Times New Roman"/>
          <w:sz w:val="18"/>
          <w:szCs w:val="18"/>
          <w:color w:val="auto"/>
        </w:rPr>
        <w:t>Date: February 5,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Nathan 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pacing w:after="0" w:line="5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Nathan Lowe</w:t>
      </w:r>
    </w:p>
    <w:p>
      <w:pPr>
        <w:spacing w:after="0" w:line="63"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b w:val="1"/>
          <w:bCs w:val="1"/>
          <w:color w:val="auto"/>
        </w:rPr>
        <w:t>Chief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3DD3E8"/>
    <w:multiLevelType w:val="hybridMultilevel"/>
    <w:lvl w:ilvl="0">
      <w:lvlJc w:val="left"/>
      <w:lvlText w:val="R"/>
      <w:numFmt w:val="bullet"/>
      <w:start w:val="1"/>
    </w:lvl>
  </w:abstractNum>
  <w:abstractNum w:abstractNumId="1">
    <w:nsid w:val="71C91298"/>
    <w:multiLevelType w:val="hybridMultilevel"/>
    <w:lvl w:ilvl="0">
      <w:lvlJc w:val="left"/>
      <w:lvlText w:val="o"/>
      <w:numFmt w:val="bullet"/>
      <w:start w:val="1"/>
    </w:lvl>
  </w:abstractNum>
  <w:abstractNum w:abstractNumId="2">
    <w:nsid w:val="9DAF632"/>
    <w:multiLevelType w:val="hybridMultilevel"/>
    <w:lvl w:ilvl="0">
      <w:lvlJc w:val="left"/>
      <w:lvlText w:val="•"/>
      <w:numFmt w:val="bullet"/>
      <w:start w:val="1"/>
    </w:lvl>
  </w:abstractNum>
  <w:abstractNum w:abstractNumId="3">
    <w:nsid w:val="53299938"/>
    <w:multiLevelType w:val="hybridMultilevel"/>
    <w:lvl w:ilvl="0">
      <w:lvlJc w:val="left"/>
      <w:lvlText w:val="•"/>
      <w:numFmt w:val="bullet"/>
      <w:start w:val="1"/>
    </w:lvl>
  </w:abstractNum>
  <w:abstractNum w:abstractNumId="4">
    <w:nsid w:val="1FBFE8E0"/>
    <w:multiLevelType w:val="hybridMultilevel"/>
    <w:lvl w:ilvl="0">
      <w:lvlJc w:val="left"/>
      <w:lvlText w:val="(%1)"/>
      <w:numFmt w:val="decimal"/>
      <w:start w:val="1"/>
    </w:lvl>
  </w:abstractNum>
  <w:abstractNum w:abstractNumId="5">
    <w:nsid w:val="5092CA79"/>
    <w:multiLevelType w:val="hybridMultilevel"/>
    <w:lvl w:ilvl="0">
      <w:lvlJc w:val="left"/>
      <w:lvlText w:val="•"/>
      <w:numFmt w:val="bullet"/>
      <w:start w:val="1"/>
    </w:lvl>
  </w:abstractNum>
  <w:abstractNum w:abstractNumId="6">
    <w:nsid w:val="1D545C4D"/>
    <w:multiLevelType w:val="hybridMultilevel"/>
    <w:lvl w:ilvl="0">
      <w:lvlJc w:val="left"/>
      <w:lvlText w:val="•"/>
      <w:numFmt w:val="bullet"/>
      <w:start w:val="1"/>
    </w:lvl>
  </w:abstractNum>
  <w:abstractNum w:abstractNumId="7">
    <w:nsid w:val="59ADEA3D"/>
    <w:multiLevelType w:val="hybridMultilevel"/>
    <w:lvl w:ilvl="0">
      <w:lvlJc w:val="left"/>
      <w:lvlText w:val="•"/>
      <w:numFmt w:val="bullet"/>
      <w:start w:val="1"/>
    </w:lvl>
  </w:abstractNum>
  <w:abstractNum w:abstractNumId="8">
    <w:nsid w:val="288F1A34"/>
    <w:multiLevelType w:val="hybridMultilevel"/>
    <w:lvl w:ilvl="0">
      <w:lvlJc w:val="left"/>
      <w:lvlText w:val="•"/>
      <w:numFmt w:val="bullet"/>
      <w:start w:val="1"/>
    </w:lvl>
  </w:abstractNum>
  <w:abstractNum w:abstractNumId="9">
    <w:nsid w:val="2A155DBC"/>
    <w:multiLevelType w:val="hybridMultilevel"/>
    <w:lvl w:ilvl="0">
      <w:lvlJc w:val="left"/>
      <w:lvlText w:val="•"/>
      <w:numFmt w:val="bullet"/>
      <w:start w:val="1"/>
    </w:lvl>
  </w:abstractNum>
  <w:abstractNum w:abstractNumId="10">
    <w:nsid w:val="1D9F6E5F"/>
    <w:multiLevelType w:val="hybridMultilevel"/>
    <w:lvl w:ilvl="0">
      <w:lvlJc w:val="left"/>
      <w:lvlText w:val="•"/>
      <w:numFmt w:val="bullet"/>
      <w:start w:val="1"/>
    </w:lvl>
  </w:abstractNum>
  <w:abstractNum w:abstractNumId="11">
    <w:nsid w:val="97E1B4E"/>
    <w:multiLevelType w:val="hybridMultilevel"/>
    <w:lvl w:ilvl="0">
      <w:lvlJc w:val="left"/>
      <w:lvlText w:val="•"/>
      <w:numFmt w:val="bullet"/>
      <w:start w:val="1"/>
    </w:lvl>
  </w:abstractNum>
  <w:abstractNum w:abstractNumId="12">
    <w:nsid w:val="51088277"/>
    <w:multiLevelType w:val="hybridMultilevel"/>
    <w:lvl w:ilvl="0">
      <w:lvlJc w:val="left"/>
      <w:lvlText w:val="•"/>
      <w:numFmt w:val="bullet"/>
      <w:start w:val="1"/>
    </w:lvl>
  </w:abstractNum>
  <w:abstractNum w:abstractNumId="13">
    <w:nsid w:val="1CA0C5FA"/>
    <w:multiLevelType w:val="hybridMultilevel"/>
    <w:lvl w:ilvl="0">
      <w:lvlJc w:val="left"/>
      <w:lvlText w:val="•"/>
      <w:numFmt w:val="bullet"/>
      <w:start w:val="1"/>
    </w:lvl>
  </w:abstractNum>
  <w:abstractNum w:abstractNumId="14">
    <w:nsid w:val="53584BCB"/>
    <w:multiLevelType w:val="hybridMultilevel"/>
    <w:lvl w:ilvl="0">
      <w:lvlJc w:val="left"/>
      <w:lvlText w:val="•"/>
      <w:numFmt w:val="bullet"/>
      <w:start w:val="1"/>
    </w:lvl>
  </w:abstractNum>
  <w:abstractNum w:abstractNumId="15">
    <w:nsid w:val="415E286C"/>
    <w:multiLevelType w:val="hybridMultilevel"/>
    <w:lvl w:ilvl="0">
      <w:lvlJc w:val="left"/>
      <w:lvlText w:val="•"/>
      <w:numFmt w:val="bullet"/>
      <w:start w:val="1"/>
    </w:lvl>
  </w:abstractNum>
  <w:abstractNum w:abstractNumId="16">
    <w:nsid w:val="7C58FD05"/>
    <w:multiLevelType w:val="hybridMultilevel"/>
    <w:lvl w:ilvl="0">
      <w:lvlJc w:val="left"/>
      <w:lvlText w:val="•"/>
      <w:numFmt w:val="bullet"/>
      <w:start w:val="1"/>
    </w:lvl>
  </w:abstractNum>
  <w:abstractNum w:abstractNumId="17">
    <w:nsid w:val="23D86AAC"/>
    <w:multiLevelType w:val="hybridMultilevel"/>
    <w:lvl w:ilvl="0">
      <w:lvlJc w:val="left"/>
      <w:lvlText w:val="•"/>
      <w:numFmt w:val="bullet"/>
      <w:start w:val="1"/>
    </w:lvl>
  </w:abstractNum>
  <w:abstractNum w:abstractNumId="18">
    <w:nsid w:val="45E6D486"/>
    <w:multiLevelType w:val="hybridMultilevel"/>
    <w:lvl w:ilvl="0">
      <w:lvlJc w:val="left"/>
      <w:lvlText w:val="•"/>
      <w:numFmt w:val="bullet"/>
      <w:start w:val="1"/>
    </w:lvl>
  </w:abstractNum>
  <w:abstractNum w:abstractNumId="19">
    <w:nsid w:val="5C10FE21"/>
    <w:multiLevelType w:val="hybridMultilevel"/>
    <w:lvl w:ilvl="0">
      <w:lvlJc w:val="left"/>
      <w:lvlText w:val="(%1)"/>
      <w:numFmt w:val="decimal"/>
      <w:start w:val="1"/>
    </w:lvl>
  </w:abstractNum>
  <w:abstractNum w:abstractNumId="20">
    <w:nsid w:val="E7FFA2B"/>
    <w:multiLevelType w:val="hybridMultilevel"/>
    <w:lvl w:ilvl="0">
      <w:lvlJc w:val="left"/>
      <w:lvlText w:val="(%1)"/>
      <w:numFmt w:val="decimal"/>
      <w:start w:val="1"/>
    </w:lvl>
  </w:abstractNum>
  <w:abstractNum w:abstractNumId="21">
    <w:nsid w:val="3C5991AA"/>
    <w:multiLevelType w:val="hybridMultilevel"/>
    <w:lvl w:ilvl="0">
      <w:lvlJc w:val="left"/>
      <w:lvlText w:val="(%1)"/>
      <w:numFmt w:val="decimal"/>
      <w:start w:val="1"/>
    </w:lvl>
  </w:abstractNum>
  <w:abstractNum w:abstractNumId="22">
    <w:nsid w:val="4BD8591A"/>
    <w:multiLevelType w:val="hybridMultilevel"/>
    <w:lvl w:ilvl="0">
      <w:lvlJc w:val="left"/>
      <w:lvlText w:val="(%1)"/>
      <w:numFmt w:val="decimal"/>
      <w:start w:val="1"/>
    </w:lvl>
  </w:abstractNum>
  <w:abstractNum w:abstractNumId="23">
    <w:nsid w:val="78DF6A55"/>
    <w:multiLevelType w:val="hybridMultilevel"/>
    <w:lvl w:ilvl="0">
      <w:lvlJc w:val="left"/>
      <w:lvlText w:val="•"/>
      <w:numFmt w:val="bullet"/>
      <w:start w:val="1"/>
    </w:lvl>
  </w:abstractNum>
  <w:abstractNum w:abstractNumId="24">
    <w:nsid w:val="39B7AAA2"/>
    <w:multiLevelType w:val="hybridMultilevel"/>
    <w:lvl w:ilvl="0">
      <w:lvlJc w:val="left"/>
      <w:lvlText w:val="(%1)"/>
      <w:numFmt w:val="decimal"/>
      <w:start w:val="1"/>
    </w:lvl>
  </w:abstractNum>
  <w:abstractNum w:abstractNumId="25">
    <w:nsid w:val="2B0D8DBE"/>
    <w:multiLevelType w:val="hybridMultilevel"/>
    <w:lvl w:ilvl="0">
      <w:lvlJc w:val="left"/>
      <w:lvlText w:val="(%1)"/>
      <w:numFmt w:val="lowerRoman"/>
      <w:start w:val="1"/>
    </w:lvl>
  </w:abstractNum>
  <w:abstractNum w:abstractNumId="26">
    <w:nsid w:val="6C80EC70"/>
    <w:multiLevelType w:val="hybridMultilevel"/>
    <w:lvl w:ilvl="0">
      <w:lvlJc w:val="left"/>
      <w:lvlText w:val="•"/>
      <w:numFmt w:val="bullet"/>
      <w:start w:val="1"/>
    </w:lvl>
  </w:abstractNum>
  <w:abstractNum w:abstractNumId="27">
    <w:nsid w:val="379E21B5"/>
    <w:multiLevelType w:val="hybridMultilevel"/>
    <w:lvl w:ilvl="0">
      <w:lvlJc w:val="left"/>
      <w:lvlText w:val="(%1)"/>
      <w:numFmt w:val="decimal"/>
      <w:start w:val="1"/>
    </w:lvl>
  </w:abstractNum>
  <w:abstractNum w:abstractNumId="28">
    <w:nsid w:val="69E373"/>
    <w:multiLevelType w:val="hybridMultilevel"/>
    <w:lvl w:ilvl="0">
      <w:lvlJc w:val="left"/>
      <w:lvlText w:val="(%1)"/>
      <w:numFmt w:val="decimal"/>
      <w:start w:val="1"/>
    </w:lvl>
  </w:abstractNum>
  <w:abstractNum w:abstractNumId="29">
    <w:nsid w:val="2C27173B"/>
    <w:multiLevelType w:val="hybridMultilevel"/>
    <w:lvl w:ilvl="0">
      <w:lvlJc w:val="left"/>
      <w:lvlText w:val="(%1)"/>
      <w:numFmt w:val="decimal"/>
      <w:start w:val="1"/>
    </w:lvl>
  </w:abstractNum>
  <w:abstractNum w:abstractNumId="30">
    <w:nsid w:val="4C9B0904"/>
    <w:multiLevelType w:val="hybridMultilevel"/>
    <w:lvl w:ilvl="0">
      <w:lvlJc w:val="left"/>
      <w:lvlText w:val="(%1)"/>
      <w:numFmt w:val="decimal"/>
      <w:start w:val="1"/>
    </w:lvl>
  </w:abstractNum>
  <w:abstractNum w:abstractNumId="31">
    <w:nsid w:val="6AA7B75C"/>
    <w:multiLevelType w:val="hybridMultilevel"/>
    <w:lvl w:ilvl="0">
      <w:lvlJc w:val="left"/>
      <w:lvlText w:val="(%1)"/>
      <w:numFmt w:val="decimal"/>
      <w:start w:val="1"/>
    </w:lvl>
  </w:abstractNum>
  <w:abstractNum w:abstractNumId="32">
    <w:nsid w:val="1DF029D3"/>
    <w:multiLevelType w:val="hybridMultilevel"/>
    <w:lvl w:ilvl="0">
      <w:lvlJc w:val="left"/>
      <w:lvlText w:val="%1."/>
      <w:numFmt w:val="decimal"/>
      <w:start w:val="1"/>
    </w:lvl>
  </w:abstractNum>
  <w:abstractNum w:abstractNumId="33">
    <w:nsid w:val="5675FF36"/>
    <w:multiLevelType w:val="hybridMultilevel"/>
    <w:lvl w:ilvl="0">
      <w:lvlJc w:val="left"/>
      <w:lvlText w:val="%1."/>
      <w:numFmt w:val="decimal"/>
      <w:start w:val="2"/>
    </w:lvl>
  </w:abstractNum>
  <w:abstractNum w:abstractNumId="34">
    <w:nsid w:val="3DD15094"/>
    <w:multiLevelType w:val="hybridMultilevel"/>
    <w:lvl w:ilvl="0">
      <w:lvlJc w:val="left"/>
      <w:lvlText w:val="%1"/>
      <w:numFmt w:val="decimal"/>
      <w:start w:val="97"/>
    </w:lvl>
  </w:abstractNum>
  <w:abstractNum w:abstractNumId="35">
    <w:nsid w:val="3DB012B3"/>
    <w:multiLevelType w:val="hybridMultilevel"/>
    <w:lvl w:ilvl="0">
      <w:lvlJc w:val="left"/>
      <w:lvlText w:val="*"/>
      <w:numFmt w:val="bullet"/>
      <w:start w:val="1"/>
    </w:lvl>
    <w:lvl w:ilvl="1">
      <w:lvlJc w:val="left"/>
      <w:lvlText w:val="%2"/>
      <w:numFmt w:val="decimal"/>
      <w:start w:val="104"/>
    </w:lvl>
  </w:abstractNum>
  <w:abstractNum w:abstractNumId="36">
    <w:nsid w:val="2708C9AF"/>
    <w:multiLevelType w:val="hybridMultilevel"/>
    <w:lvl w:ilvl="0">
      <w:lvlJc w:val="left"/>
      <w:lvlText w:val="†"/>
      <w:numFmt w:val="bullet"/>
      <w:start w:val="1"/>
    </w:lvl>
  </w:abstractNum>
  <w:abstractNum w:abstractNumId="37">
    <w:nsid w:val="5B25ACE2"/>
    <w:multiLevelType w:val="hybridMultilevel"/>
    <w:lvl w:ilvl="0">
      <w:lvlJc w:val="left"/>
      <w:lvlText w:val="%1."/>
      <w:numFmt w:val="decimal"/>
      <w:start w:val="1"/>
    </w:lvl>
    <w:lvl w:ilvl="1">
      <w:lvlJc w:val="left"/>
      <w:lvlText w:val="(%2)"/>
      <w:numFmt w:val="lowerLetter"/>
      <w:start w:val="1"/>
    </w:lvl>
  </w:abstractNum>
  <w:abstractNum w:abstractNumId="38">
    <w:nsid w:val="175DFCF0"/>
    <w:multiLevelType w:val="hybridMultilevel"/>
    <w:lvl w:ilvl="0">
      <w:lvlJc w:val="left"/>
      <w:lvlText w:val="(%1)"/>
      <w:numFmt w:val="lowerLetter"/>
      <w:start w:val="3"/>
    </w:lvl>
  </w:abstractNum>
  <w:abstractNum w:abstractNumId="39">
    <w:nsid w:val="4F97E3E4"/>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40">
    <w:nsid w:val="53B0A9E"/>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41">
    <w:nsid w:val="34FD6B4F"/>
    <w:multiLevelType w:val="hybridMultilevel"/>
    <w:lvl w:ilvl="0">
      <w:lvlJc w:val="left"/>
      <w:lvlText w:val="%1"/>
      <w:numFmt w:val="lowerLetter"/>
      <w:start w:val="1"/>
    </w:lvl>
    <w:lvl w:ilvl="1">
      <w:lvlJc w:val="left"/>
      <w:lvlText w:val="(%2)"/>
      <w:numFmt w:val="lowerLetter"/>
      <w:start w:val="35"/>
    </w:lvl>
  </w:abstractNum>
  <w:abstractNum w:abstractNumId="42">
    <w:nsid w:val="5915FF32"/>
    <w:multiLevelType w:val="hybridMultilevel"/>
    <w:lvl w:ilvl="0">
      <w:lvlJc w:val="left"/>
      <w:lvlText w:val="(%1)"/>
      <w:numFmt w:val="lowerLetter"/>
      <w:start w:val="3"/>
    </w:lvl>
    <w:lvl w:ilvl="1">
      <w:lvlJc w:val="left"/>
      <w:lvlText w:val="(%2)"/>
      <w:numFmt w:val="lowerLetter"/>
      <w:start w:val="9"/>
    </w:lvl>
  </w:abstractNum>
  <w:abstractNum w:abstractNumId="43">
    <w:nsid w:val="56438D15"/>
    <w:multiLevelType w:val="hybridMultilevel"/>
    <w:lvl w:ilvl="0">
      <w:lvlJc w:val="left"/>
      <w:lvlText w:val="(%1)"/>
      <w:numFmt w:val="lowerRoman"/>
      <w:start w:val="2"/>
    </w:lvl>
  </w:abstractNum>
  <w:abstractNum w:abstractNumId="44">
    <w:nsid w:val="519E3149"/>
    <w:multiLevelType w:val="hybridMultilevel"/>
    <w:lvl w:ilvl="0">
      <w:lvlJc w:val="left"/>
      <w:lvlText w:val="(%1)"/>
      <w:numFmt w:val="upperLetter"/>
      <w:start w:val="1"/>
    </w:lvl>
  </w:abstractNum>
  <w:abstractNum w:abstractNumId="45">
    <w:nsid w:val="2C6E4AFD"/>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46">
    <w:nsid w:val="17A1B582"/>
    <w:multiLevelType w:val="hybridMultilevel"/>
    <w:lvl w:ilvl="0">
      <w:lvlJc w:val="left"/>
      <w:lvlText w:val="%1."/>
      <w:numFmt w:val="decimal"/>
      <w:start w:val="6"/>
    </w:lvl>
    <w:lvl w:ilvl="1">
      <w:lvlJc w:val="left"/>
      <w:lvlText w:val="(%2)"/>
      <w:numFmt w:val="lowerLetter"/>
      <w:start w:val="1"/>
    </w:lvl>
    <w:lvl w:ilvl="2">
      <w:lvlJc w:val="left"/>
      <w:lvlText w:val="%3"/>
      <w:numFmt w:val="upperLetter"/>
      <w:start w:val="1"/>
    </w:lvl>
  </w:abstractNum>
  <w:abstractNum w:abstractNumId="47">
    <w:nsid w:val="4DF72E4E"/>
    <w:multiLevelType w:val="hybridMultilevel"/>
    <w:lvl w:ilvl="0">
      <w:lvlJc w:val="left"/>
      <w:lvlText w:val="%1."/>
      <w:numFmt w:val="decimal"/>
      <w:start w:val="8"/>
    </w:lvl>
    <w:lvl w:ilvl="1">
      <w:lvlJc w:val="left"/>
      <w:lvlText w:val="(%2)"/>
      <w:numFmt w:val="lowerLetter"/>
      <w:start w:val="1"/>
    </w:lvl>
  </w:abstractNum>
  <w:abstractNum w:abstractNumId="48">
    <w:nsid w:val="5046B5A9"/>
    <w:multiLevelType w:val="hybridMultilevel"/>
    <w:lvl w:ilvl="0">
      <w:lvlJc w:val="left"/>
      <w:lvlText w:val="(%1)"/>
      <w:numFmt w:val="lowerLetter"/>
      <w:start w:val="2"/>
    </w:lvl>
  </w:abstractNum>
  <w:abstractNum w:abstractNumId="49">
    <w:nsid w:val="5D888A08"/>
    <w:multiLevelType w:val="hybridMultilevel"/>
    <w:lvl w:ilvl="0">
      <w:lvlJc w:val="left"/>
      <w:lvlText w:val="(%1)"/>
      <w:numFmt w:val="lowerLetter"/>
      <w:start w:val="5"/>
    </w:lvl>
  </w:abstractNum>
  <w:abstractNum w:abstractNumId="50">
    <w:nsid w:val="2A082C70"/>
    <w:multiLevelType w:val="hybridMultilevel"/>
    <w:lvl w:ilvl="0">
      <w:lvlJc w:val="left"/>
      <w:lvlText w:val="(%1)"/>
      <w:numFmt w:val="lowerLetter"/>
      <w:start w:val="10"/>
    </w:lvl>
  </w:abstractNum>
  <w:abstractNum w:abstractNumId="51">
    <w:nsid w:val="5EC6AFD4"/>
    <w:multiLevelType w:val="hybridMultilevel"/>
    <w:lvl w:ilvl="0">
      <w:lvlJc w:val="left"/>
      <w:lvlText w:val="%1."/>
      <w:numFmt w:val="decimal"/>
      <w:start w:val="1"/>
    </w:lvl>
  </w:abstractNum>
  <w:abstractNum w:abstractNumId="52">
    <w:nsid w:val="19E21BB2"/>
    <w:multiLevelType w:val="hybridMultilevel"/>
    <w:lvl w:ilvl="0">
      <w:lvlJc w:val="left"/>
      <w:lvlText w:val="(%1)"/>
      <w:numFmt w:val="lowerLetter"/>
      <w:start w:val="1"/>
    </w:lvl>
  </w:abstractNum>
  <w:abstractNum w:abstractNumId="53">
    <w:nsid w:val="75E0858A"/>
    <w:multiLevelType w:val="hybridMultilevel"/>
    <w:lvl w:ilvl="0">
      <w:lvlJc w:val="left"/>
      <w:lvlText w:val="(%1)"/>
      <w:numFmt w:val="lowerLetter"/>
      <w:start w:val="3"/>
    </w:lvl>
    <w:lvl w:ilvl="1">
      <w:lvlJc w:val="left"/>
      <w:lvlText w:val="(%2)"/>
      <w:numFmt w:val="lowerLetter"/>
      <w:start w:val="5"/>
    </w:lvl>
  </w:abstractNum>
  <w:abstractNum w:abstractNumId="54">
    <w:nsid w:val="57A61A29"/>
    <w:multiLevelType w:val="hybridMultilevel"/>
    <w:lvl w:ilvl="0">
      <w:lvlJc w:val="left"/>
      <w:lvlText w:val="%1"/>
      <w:numFmt w:val="decimal"/>
      <w:start w:val="1"/>
    </w:lvl>
    <w:lvl w:ilvl="1">
      <w:lvlJc w:val="left"/>
      <w:lvlText w:val="(%2)"/>
      <w:numFmt w:val="lowerLetter"/>
      <w:start w:val="6"/>
    </w:lvl>
  </w:abstractNum>
  <w:abstractNum w:abstractNumId="55">
    <w:nsid w:val="5399C654"/>
    <w:multiLevelType w:val="hybridMultilevel"/>
    <w:lvl w:ilvl="0">
      <w:lvlJc w:val="left"/>
      <w:lvlText w:val="%1."/>
      <w:numFmt w:val="decimal"/>
      <w:start w:val="4"/>
    </w:lvl>
    <w:lvl w:ilvl="1">
      <w:lvlJc w:val="left"/>
      <w:lvlText w:val="%2"/>
      <w:numFmt w:val="lowerLetter"/>
      <w:start w:val="1"/>
    </w:lvl>
  </w:abstractNum>
  <w:abstractNum w:abstractNumId="56">
    <w:nsid w:val="20EE134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7">
    <w:nsid w:val="4427069A"/>
    <w:multiLevelType w:val="hybridMultilevel"/>
    <w:lvl w:ilvl="0">
      <w:lvlJc w:val="left"/>
      <w:lvlText w:val="(%1)"/>
      <w:numFmt w:val="lowerLetter"/>
      <w:start w:val="2"/>
    </w:lvl>
    <w:lvl w:ilvl="1">
      <w:lvlJc w:val="left"/>
      <w:lvlText w:val="(%2)"/>
      <w:numFmt w:val="lowerRoman"/>
      <w:start w:val="1"/>
    </w:lvl>
  </w:abstractNum>
  <w:abstractNum w:abstractNumId="58">
    <w:nsid w:val="B37E80A"/>
    <w:multiLevelType w:val="hybridMultilevel"/>
    <w:lvl w:ilvl="0">
      <w:lvlJc w:val="left"/>
      <w:lvlText w:val="%1"/>
      <w:numFmt w:val="decimal"/>
      <w:start w:val="1"/>
    </w:lvl>
    <w:lvl w:ilvl="1">
      <w:lvlJc w:val="left"/>
      <w:lvlText w:val="(%2)"/>
      <w:numFmt w:val="upperLetter"/>
      <w:start w:val="1"/>
    </w:lvl>
  </w:abstractNum>
  <w:abstractNum w:abstractNumId="59">
    <w:nsid w:val="2157F6BC"/>
    <w:multiLevelType w:val="hybridMultilevel"/>
    <w:lvl w:ilvl="0">
      <w:lvlJc w:val="left"/>
      <w:lvlText w:val="%1."/>
      <w:numFmt w:val="decimal"/>
      <w:start w:val="6"/>
    </w:lvl>
    <w:lvl w:ilvl="1">
      <w:lvlJc w:val="left"/>
      <w:lvlText w:val="%2"/>
      <w:numFmt w:val="upperLetter"/>
      <w:start w:val="1"/>
    </w:lvl>
  </w:abstractNum>
  <w:abstractNum w:abstractNumId="60">
    <w:nsid w:val="704E1DD5"/>
    <w:multiLevelType w:val="hybridMultilevel"/>
    <w:lvl w:ilvl="0">
      <w:lvlJc w:val="left"/>
      <w:lvlText w:val="%1."/>
      <w:numFmt w:val="decimal"/>
      <w:start w:val="7"/>
    </w:lvl>
    <w:lvl w:ilvl="1">
      <w:lvlJc w:val="left"/>
      <w:lvlText w:val="(%2)"/>
      <w:numFmt w:val="lowerLetter"/>
      <w:start w:val="1"/>
    </w:lvl>
  </w:abstractNum>
  <w:abstractNum w:abstractNumId="61">
    <w:nsid w:val="57D2F10E"/>
    <w:multiLevelType w:val="hybridMultilevel"/>
    <w:lvl w:ilvl="0">
      <w:lvlJc w:val="left"/>
      <w:lvlText w:val="%1."/>
      <w:numFmt w:val="decimal"/>
      <w:start w:val="10"/>
    </w:lvl>
    <w:lvl w:ilvl="1">
      <w:lvlJc w:val="left"/>
      <w:lvlText w:val="(%2)"/>
      <w:numFmt w:val="lowerLetter"/>
      <w:start w:val="1"/>
    </w:lvl>
  </w:abstractNum>
  <w:abstractNum w:abstractNumId="62">
    <w:nsid w:val="BFFAE18"/>
    <w:multiLevelType w:val="hybridMultilevel"/>
    <w:lvl w:ilvl="0">
      <w:lvlJc w:val="left"/>
      <w:lvlText w:val="(%1)"/>
      <w:numFmt w:val="lowerLetter"/>
      <w:start w:val="2"/>
    </w:lvl>
  </w:abstractNum>
  <w:abstractNum w:abstractNumId="63">
    <w:nsid w:val="E3E47A8"/>
    <w:multiLevelType w:val="hybridMultilevel"/>
    <w:lvl w:ilvl="0">
      <w:lvlJc w:val="left"/>
      <w:lvlText w:val="(%1)"/>
      <w:numFmt w:val="lowerLetter"/>
      <w:start w:val="3"/>
    </w:lvl>
  </w:abstractNum>
  <w:abstractNum w:abstractNumId="64">
    <w:nsid w:val="2E48F044"/>
    <w:multiLevelType w:val="hybridMultilevel"/>
    <w:lvl w:ilvl="0">
      <w:lvlJc w:val="left"/>
      <w:lvlText w:val="(%1)"/>
      <w:numFmt w:val="lowerLetter"/>
      <w:start w:val="8"/>
    </w:lvl>
  </w:abstractNum>
  <w:abstractNum w:abstractNumId="65">
    <w:nsid w:val="49D0FEAC"/>
    <w:multiLevelType w:val="hybridMultilevel"/>
    <w:lvl w:ilvl="0">
      <w:lvlJc w:val="left"/>
      <w:lvlText w:val="(%1)"/>
      <w:numFmt w:val="lowerLetter"/>
      <w:start w:val="12"/>
    </w:lvl>
  </w:abstractNum>
  <w:abstractNum w:abstractNumId="66">
    <w:nsid w:val="4BEE5A5B"/>
    <w:multiLevelType w:val="hybridMultilevel"/>
    <w:lvl w:ilvl="0">
      <w:lvlJc w:val="left"/>
      <w:lvlText w:val="%1."/>
      <w:numFmt w:val="decimal"/>
      <w:start w:val="1"/>
    </w:lvl>
    <w:lvl w:ilvl="1">
      <w:lvlJc w:val="left"/>
      <w:lvlText w:val="(%2)"/>
      <w:numFmt w:val="lowerLetter"/>
      <w:start w:val="1"/>
    </w:lvl>
  </w:abstractNum>
  <w:abstractNum w:abstractNumId="67">
    <w:nsid w:val="5551B9F3"/>
    <w:multiLevelType w:val="hybridMultilevel"/>
    <w:lvl w:ilvl="0">
      <w:lvlJc w:val="left"/>
      <w:lvlText w:val="(%1)"/>
      <w:numFmt w:val="lowerLetter"/>
      <w:start w:val="3"/>
    </w:lvl>
  </w:abstractNum>
  <w:abstractNum w:abstractNumId="68">
    <w:nsid w:val="24F6AB8E"/>
    <w:multiLevelType w:val="hybridMultilevel"/>
    <w:lvl w:ilvl="0">
      <w:lvlJc w:val="left"/>
      <w:lvlText w:val="%1"/>
      <w:numFmt w:val="decimal"/>
      <w:start w:val="1"/>
    </w:lvl>
    <w:lvl w:ilvl="1">
      <w:lvlJc w:val="left"/>
      <w:lvlText w:val="(%2)"/>
      <w:numFmt w:val="lowerLetter"/>
      <w:start w:val="7"/>
    </w:lvl>
  </w:abstractNum>
  <w:abstractNum w:abstractNumId="69">
    <w:nsid w:val="634C574C"/>
    <w:multiLevelType w:val="hybridMultilevel"/>
    <w:lvl w:ilvl="0">
      <w:lvlJc w:val="left"/>
      <w:lvlText w:val="%1."/>
      <w:numFmt w:val="decimal"/>
      <w:start w:val="4"/>
    </w:lvl>
    <w:lvl w:ilvl="1">
      <w:lvlJc w:val="left"/>
      <w:lvlText w:val="(%2)"/>
      <w:numFmt w:val="lowerLetter"/>
      <w:start w:val="1"/>
    </w:lvl>
  </w:abstractNum>
  <w:abstractNum w:abstractNumId="70">
    <w:nsid w:val="24E99DD7"/>
    <w:multiLevelType w:val="hybridMultilevel"/>
    <w:lvl w:ilvl="0">
      <w:lvlJc w:val="left"/>
      <w:lvlText w:val="%1"/>
      <w:numFmt w:val="decimal"/>
      <w:start w:val="1"/>
    </w:lvl>
    <w:lvl w:ilvl="1">
      <w:lvlJc w:val="left"/>
      <w:lvlText w:val="%2."/>
      <w:numFmt w:val="decimal"/>
      <w:start w:val="7"/>
    </w:lvl>
  </w:abstractNum>
  <w:abstractNum w:abstractNumId="71">
    <w:nsid w:val="2A31B62D"/>
    <w:multiLevelType w:val="hybridMultilevel"/>
    <w:lvl w:ilvl="0">
      <w:lvlJc w:val="left"/>
      <w:lvlText w:val="%1."/>
      <w:numFmt w:val="decimal"/>
      <w:start w:val="9"/>
    </w:lvl>
    <w:lvl w:ilvl="1">
      <w:lvlJc w:val="left"/>
      <w:lvlText w:val="%2"/>
      <w:numFmt w:val="decimal"/>
      <w:start w:val="1"/>
    </w:lvl>
  </w:abstractNum>
  <w:abstractNum w:abstractNumId="72">
    <w:nsid w:val="1849C29B"/>
    <w:multiLevelType w:val="hybridMultilevel"/>
    <w:lvl w:ilvl="0">
      <w:lvlJc w:val="left"/>
      <w:lvlText w:val="%1."/>
      <w:numFmt w:val="decimal"/>
      <w:start w:val="12"/>
    </w:lvl>
    <w:lvl w:ilvl="1">
      <w:lvlJc w:val="left"/>
      <w:lvlText w:val="(%2)"/>
      <w:numFmt w:val="lowerLetter"/>
      <w:start w:val="1"/>
    </w:lvl>
  </w:abstractNum>
  <w:abstractNum w:abstractNumId="73">
    <w:nsid w:val="7DFF9D09"/>
    <w:multiLevelType w:val="hybridMultilevel"/>
    <w:lvl w:ilvl="0">
      <w:lvlJc w:val="left"/>
      <w:lvlText w:val="(%1)"/>
      <w:numFmt w:val="lowerLetter"/>
      <w:start w:val="2"/>
    </w:lvl>
  </w:abstractNum>
  <w:abstractNum w:abstractNumId="74">
    <w:nsid w:val="754342"/>
    <w:multiLevelType w:val="hybridMultilevel"/>
    <w:lvl w:ilvl="0">
      <w:lvlJc w:val="left"/>
      <w:lvlText w:val="(%1)"/>
      <w:numFmt w:val="lowerLetter"/>
      <w:start w:val="4"/>
    </w:lvl>
  </w:abstractNum>
  <w:abstractNum w:abstractNumId="75">
    <w:nsid w:val="69E7F3E5"/>
    <w:multiLevelType w:val="hybridMultilevel"/>
    <w:lvl w:ilvl="0">
      <w:lvlJc w:val="left"/>
      <w:lvlText w:val="(%1)"/>
      <w:numFmt w:val="lowerLetter"/>
      <w:start w:val="9"/>
    </w:lvl>
  </w:abstractNum>
  <w:abstractNum w:abstractNumId="76">
    <w:nsid w:val="2A6DE806"/>
    <w:multiLevelType w:val="hybridMultilevel"/>
    <w:lvl w:ilvl="0">
      <w:lvlJc w:val="left"/>
      <w:lvlText w:val="%1."/>
      <w:numFmt w:val="decimal"/>
      <w:start w:val="1"/>
    </w:lvl>
    <w:lvl w:ilvl="1">
      <w:lvlJc w:val="left"/>
      <w:lvlText w:val="(%2)"/>
      <w:numFmt w:val="lowerLetter"/>
      <w:start w:val="1"/>
    </w:lvl>
  </w:abstractNum>
  <w:abstractNum w:abstractNumId="77">
    <w:nsid w:val="1816F8C4"/>
    <w:multiLevelType w:val="hybridMultilevel"/>
    <w:lvl w:ilvl="0">
      <w:lvlJc w:val="left"/>
      <w:lvlText w:val="(%1)"/>
      <w:numFmt w:val="lowerLetter"/>
      <w:start w:val="3"/>
    </w:lvl>
  </w:abstractNum>
  <w:abstractNum w:abstractNumId="78">
    <w:nsid w:val="37DF2233"/>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79">
    <w:nsid w:val="7AB49DA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0">
    <w:nsid w:val="759F82CD"/>
    <w:multiLevelType w:val="hybridMultilevel"/>
    <w:lvl w:ilvl="0">
      <w:lvlJc w:val="left"/>
      <w:lvlText w:val="(%1)"/>
      <w:numFmt w:val="decimal"/>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81">
    <w:nsid w:val="61E74E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2"/>
    </w:lvl>
  </w:abstractNum>
  <w:abstractNum w:abstractNumId="82">
    <w:nsid w:val="597B4D8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3">
    <w:nsid w:val="F819E7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lvl w:ilvl="3">
      <w:lvlJc w:val="left"/>
      <w:lvlText w:val="(%4)"/>
      <w:numFmt w:val="decimal"/>
      <w:start w:val="1"/>
    </w:lvl>
  </w:abstractNum>
  <w:abstractNum w:abstractNumId="84">
    <w:nsid w:val="57C7D42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85">
    <w:nsid w:val="312167AD"/>
    <w:multiLevelType w:val="hybridMultilevel"/>
    <w:lvl w:ilvl="0">
      <w:lvlJc w:val="left"/>
      <w:lvlText w:val="(%1)"/>
      <w:numFmt w:val="lowerRoman"/>
      <w:start w:val="3"/>
    </w:lvl>
  </w:abstractNum>
  <w:abstractNum w:abstractNumId="86">
    <w:nsid w:val="631B64D4"/>
    <w:multiLevelType w:val="hybridMultilevel"/>
    <w:lvl w:ilvl="0">
      <w:lvlJc w:val="left"/>
      <w:lvlText w:val="(%1)"/>
      <w:numFmt w:val="upperLetter"/>
      <w:start w:val="1"/>
    </w:lvl>
  </w:abstractNum>
  <w:abstractNum w:abstractNumId="87">
    <w:nsid w:val="78B5E77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upperLetter"/>
      <w:start w:val="4"/>
    </w:lvl>
    <w:lvl w:ilvl="4">
      <w:lvlJc w:val="left"/>
      <w:lvlText w:val="%5"/>
      <w:numFmt w:val="decimal"/>
      <w:start w:val="1"/>
    </w:lvl>
  </w:abstractNum>
  <w:abstractNum w:abstractNumId="88">
    <w:nsid w:val="75486E4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upperLetter"/>
      <w:start w:val="1"/>
    </w:lvl>
    <w:lvl w:ilvl="4">
      <w:lvlJc w:val="left"/>
      <w:lvlText w:val="(%5)"/>
      <w:numFmt w:val="decimal"/>
      <w:start w:val="1"/>
    </w:lvl>
  </w:abstractNum>
  <w:abstractNum w:abstractNumId="89">
    <w:nsid w:val="6E534CDE"/>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90">
    <w:nsid w:val="1A0DDE32"/>
    <w:multiLevelType w:val="hybridMultilevel"/>
    <w:lvl w:ilvl="0">
      <w:lvlJc w:val="left"/>
      <w:lvlText w:val="%1."/>
      <w:numFmt w:val="decimal"/>
      <w:start w:val="7"/>
    </w:lvl>
    <w:lvl w:ilvl="1">
      <w:lvlJc w:val="left"/>
      <w:lvlText w:val="(%2)"/>
      <w:numFmt w:val="lowerLetter"/>
      <w:start w:val="1"/>
    </w:lvl>
  </w:abstractNum>
  <w:abstractNum w:abstractNumId="91">
    <w:nsid w:val="65968C1C"/>
    <w:multiLevelType w:val="hybridMultilevel"/>
    <w:lvl w:ilvl="0">
      <w:lvlJc w:val="left"/>
      <w:lvlText w:val="%1."/>
      <w:numFmt w:val="decimal"/>
      <w:start w:val="8"/>
    </w:lvl>
    <w:lvl w:ilvl="1">
      <w:lvlJc w:val="left"/>
      <w:lvlText w:val="(%2)"/>
      <w:numFmt w:val="lowerLetter"/>
      <w:start w:val="1"/>
    </w:lvl>
  </w:abstractNum>
  <w:abstractNum w:abstractNumId="92">
    <w:nsid w:val="46263DEC"/>
    <w:multiLevelType w:val="hybridMultilevel"/>
    <w:lvl w:ilvl="0">
      <w:lvlJc w:val="left"/>
      <w:lvlText w:val="%1"/>
      <w:numFmt w:val="lowerLetter"/>
      <w:start w:val="1"/>
    </w:lvl>
    <w:lvl w:ilvl="1">
      <w:lvlJc w:val="left"/>
      <w:lvlText w:val="(%2)"/>
      <w:numFmt w:val="lowerLetter"/>
      <w:start w:val="2"/>
    </w:lvl>
  </w:abstractNum>
  <w:abstractNum w:abstractNumId="93">
    <w:nsid w:val="260D8C4A"/>
    <w:multiLevelType w:val="hybridMultilevel"/>
    <w:lvl w:ilvl="0">
      <w:lvlJc w:val="left"/>
      <w:lvlText w:val="(%1)"/>
      <w:numFmt w:val="lowerLetter"/>
      <w:start w:val="3"/>
    </w:lvl>
    <w:lvl w:ilvl="1">
      <w:lvlJc w:val="left"/>
      <w:lvlText w:val="%2"/>
      <w:numFmt w:val="lowerLetter"/>
      <w:start w:val="1"/>
    </w:lvl>
  </w:abstractNum>
  <w:abstractNum w:abstractNumId="94">
    <w:nsid w:val="73D4D3C4"/>
    <w:multiLevelType w:val="hybridMultilevel"/>
    <w:lvl w:ilvl="0">
      <w:lvlJc w:val="left"/>
      <w:lvlText w:val="(%1)"/>
      <w:numFmt w:val="lowerLetter"/>
      <w:start w:val="5"/>
    </w:lvl>
  </w:abstractNum>
  <w:abstractNum w:abstractNumId="95">
    <w:nsid w:val="746F2E30"/>
    <w:multiLevelType w:val="hybridMultilevel"/>
    <w:lvl w:ilvl="0">
      <w:lvlJc w:val="left"/>
      <w:lvlText w:val="(%1)"/>
      <w:numFmt w:val="lowerLetter"/>
      <w:start w:val="10"/>
    </w:lvl>
  </w:abstractNum>
  <w:abstractNum w:abstractNumId="96">
    <w:nsid w:val="6FDE8AF6"/>
    <w:multiLevelType w:val="hybridMultilevel"/>
    <w:lvl w:ilvl="0">
      <w:lvlJc w:val="left"/>
      <w:lvlText w:val="%1."/>
      <w:numFmt w:val="decimal"/>
      <w:start w:val="1"/>
    </w:lvl>
  </w:abstractNum>
  <w:abstractNum w:abstractNumId="97">
    <w:nsid w:val="3FC32E20"/>
    <w:multiLevelType w:val="hybridMultilevel"/>
    <w:lvl w:ilvl="0">
      <w:lvlJc w:val="left"/>
      <w:lvlText w:val="(%1)"/>
      <w:numFmt w:val="lowerLetter"/>
      <w:start w:val="1"/>
    </w:lvl>
  </w:abstractNum>
  <w:abstractNum w:abstractNumId="98">
    <w:nsid w:val="49C0E823"/>
    <w:multiLevelType w:val="hybridMultilevel"/>
    <w:lvl w:ilvl="0">
      <w:lvlJc w:val="left"/>
      <w:lvlText w:val="(%1)"/>
      <w:numFmt w:val="lowerLetter"/>
      <w:start w:val="3"/>
    </w:lvl>
    <w:lvl w:ilvl="1">
      <w:lvlJc w:val="left"/>
      <w:lvlText w:val="(%2)"/>
      <w:numFmt w:val="lowerLetter"/>
      <w:start w:val="5"/>
    </w:lvl>
  </w:abstractNum>
  <w:abstractNum w:abstractNumId="99">
    <w:nsid w:val="14D53685"/>
    <w:multiLevelType w:val="hybridMultilevel"/>
    <w:lvl w:ilvl="0">
      <w:lvlJc w:val="left"/>
      <w:lvlText w:val="%1"/>
      <w:numFmt w:val="decimal"/>
      <w:start w:val="1"/>
    </w:lvl>
    <w:lvl w:ilvl="1">
      <w:lvlJc w:val="left"/>
      <w:lvlText w:val="(%2)"/>
      <w:numFmt w:val="lowerLetter"/>
      <w:start w:val="6"/>
    </w:lvl>
  </w:abstractNum>
  <w:abstractNum w:abstractNumId="100">
    <w:nsid w:val="230F856C"/>
    <w:multiLevelType w:val="hybridMultilevel"/>
    <w:lvl w:ilvl="0">
      <w:lvlJc w:val="left"/>
      <w:lvlText w:val="%1."/>
      <w:numFmt w:val="decimal"/>
      <w:start w:val="4"/>
    </w:lvl>
    <w:lvl w:ilvl="1">
      <w:lvlJc w:val="left"/>
      <w:lvlText w:val="%2"/>
      <w:numFmt w:val="lowerLetter"/>
      <w:start w:val="1"/>
    </w:lvl>
  </w:abstractNum>
  <w:abstractNum w:abstractNumId="101">
    <w:nsid w:val="6EAA85F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02">
    <w:nsid w:val="3F06ECB2"/>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3">
    <w:nsid w:val="3B59480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4">
    <w:nsid w:val="6CAA230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05">
    <w:nsid w:val="3F7C2FF4"/>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06">
    <w:nsid w:val="25413BEC"/>
    <w:multiLevelType w:val="hybridMultilevel"/>
    <w:lvl w:ilvl="0">
      <w:lvlJc w:val="left"/>
      <w:lvlText w:val="(%1)"/>
      <w:numFmt w:val="lowerRoman"/>
      <w:start w:val="2"/>
    </w:lvl>
  </w:abstractNum>
  <w:abstractNum w:abstractNumId="107">
    <w:nsid w:val="17180B0B"/>
    <w:multiLevelType w:val="hybridMultilevel"/>
    <w:lvl w:ilvl="0">
      <w:lvlJc w:val="left"/>
      <w:lvlText w:val="(%1)"/>
      <w:numFmt w:val="upperLetter"/>
      <w:start w:val="1"/>
    </w:lvl>
  </w:abstractNum>
  <w:abstractNum w:abstractNumId="108">
    <w:nsid w:val="579328B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109">
    <w:nsid w:val="5D205E2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upperLetter"/>
      <w:start w:val="1"/>
    </w:lvl>
  </w:abstractNum>
  <w:abstractNum w:abstractNumId="110">
    <w:nsid w:val="11CCA8BA"/>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11">
    <w:nsid w:val="4D32AB86"/>
    <w:multiLevelType w:val="hybridMultilevel"/>
    <w:lvl w:ilvl="0">
      <w:lvlJc w:val="left"/>
      <w:lvlText w:val="%1."/>
      <w:numFmt w:val="decimal"/>
      <w:start w:val="7"/>
    </w:lvl>
    <w:lvl w:ilvl="1">
      <w:lvlJc w:val="left"/>
      <w:lvlText w:val="(%2)"/>
      <w:numFmt w:val="lowerLetter"/>
      <w:start w:val="1"/>
    </w:lvl>
  </w:abstractNum>
  <w:abstractNum w:abstractNumId="112">
    <w:nsid w:val="3F07ACC3"/>
    <w:multiLevelType w:val="hybridMultilevel"/>
    <w:lvl w:ilvl="0">
      <w:lvlJc w:val="left"/>
      <w:lvlText w:val="%1"/>
      <w:numFmt w:val="decimal"/>
      <w:start w:val="1"/>
    </w:lvl>
    <w:lvl w:ilvl="1">
      <w:lvlJc w:val="left"/>
      <w:lvlText w:val="(%2)"/>
      <w:numFmt w:val="lowerLetter"/>
      <w:start w:val="2"/>
    </w:lvl>
  </w:abstractNum>
  <w:abstractNum w:abstractNumId="113">
    <w:nsid w:val="6B47F63E"/>
    <w:multiLevelType w:val="hybridMultilevel"/>
    <w:lvl w:ilvl="0">
      <w:lvlJc w:val="left"/>
      <w:lvlText w:val="%1."/>
      <w:numFmt w:val="decimal"/>
      <w:start w:val="8"/>
    </w:lvl>
    <w:lvl w:ilvl="1">
      <w:lvlJc w:val="left"/>
      <w:lvlText w:val="%2"/>
      <w:numFmt w:val="lowerLetter"/>
      <w:start w:val="1"/>
    </w:lvl>
  </w:abstractNum>
  <w:abstractNum w:abstractNumId="114">
    <w:nsid w:val="5CB44A05"/>
    <w:multiLevelType w:val="hybridMultilevel"/>
    <w:lvl w:ilvl="0">
      <w:lvlJc w:val="left"/>
      <w:lvlText w:val="%1."/>
      <w:numFmt w:val="decimal"/>
      <w:start w:val="13"/>
    </w:lvl>
    <w:lvl w:ilvl="1">
      <w:lvlJc w:val="left"/>
      <w:lvlText w:val="(%2)"/>
      <w:numFmt w:val="lowerLetter"/>
      <w:start w:val="1"/>
    </w:lvl>
  </w:abstractNum>
  <w:abstractNum w:abstractNumId="115">
    <w:nsid w:val="16CF80F1"/>
    <w:multiLevelType w:val="hybridMultilevel"/>
    <w:lvl w:ilvl="0">
      <w:lvlJc w:val="left"/>
      <w:lvlText w:val="(%1)"/>
      <w:numFmt w:val="lowerLetter"/>
      <w:start w:val="2"/>
    </w:lvl>
  </w:abstractNum>
  <w:abstractNum w:abstractNumId="116">
    <w:nsid w:val="1C695DEC"/>
    <w:multiLevelType w:val="hybridMultilevel"/>
    <w:lvl w:ilvl="0">
      <w:lvlJc w:val="left"/>
      <w:lvlText w:val="(%1)"/>
      <w:numFmt w:val="lowerLetter"/>
      <w:start w:val="4"/>
    </w:lvl>
  </w:abstractNum>
  <w:abstractNum w:abstractNumId="117">
    <w:nsid w:val="3FCFAED9"/>
    <w:multiLevelType w:val="hybridMultilevel"/>
    <w:lvl w:ilvl="0">
      <w:lvlJc w:val="left"/>
      <w:lvlText w:val="(%1)"/>
      <w:numFmt w:val="lowerLetter"/>
      <w:start w:val="9"/>
    </w:lvl>
  </w:abstractNum>
  <w:abstractNum w:abstractNumId="118">
    <w:nsid w:val="F856867"/>
    <w:multiLevelType w:val="hybridMultilevel"/>
    <w:lvl w:ilvl="0">
      <w:lvlJc w:val="left"/>
      <w:lvlText w:val="%1."/>
      <w:numFmt w:val="decimal"/>
      <w:start w:val="1"/>
    </w:lvl>
    <w:lvl w:ilvl="1">
      <w:lvlJc w:val="left"/>
      <w:lvlText w:val="(%2)"/>
      <w:numFmt w:val="lowerLetter"/>
      <w:start w:val="1"/>
    </w:lvl>
  </w:abstractNum>
  <w:abstractNum w:abstractNumId="119">
    <w:nsid w:val="11B1CC33"/>
    <w:multiLevelType w:val="hybridMultilevel"/>
    <w:lvl w:ilvl="0">
      <w:lvlJc w:val="left"/>
      <w:lvlText w:val="(%1)"/>
      <w:numFmt w:val="lowerLetter"/>
      <w:start w:val="4"/>
    </w:lvl>
  </w:abstractNum>
  <w:abstractNum w:abstractNumId="120">
    <w:nsid w:val="2E22FBB7"/>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121">
    <w:nsid w:val="29934699"/>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22">
    <w:nsid w:val="77485850"/>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lvl w:ilvl="3">
      <w:lvlJc w:val="left"/>
      <w:lvlText w:val="%4"/>
      <w:numFmt w:val="decimal"/>
      <w:start w:val="1"/>
    </w:lvl>
  </w:abstractNum>
  <w:abstractNum w:abstractNumId="123">
    <w:nsid w:val="744939A3"/>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lvl w:ilvl="3">
      <w:lvlJc w:val="left"/>
      <w:lvlText w:val="(%4)"/>
      <w:numFmt w:val="decimal"/>
      <w:start w:val="1"/>
    </w:lvl>
  </w:abstractNum>
  <w:abstractNum w:abstractNumId="124">
    <w:nsid w:val="4FA0D2E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5">
    <w:nsid w:val="6B1D2C1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6">
    <w:nsid w:val="68B867D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4)"/>
      <w:numFmt w:val="decimal"/>
      <w:start w:val="1"/>
    </w:lvl>
  </w:abstractNum>
  <w:abstractNum w:abstractNumId="127">
    <w:nsid w:val="3F7F5DD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28">
    <w:nsid w:val="2AE05A34"/>
    <w:multiLevelType w:val="hybridMultilevel"/>
    <w:lvl w:ilvl="0">
      <w:lvlJc w:val="left"/>
      <w:lvlText w:val="(%1)"/>
      <w:numFmt w:val="lowerRoman"/>
      <w:start w:val="3"/>
    </w:lvl>
  </w:abstractNum>
  <w:abstractNum w:abstractNumId="129">
    <w:nsid w:val="32794FF7"/>
    <w:multiLevelType w:val="hybridMultilevel"/>
    <w:lvl w:ilvl="0">
      <w:lvlJc w:val="left"/>
      <w:lvlText w:val="(%1)"/>
      <w:numFmt w:val="upperLetter"/>
      <w:start w:val="1"/>
    </w:lvl>
  </w:abstractNum>
  <w:abstractNum w:abstractNumId="130">
    <w:nsid w:val="5454945E"/>
    <w:multiLevelType w:val="hybridMultilevel"/>
    <w:lvl w:ilvl="0">
      <w:lvlJc w:val="left"/>
      <w:lvlText w:val="%1"/>
      <w:numFmt w:val="decimal"/>
      <w:start w:val="1"/>
    </w:lvl>
    <w:lvl w:ilvl="1">
      <w:lvlJc w:val="left"/>
      <w:lvlText w:val="(%2)"/>
      <w:numFmt w:val="lowerRoman"/>
      <w:start w:val="5"/>
    </w:lvl>
    <w:lvl w:ilvl="2">
      <w:lvlJc w:val="left"/>
      <w:lvlText w:val="(%3)"/>
      <w:numFmt w:val="upperLetter"/>
      <w:start w:val="1"/>
    </w:lvl>
    <w:lvl w:ilvl="3">
      <w:lvlJc w:val="left"/>
      <w:lvlText w:val="(%4)"/>
      <w:numFmt w:val="decimal"/>
      <w:start w:val="1"/>
    </w:lvl>
  </w:abstractNum>
  <w:abstractNum w:abstractNumId="131">
    <w:nsid w:val="4DEFDFA0"/>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32">
    <w:nsid w:val="2123D5F2"/>
    <w:multiLevelType w:val="hybridMultilevel"/>
    <w:lvl w:ilvl="0">
      <w:lvlJc w:val="left"/>
      <w:lvlText w:val="%1."/>
      <w:numFmt w:val="decimal"/>
      <w:start w:val="7"/>
    </w:lvl>
    <w:lvl w:ilvl="1">
      <w:lvlJc w:val="left"/>
      <w:lvlText w:val="(%2)"/>
      <w:numFmt w:val="lowerLetter"/>
      <w:start w:val="1"/>
    </w:lvl>
  </w:abstractNum>
  <w:abstractNum w:abstractNumId="133">
    <w:nsid w:val="135B8110"/>
    <w:multiLevelType w:val="hybridMultilevel"/>
    <w:lvl w:ilvl="0">
      <w:lvlJc w:val="left"/>
      <w:lvlText w:val="%1."/>
      <w:numFmt w:val="decimal"/>
      <w:start w:val="11"/>
    </w:lvl>
    <w:lvl w:ilvl="1">
      <w:lvlJc w:val="left"/>
      <w:lvlText w:val="(%2)"/>
      <w:numFmt w:val="lowerLetter"/>
      <w:start w:val="1"/>
    </w:lvl>
  </w:abstractNum>
  <w:abstractNum w:abstractNumId="134">
    <w:nsid w:val="94927A8"/>
    <w:multiLevelType w:val="hybridMultilevel"/>
    <w:lvl w:ilvl="0">
      <w:lvlJc w:val="left"/>
      <w:lvlText w:val="(%1)"/>
      <w:numFmt w:val="lowerLetter"/>
      <w:start w:val="2"/>
    </w:lvl>
  </w:abstractNum>
  <w:abstractNum w:abstractNumId="135">
    <w:nsid w:val="DCDF8F6"/>
    <w:multiLevelType w:val="hybridMultilevel"/>
    <w:lvl w:ilvl="0">
      <w:lvlJc w:val="left"/>
      <w:lvlText w:val="(%1)"/>
      <w:numFmt w:val="lowerLetter"/>
      <w:start w:val="3"/>
    </w:lvl>
  </w:abstractNum>
  <w:abstractNum w:abstractNumId="136">
    <w:nsid w:val="52D7B105"/>
    <w:multiLevelType w:val="hybridMultilevel"/>
    <w:lvl w:ilvl="0">
      <w:lvlJc w:val="left"/>
      <w:lvlText w:val="%1"/>
      <w:numFmt w:val="upperLetter"/>
      <w:start w:val="1"/>
    </w:lvl>
    <w:lvl w:ilvl="1">
      <w:lvlJc w:val="left"/>
      <w:lvlText w:val="(%2)"/>
      <w:numFmt w:val="lowerLetter"/>
      <w:start w:val="8"/>
    </w:lvl>
  </w:abstractNum>
  <w:abstractNum w:abstractNumId="137">
    <w:nsid w:val="2E8A6394"/>
    <w:multiLevelType w:val="hybridMultilevel"/>
    <w:lvl w:ilvl="0">
      <w:lvlJc w:val="left"/>
      <w:lvlText w:val="%1."/>
      <w:numFmt w:val="decimal"/>
      <w:start w:val="1"/>
    </w:lvl>
  </w:abstractNum>
  <w:abstractNum w:abstractNumId="138">
    <w:nsid w:val="24E60401"/>
    <w:multiLevelType w:val="hybridMultilevel"/>
    <w:lvl w:ilvl="0">
      <w:lvlJc w:val="left"/>
      <w:lvlText w:val="(%1)"/>
      <w:numFmt w:val="lowerLetter"/>
      <w:start w:val="1"/>
    </w:lvl>
  </w:abstractNum>
  <w:abstractNum w:abstractNumId="139">
    <w:nsid w:val="2A6AD9BE"/>
    <w:multiLevelType w:val="hybridMultilevel"/>
    <w:lvl w:ilvl="0">
      <w:lvlJc w:val="left"/>
      <w:lvlText w:val="(%1)"/>
      <w:numFmt w:val="lowerLetter"/>
      <w:start w:val="3"/>
    </w:lvl>
    <w:lvl w:ilvl="1">
      <w:lvlJc w:val="left"/>
      <w:lvlText w:val="(%2)"/>
      <w:numFmt w:val="lowerLetter"/>
      <w:start w:val="5"/>
    </w:lvl>
  </w:abstractNum>
  <w:abstractNum w:abstractNumId="140">
    <w:nsid w:val="BAAC1B4"/>
    <w:multiLevelType w:val="hybridMultilevel"/>
    <w:lvl w:ilvl="0">
      <w:lvlJc w:val="left"/>
      <w:lvlText w:val="(%1)"/>
      <w:numFmt w:val="lowerLetter"/>
      <w:start w:val="6"/>
    </w:lvl>
  </w:abstractNum>
  <w:abstractNum w:abstractNumId="141">
    <w:nsid w:val="36B2ACBC"/>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42">
    <w:nsid w:val="779D8544"/>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3">
    <w:nsid w:val="4AB26E7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44">
    <w:nsid w:val="21FAA2FA"/>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45">
    <w:nsid w:val="5451CF4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46">
    <w:nsid w:val="6181EF69"/>
    <w:multiLevelType w:val="hybridMultilevel"/>
    <w:lvl w:ilvl="0">
      <w:lvlJc w:val="left"/>
      <w:lvlText w:val="(%1)"/>
      <w:numFmt w:val="lowerRoman"/>
      <w:start w:val="2"/>
    </w:lvl>
  </w:abstractNum>
  <w:abstractNum w:abstractNumId="147">
    <w:nsid w:val="3E6400E6"/>
    <w:multiLevelType w:val="hybridMultilevel"/>
    <w:lvl w:ilvl="0">
      <w:lvlJc w:val="left"/>
      <w:lvlText w:val="(%1)"/>
      <w:numFmt w:val="upperLetter"/>
      <w:start w:val="1"/>
    </w:lvl>
  </w:abstractNum>
  <w:abstractNum w:abstractNumId="148">
    <w:nsid w:val="14217E2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abstractNum>
  <w:abstractNum w:abstractNumId="149">
    <w:nsid w:val="710757D0"/>
    <w:multiLevelType w:val="hybridMultilevel"/>
    <w:lvl w:ilvl="0">
      <w:lvlJc w:val="left"/>
      <w:lvlText w:val="%1"/>
      <w:numFmt w:val="decimal"/>
      <w:start w:val="1"/>
    </w:lvl>
    <w:lvl w:ilvl="1">
      <w:lvlJc w:val="left"/>
      <w:lvlText w:val="(%2)"/>
      <w:numFmt w:val="lowerRoman"/>
      <w:start w:val="4"/>
    </w:lvl>
    <w:lvl w:ilvl="2">
      <w:lvlJc w:val="left"/>
      <w:lvlText w:val="(%3)"/>
      <w:numFmt w:val="upperLetter"/>
      <w:start w:val="1"/>
    </w:lvl>
  </w:abstractNum>
  <w:abstractNum w:abstractNumId="150">
    <w:nsid w:val="5015CD1A"/>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151">
    <w:nsid w:val="424479DA"/>
    <w:multiLevelType w:val="hybridMultilevel"/>
    <w:lvl w:ilvl="0">
      <w:lvlJc w:val="left"/>
      <w:lvlText w:val="%1."/>
      <w:numFmt w:val="decimal"/>
      <w:start w:val="7"/>
    </w:lvl>
    <w:lvl w:ilvl="1">
      <w:lvlJc w:val="left"/>
      <w:lvlText w:val="(%2)"/>
      <w:numFmt w:val="lowerLetter"/>
      <w:start w:val="1"/>
    </w:lvl>
  </w:abstractNum>
  <w:abstractNum w:abstractNumId="152">
    <w:nsid w:val="1A9A9E69"/>
    <w:multiLevelType w:val="hybridMultilevel"/>
    <w:lvl w:ilvl="0">
      <w:lvlJc w:val="left"/>
      <w:lvlText w:val="%1."/>
      <w:numFmt w:val="decimal"/>
      <w:start w:val="9"/>
    </w:lvl>
    <w:lvl w:ilvl="1">
      <w:lvlJc w:val="left"/>
      <w:lvlText w:val="(%2)"/>
      <w:numFmt w:val="lowerLetter"/>
      <w:start w:val="1"/>
    </w:lvl>
  </w:abstractNum>
  <w:abstractNum w:abstractNumId="153">
    <w:nsid w:val="475E256A"/>
    <w:multiLevelType w:val="hybridMultilevel"/>
    <w:lvl w:ilvl="0">
      <w:lvlJc w:val="left"/>
      <w:lvlText w:val="(%1)"/>
      <w:numFmt w:val="lowerLetter"/>
      <w:start w:val="2"/>
    </w:lvl>
  </w:abstractNum>
  <w:abstractNum w:abstractNumId="154">
    <w:nsid w:val="368DB37E"/>
    <w:multiLevelType w:val="hybridMultilevel"/>
    <w:lvl w:ilvl="0">
      <w:lvlJc w:val="left"/>
      <w:lvlText w:val="(%1)"/>
      <w:numFmt w:val="lowerLetter"/>
      <w:start w:val="6"/>
    </w:lvl>
    <w:lvl w:ilvl="1">
      <w:lvlJc w:val="left"/>
      <w:lvlText w:val="(%2)"/>
      <w:numFmt w:val="lowerLetter"/>
      <w:start w:val="9"/>
    </w:lvl>
  </w:abstractNum>
  <w:abstractNum w:abstractNumId="155">
    <w:nsid w:val="6A3B714C"/>
    <w:multiLevelType w:val="hybridMultilevel"/>
    <w:lvl w:ilvl="0">
      <w:lvlJc w:val="left"/>
      <w:lvlText w:val="(%1)"/>
      <w:numFmt w:val="lowerLetter"/>
      <w:start w:val="10"/>
    </w:lvl>
  </w:abstractNum>
  <w:abstractNum w:abstractNumId="156">
    <w:nsid w:val="327B517E"/>
    <w:multiLevelType w:val="hybridMultilevel"/>
    <w:lvl w:ilvl="0">
      <w:lvlJc w:val="left"/>
      <w:lvlText w:val="%1."/>
      <w:numFmt w:val="upperLetter"/>
      <w:start w:val="1"/>
    </w:lvl>
  </w:abstractNum>
  <w:abstractNum w:abstractNumId="157">
    <w:nsid w:val="1F461B51"/>
    <w:multiLevelType w:val="hybridMultilevel"/>
    <w:lvl w:ilvl="0">
      <w:lvlJc w:val="left"/>
      <w:lvlText w:val="%1."/>
      <w:numFmt w:val="decimal"/>
      <w:start w:val="1"/>
    </w:lvl>
    <w:lvl w:ilvl="1">
      <w:lvlJc w:val="left"/>
      <w:lvlText w:val="(%2)"/>
      <w:numFmt w:val="lowerLetter"/>
      <w:start w:val="1"/>
    </w:lvl>
  </w:abstractNum>
  <w:abstractNum w:abstractNumId="158">
    <w:nsid w:val="29BACF25"/>
    <w:multiLevelType w:val="hybridMultilevel"/>
    <w:lvl w:ilvl="0">
      <w:lvlJc w:val="left"/>
      <w:lvlText w:val="%1"/>
      <w:numFmt w:val="decimal"/>
      <w:start w:val="1"/>
    </w:lvl>
    <w:lvl w:ilvl="1">
      <w:lvlJc w:val="left"/>
      <w:lvlText w:val="(%2)"/>
      <w:numFmt w:val="lowerLetter"/>
      <w:start w:val="6"/>
    </w:lvl>
  </w:abstractNum>
  <w:abstractNum w:abstractNumId="159">
    <w:nsid w:val="5D5BABB3"/>
    <w:multiLevelType w:val="hybridMultilevel"/>
    <w:lvl w:ilvl="0">
      <w:lvlJc w:val="left"/>
      <w:lvlText w:val="%1."/>
      <w:numFmt w:val="decimal"/>
      <w:start w:val="4"/>
    </w:lvl>
    <w:lvl w:ilvl="1">
      <w:lvlJc w:val="left"/>
      <w:lvlText w:val="(%2)"/>
      <w:numFmt w:val="lowerLetter"/>
      <w:start w:val="1"/>
    </w:lvl>
  </w:abstractNum>
  <w:abstractNum w:abstractNumId="160">
    <w:nsid w:val="51BF6B4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1">
    <w:nsid w:val="7E0F6384"/>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62">
    <w:nsid w:val="2B4B8B53"/>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63">
    <w:nsid w:val="72E3413A"/>
    <w:multiLevelType w:val="hybridMultilevel"/>
    <w:lvl w:ilvl="0">
      <w:lvlJc w:val="left"/>
      <w:lvlText w:val="%1"/>
      <w:numFmt w:val="decimal"/>
      <w:start w:val="1"/>
    </w:lvl>
    <w:lvl w:ilvl="1">
      <w:lvlJc w:val="left"/>
      <w:lvlText w:val="(%2)"/>
      <w:numFmt w:val="lowerLetter"/>
      <w:start w:val="2"/>
    </w:lvl>
  </w:abstractNum>
  <w:abstractNum w:abstractNumId="164">
    <w:nsid w:val="116AE494"/>
    <w:multiLevelType w:val="hybridMultilevel"/>
    <w:lvl w:ilvl="0">
      <w:lvlJc w:val="left"/>
      <w:lvlText w:val="%1."/>
      <w:numFmt w:val="decimal"/>
      <w:start w:val="7"/>
    </w:lvl>
    <w:lvl w:ilvl="1">
      <w:lvlJc w:val="left"/>
      <w:lvlText w:val="%2"/>
      <w:numFmt w:val="lowerLetter"/>
      <w:start w:val="1"/>
    </w:lvl>
  </w:abstractNum>
  <w:abstractNum w:abstractNumId="165">
    <w:nsid w:val="3494B2FB"/>
    <w:multiLevelType w:val="hybridMultilevel"/>
    <w:lvl w:ilvl="0">
      <w:lvlJc w:val="left"/>
      <w:lvlText w:val="%1."/>
      <w:numFmt w:val="decimal"/>
      <w:start w:val="10"/>
    </w:lvl>
  </w:abstractNum>
  <w:abstractNum w:abstractNumId="166">
    <w:nsid w:val="B13A31"/>
    <w:multiLevelType w:val="hybridMultilevel"/>
    <w:lvl w:ilvl="0">
      <w:lvlJc w:val="left"/>
      <w:lvlText w:val="%1."/>
      <w:numFmt w:val="decimal"/>
      <w:start w:val="1"/>
    </w:lvl>
  </w:abstractNum>
  <w:abstractNum w:abstractNumId="167">
    <w:nsid w:val="64429599"/>
    <w:multiLevelType w:val="hybridMultilevel"/>
    <w:lvl w:ilvl="0">
      <w:lvlJc w:val="left"/>
      <w:lvlText w:val="%1."/>
      <w:numFmt w:val="upperLetter"/>
      <w:start w:val="1"/>
    </w:lvl>
  </w:abstractNum>
  <w:abstractNum w:abstractNumId="168">
    <w:nsid w:val="631F169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69">
    <w:nsid w:val="25973E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70">
    <w:nsid w:val="EAD6F57"/>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171">
    <w:nsid w:val="6EC9D844"/>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72">
    <w:nsid w:val="5C49EAEE"/>
    <w:multiLevelType w:val="hybridMultilevel"/>
    <w:lvl w:ilvl="0">
      <w:lvlJc w:val="left"/>
      <w:lvlText w:val="%1"/>
      <w:numFmt w:val="decimal"/>
      <w:start w:val="1"/>
    </w:lvl>
    <w:lvl w:ilvl="1">
      <w:lvlJc w:val="left"/>
      <w:lvlText w:val="(%2)"/>
      <w:numFmt w:val="lowerLetter"/>
      <w:start w:val="1"/>
    </w:lvl>
  </w:abstractNum>
  <w:abstractNum w:abstractNumId="173">
    <w:nsid w:val="64AF49B"/>
    <w:multiLevelType w:val="hybridMultilevel"/>
    <w:lvl w:ilvl="0">
      <w:lvlJc w:val="left"/>
      <w:lvlText w:val="%1."/>
      <w:numFmt w:val="decimal"/>
      <w:start w:val="4"/>
    </w:lvl>
    <w:lvl w:ilvl="1">
      <w:lvlJc w:val="left"/>
      <w:lvlText w:val="(%2)"/>
      <w:numFmt w:val="lowerLetter"/>
      <w:start w:val="1"/>
    </w:lvl>
  </w:abstractNum>
  <w:abstractNum w:abstractNumId="174">
    <w:nsid w:val="397C46B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75">
    <w:nsid w:val="7E448DE9"/>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76">
    <w:nsid w:val="5A9CC3E5"/>
    <w:multiLevelType w:val="hybridMultilevel"/>
    <w:lvl w:ilvl="0">
      <w:lvlJc w:val="left"/>
      <w:lvlText w:val="%1"/>
      <w:numFmt w:val="lowerLetter"/>
      <w:start w:val="1"/>
    </w:lvl>
    <w:lvl w:ilvl="1">
      <w:lvlJc w:val="left"/>
      <w:lvlText w:val="(%2)"/>
      <w:numFmt w:val="lowerRoman"/>
      <w:start w:val="2"/>
    </w:lvl>
  </w:abstractNum>
  <w:abstractNum w:abstractNumId="177">
    <w:nsid w:val="1AFE3625"/>
    <w:multiLevelType w:val="hybridMultilevel"/>
    <w:lvl w:ilvl="0">
      <w:lvlJc w:val="left"/>
      <w:lvlText w:val="(%1)"/>
      <w:numFmt w:val="lowerLetter"/>
      <w:start w:val="6"/>
    </w:lvl>
    <w:lvl w:ilvl="1">
      <w:lvlJc w:val="left"/>
      <w:lvlText w:val="%2"/>
      <w:numFmt w:val="lowerRoman"/>
      <w:start w:val="1"/>
    </w:lvl>
  </w:abstractNum>
  <w:abstractNum w:abstractNumId="178">
    <w:nsid w:val="3CA88ECF"/>
    <w:multiLevelType w:val="hybridMultilevel"/>
    <w:lvl w:ilvl="0">
      <w:lvlJc w:val="left"/>
      <w:lvlText w:val="%1"/>
      <w:numFmt w:val="decimal"/>
      <w:start w:val="1"/>
    </w:lvl>
    <w:lvl w:ilvl="1">
      <w:lvlJc w:val="left"/>
      <w:lvlText w:val="(%2)"/>
      <w:numFmt w:val="lowerLetter"/>
      <w:start w:val="8"/>
    </w:lvl>
  </w:abstractNum>
  <w:abstractNum w:abstractNumId="179">
    <w:nsid w:val="6EBE4208"/>
    <w:multiLevelType w:val="hybridMultilevel"/>
    <w:lvl w:ilvl="0">
      <w:lvlJc w:val="left"/>
      <w:lvlText w:val="%1."/>
      <w:numFmt w:val="decimal"/>
      <w:start w:val="6"/>
    </w:lvl>
    <w:lvl w:ilvl="1">
      <w:lvlJc w:val="left"/>
      <w:lvlText w:val="(%2)"/>
      <w:numFmt w:val="lowerLetter"/>
      <w:start w:val="1"/>
    </w:lvl>
  </w:abstractNum>
  <w:abstractNum w:abstractNumId="180">
    <w:nsid w:val="C058DF5"/>
    <w:multiLevelType w:val="hybridMultilevel"/>
    <w:lvl w:ilvl="0">
      <w:lvlJc w:val="left"/>
      <w:lvlText w:val="%1"/>
      <w:numFmt w:val="lowerLetter"/>
      <w:start w:val="1"/>
    </w:lvl>
    <w:lvl w:ilvl="1">
      <w:lvlJc w:val="left"/>
      <w:lvlText w:val="%2."/>
      <w:numFmt w:val="decimal"/>
      <w:start w:val="11"/>
    </w:lvl>
  </w:abstractNum>
  <w:abstractNum w:abstractNumId="181">
    <w:nsid w:val="CBE5BE9"/>
    <w:multiLevelType w:val="hybridMultilevel"/>
    <w:lvl w:ilvl="0">
      <w:lvlJc w:val="left"/>
      <w:lvlText w:val="(%1)"/>
      <w:numFmt w:val="lowerLetter"/>
      <w:start w:val="2"/>
    </w:lvl>
    <w:lvl w:ilvl="1">
      <w:lvlJc w:val="left"/>
      <w:lvlText w:val="%2"/>
      <w:numFmt w:val="decimal"/>
      <w:start w:val="1"/>
    </w:lvl>
  </w:abstractNum>
  <w:abstractNum w:abstractNumId="182">
    <w:nsid w:val="3102BBE2"/>
    <w:multiLevelType w:val="hybridMultilevel"/>
    <w:lvl w:ilvl="0">
      <w:lvlJc w:val="left"/>
      <w:lvlText w:val="%1."/>
      <w:numFmt w:val="decimal"/>
      <w:start w:val="17"/>
    </w:lvl>
  </w:abstractNum>
  <w:abstractNum w:abstractNumId="183">
    <w:nsid w:val="26A02C5E"/>
    <w:multiLevelType w:val="hybridMultilevel"/>
    <w:lvl w:ilvl="0">
      <w:lvlJc w:val="left"/>
      <w:lvlText w:val="•"/>
      <w:numFmt w:val="bullet"/>
      <w:start w:val="1"/>
    </w:lvl>
  </w:abstractNum>
  <w:abstractNum w:abstractNumId="184">
    <w:nsid w:val="541C8153"/>
    <w:multiLevelType w:val="hybridMultilevel"/>
    <w:lvl w:ilvl="0">
      <w:lvlJc w:val="left"/>
      <w:lvlText w:val="[*]"/>
      <w:numFmt w:val="bullet"/>
      <w:start w:val="1"/>
    </w:lvl>
  </w:abstractNum>
  <w:abstractNum w:abstractNumId="185">
    <w:nsid w:val="67906F60"/>
    <w:multiLevelType w:val="hybridMultilevel"/>
    <w:lvl w:ilvl="0">
      <w:lvlJc w:val="left"/>
      <w:lvlText w:val="%1."/>
      <w:numFmt w:val="decimal"/>
      <w:start w:val="1"/>
    </w:lvl>
  </w:abstractNum>
  <w:abstractNum w:abstractNumId="186">
    <w:nsid w:val="10DB9DAA"/>
    <w:multiLevelType w:val="hybridMultilevel"/>
    <w:lvl w:ilvl="0">
      <w:lvlJc w:val="left"/>
      <w:lvlText w:val="3"/>
      <w:numFmt w:val="bullet"/>
      <w:start w:val="1"/>
    </w:lvl>
  </w:abstractNum>
  <w:abstractNum w:abstractNumId="187">
    <w:nsid w:val="697D2D2"/>
    <w:multiLevelType w:val="hybridMultilevel"/>
    <w:lvl w:ilvl="0">
      <w:lvlJc w:val="left"/>
      <w:lvlText w:val="%1."/>
      <w:numFmt w:val="decimal"/>
      <w:start w:val="4"/>
    </w:lvl>
  </w:abstractNum>
  <w:abstractNum w:abstractNumId="188">
    <w:nsid w:val="6D68AB2"/>
    <w:multiLevelType w:val="hybridMultilevel"/>
    <w:lvl w:ilvl="0">
      <w:lvlJc w:val="left"/>
      <w:lvlText w:val="(%1)"/>
      <w:numFmt w:val="decimal"/>
      <w:start w:val="1"/>
    </w:lvl>
  </w:abstractNum>
  <w:abstractNum w:abstractNumId="189">
    <w:nsid w:val="3A966CD0"/>
    <w:multiLevelType w:val="hybridMultilevel"/>
    <w:lvl w:ilvl="0">
      <w:lvlJc w:val="left"/>
      <w:lvlText w:val="%1"/>
      <w:numFmt w:val="decimal"/>
      <w:start w:val="1"/>
    </w:lvl>
    <w:lvl w:ilvl="1">
      <w:lvlJc w:val="left"/>
      <w:lvlText w:val="(%2)"/>
      <w:numFmt w:val="decimal"/>
      <w:start w:val="3"/>
    </w:lvl>
  </w:abstractNum>
  <w:abstractNum w:abstractNumId="190">
    <w:nsid w:val="63F37E85"/>
    <w:multiLevelType w:val="hybridMultilevel"/>
    <w:lvl w:ilvl="0">
      <w:lvlJc w:val="left"/>
      <w:lvlText w:val="(%1)"/>
      <w:numFmt w:val="decimal"/>
      <w:start w:val="4"/>
    </w:lvl>
    <w:lvl w:ilvl="1">
      <w:lvlJc w:val="left"/>
      <w:lvlText w:val="%2"/>
      <w:numFmt w:val="decimal"/>
      <w:start w:val="1"/>
    </w:lvl>
  </w:abstractNum>
  <w:abstractNum w:abstractNumId="191">
    <w:nsid w:val="5895F5FA"/>
    <w:multiLevelType w:val="hybridMultilevel"/>
    <w:lvl w:ilvl="0">
      <w:lvlJc w:val="left"/>
      <w:lvlText w:val="(%1)"/>
      <w:numFmt w:val="decimal"/>
      <w:start w:val="1"/>
    </w:lvl>
  </w:abstractNum>
  <w:abstractNum w:abstractNumId="192">
    <w:nsid w:val="38A5D054"/>
    <w:multiLevelType w:val="hybridMultilevel"/>
    <w:lvl w:ilvl="0">
      <w:lvlJc w:val="left"/>
      <w:lvlText w:val="%1"/>
      <w:numFmt w:val="upperLetter"/>
      <w:start w:val="1"/>
    </w:lvl>
    <w:lvl w:ilvl="1">
      <w:lvlJc w:val="left"/>
      <w:lvlText w:val="(%2)"/>
      <w:numFmt w:val="decimal"/>
      <w:start w:val="5"/>
    </w:lvl>
  </w:abstractNum>
  <w:abstractNum w:abstractNumId="193">
    <w:nsid w:val="F3F09D8"/>
    <w:multiLevelType w:val="hybridMultilevel"/>
    <w:lvl w:ilvl="0">
      <w:lvlJc w:val="left"/>
      <w:lvlText w:val="%1."/>
      <w:numFmt w:val="upperLetter"/>
      <w:start w:val="9"/>
    </w:lvl>
    <w:lvl w:ilvl="1">
      <w:lvlJc w:val="left"/>
      <w:lvlText w:val="%2"/>
      <w:numFmt w:val="decimal"/>
      <w:start w:val="1"/>
    </w:lvl>
  </w:abstractNum>
  <w:abstractNum w:abstractNumId="194">
    <w:nsid w:val="4B793735"/>
    <w:multiLevelType w:val="hybridMultilevel"/>
    <w:lvl w:ilvl="0">
      <w:lvlJc w:val="left"/>
      <w:lvlText w:val="(%1)"/>
      <w:numFmt w:val="decimal"/>
      <w:start w:val="1"/>
    </w:lvl>
  </w:abstractNum>
  <w:abstractNum w:abstractNumId="195">
    <w:nsid w:val="4A10B4E8"/>
    <w:multiLevelType w:val="hybridMultilevel"/>
    <w:lvl w:ilvl="0">
      <w:lvlJc w:val="left"/>
      <w:lvlText w:val="%1"/>
      <w:numFmt w:val="upperLetter"/>
      <w:start w:val="1"/>
    </w:lvl>
    <w:lvl w:ilvl="1">
      <w:lvlJc w:val="left"/>
      <w:lvlText w:val="(%2)"/>
      <w:numFmt w:val="decimal"/>
      <w:start w:val="2"/>
    </w:lvl>
  </w:abstractNum>
  <w:abstractNum w:abstractNumId="196">
    <w:nsid w:val="43D3BCD4"/>
    <w:multiLevelType w:val="hybridMultilevel"/>
    <w:lvl w:ilvl="0">
      <w:lvlJc w:val="left"/>
      <w:lvlText w:val="%1."/>
      <w:numFmt w:val="upperLetter"/>
      <w:start w:val="10"/>
    </w:lvl>
    <w:lvl w:ilvl="1">
      <w:lvlJc w:val="left"/>
      <w:lvlText w:val="%2"/>
      <w:numFmt w:val="decimal"/>
      <w:start w:val="1"/>
    </w:lvl>
  </w:abstractNum>
  <w:abstractNum w:abstractNumId="197">
    <w:nsid w:val="4C2A7166"/>
    <w:multiLevelType w:val="hybridMultilevel"/>
    <w:lvl w:ilvl="0">
      <w:lvlJc w:val="left"/>
      <w:lvlText w:val="(%1)"/>
      <w:numFmt w:val="decimal"/>
      <w:start w:val="1"/>
    </w:lvl>
  </w:abstractNum>
  <w:abstractNum w:abstractNumId="198">
    <w:nsid w:val="2E534A82"/>
    <w:multiLevelType w:val="hybridMultilevel"/>
    <w:lvl w:ilvl="0">
      <w:lvlJc w:val="left"/>
      <w:lvlText w:val="(%1)"/>
      <w:numFmt w:val="decimal"/>
      <w:start w:val="3"/>
    </w:lvl>
  </w:abstractNum>
  <w:abstractNum w:abstractNumId="199">
    <w:nsid w:val="26F2D364"/>
    <w:multiLevelType w:val="hybridMultilevel"/>
    <w:lvl w:ilvl="0">
      <w:lvlJc w:val="left"/>
      <w:lvlText w:val="(%1)"/>
      <w:numFmt w:val="decimal"/>
      <w:start w:val="1"/>
    </w:lvl>
  </w:abstractNum>
  <w:abstractNum w:abstractNumId="200">
    <w:nsid w:val="71C1AF98"/>
    <w:multiLevelType w:val="hybridMultilevel"/>
    <w:lvl w:ilvl="0">
      <w:lvlJc w:val="left"/>
      <w:lvlText w:val="(%1)"/>
      <w:numFmt w:val="decimal"/>
      <w:start w:val="2"/>
    </w:lvl>
  </w:abstractNum>
  <w:abstractNum w:abstractNumId="201">
    <w:nsid w:val="3D00B9D9"/>
    <w:multiLevelType w:val="hybridMultilevel"/>
    <w:lvl w:ilvl="0">
      <w:lvlJc w:val="left"/>
      <w:lvlText w:val="%1"/>
      <w:numFmt w:val="upperLetter"/>
      <w:start w:val="1"/>
    </w:lvl>
    <w:lvl w:ilvl="1">
      <w:lvlJc w:val="left"/>
      <w:lvlText w:val="(%2)"/>
      <w:numFmt w:val="decimal"/>
      <w:start w:val="3"/>
    </w:lvl>
  </w:abstractNum>
  <w:abstractNum w:abstractNumId="202">
    <w:nsid w:val="15BCABA8"/>
    <w:multiLevelType w:val="hybridMultilevel"/>
    <w:lvl w:ilvl="0">
      <w:lvlJc w:val="left"/>
      <w:lvlText w:val="%1."/>
      <w:numFmt w:val="upperLetter"/>
      <w:start w:val="61"/>
    </w:lvl>
    <w:lvl w:ilvl="1">
      <w:lvlJc w:val="left"/>
      <w:lvlText w:val="%2"/>
      <w:numFmt w:val="decimal"/>
      <w:start w:val="1"/>
    </w:lvl>
  </w:abstractNum>
  <w:abstractNum w:abstractNumId="203">
    <w:nsid w:val="4E0B9A87"/>
    <w:multiLevelType w:val="hybridMultilevel"/>
    <w:lvl w:ilvl="0">
      <w:lvlJc w:val="left"/>
      <w:lvlText w:val="%1."/>
      <w:numFmt w:val="decimal"/>
      <w:start w:val="1"/>
    </w:lvl>
    <w:lvl w:ilvl="1">
      <w:lvlJc w:val="left"/>
      <w:lvlText w:val="(%2)"/>
      <w:numFmt w:val="lowerLetter"/>
      <w:start w:val="1"/>
    </w:lvl>
  </w:abstractNum>
  <w:abstractNum w:abstractNumId="204">
    <w:nsid w:val="434BAE75"/>
    <w:multiLevelType w:val="hybridMultilevel"/>
    <w:lvl w:ilvl="0">
      <w:lvlJc w:val="left"/>
      <w:lvlText w:val="%1."/>
      <w:numFmt w:val="decimal"/>
      <w:start w:val="1"/>
    </w:lvl>
    <w:lvl w:ilvl="1">
      <w:lvlJc w:val="left"/>
      <w:lvlText w:val="(%2)"/>
      <w:numFmt w:val="lowerLetter"/>
      <w:start w:val="1"/>
    </w:lvl>
  </w:abstractNum>
  <w:abstractNum w:abstractNumId="205">
    <w:nsid w:val="4F38F265"/>
    <w:multiLevelType w:val="hybridMultilevel"/>
    <w:lvl w:ilvl="0">
      <w:lvlJc w:val="left"/>
      <w:lvlText w:val="(%1)"/>
      <w:numFmt w:val="decimal"/>
      <w:start w:val="1"/>
    </w:lvl>
  </w:abstractNum>
  <w:abstractNum w:abstractNumId="206">
    <w:nsid w:val="4C5028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55" Type="http://schemas.openxmlformats.org/officeDocument/2006/relationships/image" Target="media/image117.png"/><Relationship Id="rId156"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22" Type="http://schemas.openxmlformats.org/officeDocument/2006/relationships/hyperlink" Target="https://www.sec.gov/Archives/edgar/data/1786431/000162828024035405/reyn-2024630x10qxexx33.htm" TargetMode="External"/><Relationship Id="rId123" Type="http://schemas.openxmlformats.org/officeDocument/2006/relationships/hyperlink" Target="https://www.sec.gov/Archives/edgar/data/0001786431/000119312520024304/d874780dex32.htm" TargetMode="External"/><Relationship Id="rId124" Type="http://schemas.openxmlformats.org/officeDocument/2006/relationships/hyperlink" Target="https://www.sec.gov/Archives/edgar/data/1786431/000156459021005649/reyn-ex41_1158.htm" TargetMode="External"/><Relationship Id="rId125" Type="http://schemas.openxmlformats.org/officeDocument/2006/relationships/hyperlink" Target="https://www.sec.gov/Archives/edgar/data/1531476/000119312524133840/d816015dex41.htm" TargetMode="External"/><Relationship Id="rId126" Type="http://schemas.openxmlformats.org/officeDocument/2006/relationships/hyperlink" Target="https://www.sec.gov/Archives/edgar/data/0001786431/000119312519293392/d769843dex101.htm" TargetMode="External"/><Relationship Id="rId127" Type="http://schemas.openxmlformats.org/officeDocument/2006/relationships/hyperlink" Target="https://www.sec.gov/Archives/edgar/data/0001786431/000095010320001611/dp119867_ex99.htm" TargetMode="External"/><Relationship Id="rId128" Type="http://schemas.openxmlformats.org/officeDocument/2006/relationships/hyperlink" Target="https://www.sec.gov/Archives/edgar/data/1786431/000156459022004307/reyn-ex103_553.htm" TargetMode="External"/><Relationship Id="rId129" Type="http://schemas.openxmlformats.org/officeDocument/2006/relationships/hyperlink" Target="https://www.sec.gov/Archives/edgar/data/1786431/000156459022004307/reyn-ex106_62.htm" TargetMode="External"/><Relationship Id="rId130" Type="http://schemas.openxmlformats.org/officeDocument/2006/relationships/hyperlink" Target="https://www.sec.gov/Archives/edgar/data/1786431/000156459022004307/reyn-ex107_61.htm" TargetMode="External"/><Relationship Id="rId131" Type="http://schemas.openxmlformats.org/officeDocument/2006/relationships/hyperlink" Target="https://www.sec.gov/Archives/edgar/data/0001786431/000119312519293392/d769843dex106.htm" TargetMode="External"/><Relationship Id="rId132" Type="http://schemas.openxmlformats.org/officeDocument/2006/relationships/hyperlink" Target="https://www.sec.gov/Archives/edgar/data/1786431/000119312524246994/d889270dex101.htm" TargetMode="External"/><Relationship Id="rId133" Type="http://schemas.openxmlformats.org/officeDocument/2006/relationships/hyperlink" Target="https://www.sec.gov/Archives/edgar/data/1786431/000119312523254985/d529276dex101.htm" TargetMode="External"/><Relationship Id="rId134" Type="http://schemas.openxmlformats.org/officeDocument/2006/relationships/hyperlink" Target="https://www.sec.gov/Archives/edgar/data/1786431/000119312523254985/d529276dex102.htm" TargetMode="External"/><Relationship Id="rId135" Type="http://schemas.openxmlformats.org/officeDocument/2006/relationships/hyperlink" Target="https://www.sec.gov/Archives/edgar/data/1786431/000119312524246994/d889270dex102.htm" TargetMode="External"/><Relationship Id="rId138" Type="http://schemas.openxmlformats.org/officeDocument/2006/relationships/hyperlink" Target="https://www.sec.gov/Archives/edgar/data/1786431/000119312524246994/d889270dex103.htm" TargetMode="External"/><Relationship Id="rId139" Type="http://schemas.openxmlformats.org/officeDocument/2006/relationships/hyperlink" Target="https://www.sec.gov/Archives/edgar/data/1786431/000119312524246994/d889270dex104.htm" TargetMode="External"/><Relationship Id="rId140" Type="http://schemas.openxmlformats.org/officeDocument/2006/relationships/hyperlink" Target="https://www.sec.gov/Archives/edgar/data/1786431/000119312524246994/d889270dex105.htm" TargetMode="External"/><Relationship Id="rId141" Type="http://schemas.openxmlformats.org/officeDocument/2006/relationships/hyperlink" Target="https://www.sec.gov/Archives/edgar/data/0001786431/000119312520016457/d769843dex1029.htm" TargetMode="External"/><Relationship Id="rId142" Type="http://schemas.openxmlformats.org/officeDocument/2006/relationships/hyperlink" Target="https://www.sec.gov/Archives/edgar/data/1786431/000162828023002692/reyn-20221231xex1017.htm" TargetMode="External"/><Relationship Id="rId143" Type="http://schemas.openxmlformats.org/officeDocument/2006/relationships/hyperlink" Target="https://www.sec.gov/Archives/edgar/data/1786431/000156459022004307/reyn-ex1014_352.htm" TargetMode="External"/><Relationship Id="rId144" Type="http://schemas.openxmlformats.org/officeDocument/2006/relationships/hyperlink" Target="https://www.sec.gov/Archives/edgar/data/1786431/000162828023002692/reyn-20221231xex1018.htm" TargetMode="External"/><Relationship Id="rId145" Type="http://schemas.openxmlformats.org/officeDocument/2006/relationships/hyperlink" Target="https://www.sec.gov/Archives/edgar/data/1786431/000162828023002692/reyn-20221231xex1014.htm" TargetMode="External"/><Relationship Id="rId146" Type="http://schemas.openxmlformats.org/officeDocument/2006/relationships/hyperlink" Target="https://www.sec.gov/Archives/edgar/data/1786431/000162828024021395/reyn-2024331x10qxexx101.htm" TargetMode="External"/><Relationship Id="rId147" Type="http://schemas.openxmlformats.org/officeDocument/2006/relationships/hyperlink" Target="https://www.sec.gov/Archives/edgar/data/0001786431/000119312519293392/d769843dex1018.htm" TargetMode="External"/><Relationship Id="rId148" Type="http://schemas.openxmlformats.org/officeDocument/2006/relationships/hyperlink" Target="https://www.sec.gov/Archives/edgar/data/1786431/000162828023017042/reyn-2023331x10qxexx102.htm" TargetMode="External"/><Relationship Id="rId149" Type="http://schemas.openxmlformats.org/officeDocument/2006/relationships/hyperlink" Target="https://www.sec.gov/Archives/edgar/data/0001786431/000119312519293392/d769843dex1019.htm" TargetMode="External"/><Relationship Id="rId150" Type="http://schemas.openxmlformats.org/officeDocument/2006/relationships/hyperlink" Target="https://www.sec.gov/Archives/edgar/data/1786431/000162828023017042/reyn-2023331x10qxexx103.htm" TargetMode="External"/><Relationship Id="rId151" Type="http://schemas.openxmlformats.org/officeDocument/2006/relationships/hyperlink" Target="https://www.sec.gov/Archives/edgar/data/0001786431/000119312519293392/d769843dex1020.htm" TargetMode="External"/><Relationship Id="rId152" Type="http://schemas.openxmlformats.org/officeDocument/2006/relationships/hyperlink" Target="https://www.sec.gov/Archives/edgar/data/1786431/000162828024035405/reyn-2024630x10qxexx101.htm" TargetMode="External"/><Relationship Id="rId153" Type="http://schemas.openxmlformats.org/officeDocument/2006/relationships/hyperlink" Target="https://www.sec.gov/Archives/edgar/data/0001786431/000119312520010446/d769843dex1023.htm" TargetMode="External"/><Relationship Id="rId154" Type="http://schemas.openxmlformats.org/officeDocument/2006/relationships/hyperlink" Target="https://www.sec.gov/Archives/edgar/data/0001786431/000119312520024304/d874780dex103.htm" TargetMode="External"/><Relationship Id="rId157" Type="http://schemas.openxmlformats.org/officeDocument/2006/relationships/hyperlink" Target="https://www.sec.gov/Archives/edgar/data/0001786431/000119312520024304/d874780dex101.htm" TargetMode="External"/><Relationship Id="rId158" Type="http://schemas.openxmlformats.org/officeDocument/2006/relationships/hyperlink" Target="https://www.sec.gov/Archives/edgar/data/0001786431/000119312520024304/d874780dex102.htm" TargetMode="External"/><Relationship Id="rId159" Type="http://schemas.openxmlformats.org/officeDocument/2006/relationships/hyperlink" Target="https://www.sec.gov/Archives/edgar/data/0001786431/000119312520024304/d874780dex104.htm" TargetMode="External"/><Relationship Id="rId160" Type="http://schemas.openxmlformats.org/officeDocument/2006/relationships/hyperlink" Target="https://www.sec.gov/Archives/edgar/data/1786431/000162828023017042/reyn-2023331x10qxexx101.htm" TargetMode="External"/><Relationship Id="rId161" Type="http://schemas.openxmlformats.org/officeDocument/2006/relationships/hyperlink" Target="https://www.sec.gov/Archives/edgar/data/1786431/000119312523281588/d565717dex101.htm" TargetMode="External"/><Relationship Id="rId162" Type="http://schemas.openxmlformats.org/officeDocument/2006/relationships/hyperlink" Target="https://www.sec.gov/Archives/edgar/data/1786431/000162828024043021/exhibit101.htm" TargetMode="External"/><Relationship Id="rId163" Type="http://schemas.openxmlformats.org/officeDocument/2006/relationships/hyperlink" Target="https://www.sec.gov/Archives/edgar/data/1786431/000162828024003623/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2025-02-05T08:21:16Z</dcterms:created>
  <dcterms:modified xsi:type="dcterms:W3CDTF">2025-02-05T08:21:16Z</dcterms:modified>
</cp:coreProperties>
</file>