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 (April 29, 2026)</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ectPr>
          <w:pgSz w:w="11900" w:h="16838" w:orient="portrait"/>
          <w:cols w:equalWidth="0" w:num="1">
            <w:col w:w="11240"/>
          </w:cols>
          <w:pgMar w:left="320" w:top="1280" w:right="339" w:bottom="1440" w:gutter="0" w:footer="0" w:header="0"/>
        </w:sectPr>
      </w:pPr>
    </w:p>
    <w:p>
      <w:pPr>
        <w:spacing w:after="0" w:line="15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45-3464426</w:t>
      </w:r>
    </w:p>
    <w:p>
      <w:pPr>
        <w:spacing w:after="0" w:line="50" w:lineRule="exact"/>
        <w:rPr>
          <w:sz w:val="24"/>
          <w:szCs w:val="24"/>
          <w:color w:val="auto"/>
        </w:rPr>
      </w:pPr>
    </w:p>
    <w:p>
      <w:pPr>
        <w:sectPr>
          <w:pgSz w:w="11900" w:h="16838" w:orient="portrait"/>
          <w:cols w:equalWidth="0" w:num="3">
            <w:col w:w="4540" w:space="720"/>
            <w:col w:w="3000" w:space="720"/>
            <w:col w:w="226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200"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1900 W. Field Court</w:t>
      </w:r>
    </w:p>
    <w:p>
      <w:pPr>
        <w:spacing w:after="0" w:line="2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60045</w:t>
      </w:r>
    </w:p>
    <w:p>
      <w:pPr>
        <w:spacing w:after="0" w:line="28"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280"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spacing w:after="0"/>
              <w:rPr>
                <w:sz w:val="15"/>
                <w:szCs w:val="15"/>
                <w:color w:val="auto"/>
              </w:rPr>
            </w:pP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REYN</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Stockholders (the “Annual Meeting”) on April 29, 2026. Set forth below are the final voting results for each of the proposals submitted to a vote of the stockholders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following directors as a Class II director to serve until the Company’s 2029 Annual Meeting. The results of the voting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6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3"/>
        </w:trPr>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Marla Gottschalk</w:t>
            </w:r>
          </w:p>
        </w:tc>
        <w:tc>
          <w:tcPr>
            <w:tcW w:w="26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195,945,791</w:t>
            </w:r>
          </w:p>
        </w:tc>
        <w:tc>
          <w:tcPr>
            <w:tcW w:w="42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8,426,477</w:t>
            </w:r>
          </w:p>
        </w:tc>
        <w:tc>
          <w:tcPr>
            <w:tcW w:w="42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2,992,470</w:t>
            </w:r>
          </w:p>
        </w:tc>
        <w:tc>
          <w:tcPr>
            <w:tcW w:w="160" w:type="dxa"/>
            <w:vAlign w:val="bottom"/>
            <w:shd w:val="clear" w:color="auto" w:fill="CCEEFF"/>
          </w:tcPr>
          <w:p>
            <w:pPr>
              <w:spacing w:after="0"/>
              <w:rPr>
                <w:sz w:val="19"/>
                <w:szCs w:val="19"/>
                <w:color w:val="auto"/>
              </w:rPr>
            </w:pPr>
          </w:p>
        </w:tc>
      </w:tr>
      <w:tr>
        <w:trPr>
          <w:trHeight w:val="229"/>
        </w:trPr>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Scott Huckins</w:t>
            </w:r>
          </w:p>
        </w:tc>
        <w:tc>
          <w:tcPr>
            <w:tcW w:w="25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181,828,392</w:t>
            </w:r>
          </w:p>
        </w:tc>
        <w:tc>
          <w:tcPr>
            <w:tcW w:w="420" w:type="dxa"/>
            <w:vAlign w:val="bottom"/>
          </w:tcPr>
          <w:p>
            <w:pPr>
              <w:spacing w:after="0"/>
              <w:rPr>
                <w:sz w:val="19"/>
                <w:szCs w:val="19"/>
                <w:color w:val="auto"/>
              </w:rPr>
            </w:pPr>
          </w:p>
        </w:tc>
        <w:tc>
          <w:tcPr>
            <w:tcW w:w="256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8"/>
              </w:rPr>
              <w:t>22,543,876</w:t>
            </w:r>
          </w:p>
        </w:tc>
        <w:tc>
          <w:tcPr>
            <w:tcW w:w="420" w:type="dxa"/>
            <w:vAlign w:val="bottom"/>
          </w:tcPr>
          <w:p>
            <w:pPr>
              <w:spacing w:after="0"/>
              <w:rPr>
                <w:sz w:val="19"/>
                <w:szCs w:val="19"/>
                <w:color w:val="auto"/>
              </w:rPr>
            </w:pPr>
          </w:p>
        </w:tc>
        <w:tc>
          <w:tcPr>
            <w:tcW w:w="25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2,992,470</w:t>
            </w:r>
          </w:p>
        </w:tc>
        <w:tc>
          <w:tcPr>
            <w:tcW w:w="16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Rolf Stangl</w:t>
            </w:r>
          </w:p>
        </w:tc>
        <w:tc>
          <w:tcPr>
            <w:tcW w:w="25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170,837,103</w:t>
            </w:r>
          </w:p>
        </w:tc>
        <w:tc>
          <w:tcPr>
            <w:tcW w:w="42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8"/>
              </w:rPr>
              <w:t>33,535,165</w:t>
            </w:r>
          </w:p>
        </w:tc>
        <w:tc>
          <w:tcPr>
            <w:tcW w:w="42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2,992,470</w:t>
            </w:r>
          </w:p>
        </w:tc>
        <w:tc>
          <w:tcPr>
            <w:tcW w:w="160" w:type="dxa"/>
            <w:vAlign w:val="bottom"/>
            <w:shd w:val="clear" w:color="auto" w:fill="CCEEFF"/>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ratification of the appointment of PricewaterhouseCoopers LLP as the Company’s independent registered public accounting firm for the fiscal year ending December 31, 2026. The results of the voting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88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520" w:type="dxa"/>
            <w:vAlign w:val="bottom"/>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3"/>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3"/>
        </w:trPr>
        <w:tc>
          <w:tcPr>
            <w:tcW w:w="350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rPr>
              <w:t>207,167,077</w:t>
            </w:r>
          </w:p>
        </w:tc>
        <w:tc>
          <w:tcPr>
            <w:tcW w:w="340" w:type="dxa"/>
            <w:vAlign w:val="bottom"/>
            <w:shd w:val="clear" w:color="auto" w:fill="CFF0FC"/>
          </w:tcPr>
          <w:p>
            <w:pPr>
              <w:spacing w:after="0"/>
              <w:rPr>
                <w:sz w:val="19"/>
                <w:szCs w:val="19"/>
                <w:color w:val="auto"/>
              </w:rPr>
            </w:pPr>
          </w:p>
        </w:tc>
        <w:tc>
          <w:tcPr>
            <w:tcW w:w="35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rPr>
              <w:t>87,511</w:t>
            </w:r>
          </w:p>
        </w:tc>
        <w:tc>
          <w:tcPr>
            <w:tcW w:w="360" w:type="dxa"/>
            <w:vAlign w:val="bottom"/>
            <w:shd w:val="clear" w:color="auto" w:fill="CFF0FC"/>
          </w:tcPr>
          <w:p>
            <w:pPr>
              <w:spacing w:after="0"/>
              <w:rPr>
                <w:sz w:val="19"/>
                <w:szCs w:val="19"/>
                <w:color w:val="auto"/>
              </w:rPr>
            </w:pPr>
          </w:p>
        </w:tc>
        <w:tc>
          <w:tcPr>
            <w:tcW w:w="352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rPr>
              <w:t>110,150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the Named Executive Officers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advisory vote to approve the compensation of the named executive officers. The results of the voting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56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23"/>
        </w:trPr>
        <w:tc>
          <w:tcPr>
            <w:tcW w:w="25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202,117,775</w:t>
            </w:r>
          </w:p>
        </w:tc>
        <w:tc>
          <w:tcPr>
            <w:tcW w:w="26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2,060,937</w:t>
            </w:r>
          </w:p>
        </w:tc>
        <w:tc>
          <w:tcPr>
            <w:tcW w:w="260" w:type="dxa"/>
            <w:vAlign w:val="bottom"/>
            <w:shd w:val="clear" w:color="auto" w:fill="CFF0FC"/>
          </w:tcPr>
          <w:p>
            <w:pPr>
              <w:spacing w:after="0"/>
              <w:rPr>
                <w:sz w:val="19"/>
                <w:szCs w:val="19"/>
                <w:color w:val="auto"/>
              </w:rPr>
            </w:pPr>
          </w:p>
        </w:tc>
        <w:tc>
          <w:tcPr>
            <w:tcW w:w="264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193,556</w:t>
            </w:r>
          </w:p>
        </w:tc>
        <w:tc>
          <w:tcPr>
            <w:tcW w:w="260" w:type="dxa"/>
            <w:vAlign w:val="bottom"/>
            <w:shd w:val="clear" w:color="auto" w:fill="CFF0FC"/>
          </w:tcPr>
          <w:p>
            <w:pPr>
              <w:spacing w:after="0"/>
              <w:rPr>
                <w:sz w:val="19"/>
                <w:szCs w:val="19"/>
                <w:color w:val="auto"/>
              </w:rPr>
            </w:pPr>
          </w:p>
        </w:tc>
        <w:tc>
          <w:tcPr>
            <w:tcW w:w="26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2,992,470</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1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9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Jill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Jill E. Barnett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Legal Officer and Secretary</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2026-04-30T15:16:59Z</dcterms:created>
  <dcterms:modified xsi:type="dcterms:W3CDTF">2026-04-30T15:16:59Z</dcterms:modified>
</cp:coreProperties>
</file>