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4"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460" w:hanging="434"/>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001-39205</w:t>
      </w:r>
    </w:p>
    <w:p>
      <w:pPr>
        <w:spacing w:after="0" w:line="70"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REYNOLDS CONSUMER PRODUCTS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ectPr>
          <w:pgSz w:w="11900" w:h="16838" w:orient="portrait"/>
          <w:cols w:equalWidth="0" w:num="1">
            <w:col w:w="11240"/>
          </w:cols>
          <w:pgMar w:left="320" w:top="233" w:right="339" w:bottom="1440" w:gutter="0" w:footer="0" w:header="0"/>
        </w:sectPr>
      </w:pPr>
    </w:p>
    <w:p>
      <w:pPr>
        <w:spacing w:after="0" w:line="5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45-3464426</w:t>
      </w:r>
    </w:p>
    <w:p>
      <w:pPr>
        <w:spacing w:after="0" w:line="73" w:lineRule="exact"/>
        <w:rPr>
          <w:sz w:val="24"/>
          <w:szCs w:val="24"/>
          <w:color w:val="auto"/>
        </w:rPr>
      </w:pPr>
    </w:p>
    <w:p>
      <w:pPr>
        <w:sectPr>
          <w:pgSz w:w="11900" w:h="16838" w:orient="portrait"/>
          <w:cols w:equalWidth="0" w:num="2">
            <w:col w:w="7280" w:space="720"/>
            <w:col w:w="3240"/>
          </w:cols>
          <w:pgMar w:left="320" w:top="233" w:right="339" w:bottom="1440" w:gutter="0" w:footer="0" w:header="0"/>
          <w:type w:val="continuous"/>
        </w:sectPr>
      </w:pPr>
    </w:p>
    <w:p>
      <w:pPr>
        <w:ind w:left="2000"/>
        <w:spacing w:after="0"/>
        <w:rPr>
          <w:sz w:val="20"/>
          <w:szCs w:val="20"/>
          <w:color w:val="auto"/>
        </w:rPr>
      </w:pPr>
      <w:r>
        <w:rPr>
          <w:rFonts w:ascii="Arial" w:cs="Arial" w:eastAsia="Arial" w:hAnsi="Arial"/>
          <w:sz w:val="10"/>
          <w:szCs w:val="10"/>
          <w:b w:val="1"/>
          <w:bCs w:val="1"/>
          <w:color w:val="auto"/>
        </w:rPr>
        <w:t>(State or Other Jurisdiction of</w:t>
      </w:r>
    </w:p>
    <w:p>
      <w:pPr>
        <w:spacing w:after="0" w:line="48" w:lineRule="exact"/>
        <w:rPr>
          <w:sz w:val="24"/>
          <w:szCs w:val="24"/>
          <w:color w:val="auto"/>
        </w:rPr>
      </w:pPr>
    </w:p>
    <w:p>
      <w:pPr>
        <w:ind w:lef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jc w:val="center"/>
        <w:ind w:right="2180"/>
        <w:spacing w:after="0"/>
        <w:rPr>
          <w:sz w:val="20"/>
          <w:szCs w:val="20"/>
          <w:color w:val="auto"/>
        </w:rPr>
      </w:pPr>
      <w:r>
        <w:rPr>
          <w:rFonts w:ascii="Arial" w:cs="Arial" w:eastAsia="Arial" w:hAnsi="Arial"/>
          <w:sz w:val="10"/>
          <w:szCs w:val="10"/>
          <w:b w:val="1"/>
          <w:bCs w:val="1"/>
          <w:color w:val="auto"/>
        </w:rPr>
        <w:t>Identification Number)</w:t>
      </w:r>
    </w:p>
    <w:p>
      <w:pPr>
        <w:spacing w:after="0" w:line="127" w:lineRule="exact"/>
        <w:rPr>
          <w:sz w:val="24"/>
          <w:szCs w:val="24"/>
          <w:color w:val="auto"/>
        </w:rPr>
      </w:pPr>
    </w:p>
    <w:p>
      <w:pPr>
        <w:sectPr>
          <w:pgSz w:w="11900" w:h="16838" w:orient="portrait"/>
          <w:cols w:equalWidth="0" w:num="2">
            <w:col w:w="7080" w:space="720"/>
            <w:col w:w="344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1900 W. Field Court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(800) 879-5067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74"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ectPr>
          <w:pgSz w:w="11900" w:h="16838" w:orient="portrait"/>
          <w:cols w:equalWidth="0" w:num="1">
            <w:col w:w="11240"/>
          </w:cols>
          <w:pgMar w:left="320" w:top="233" w:right="33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700" w:type="dxa"/>
            <w:vAlign w:val="bottom"/>
          </w:tcPr>
          <w:p>
            <w:pPr>
              <w:spacing w:after="0"/>
              <w:rPr>
                <w:sz w:val="15"/>
                <w:szCs w:val="15"/>
                <w:color w:val="auto"/>
              </w:rPr>
            </w:pPr>
          </w:p>
        </w:tc>
      </w:tr>
      <w:tr>
        <w:trPr>
          <w:trHeight w:val="200"/>
        </w:trPr>
        <w:tc>
          <w:tcPr>
            <w:tcW w:w="4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Symbol</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3"/>
        </w:trPr>
        <w:tc>
          <w:tcPr>
            <w:tcW w:w="406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$0.001 par value</w:t>
            </w:r>
          </w:p>
        </w:tc>
        <w:tc>
          <w:tcPr>
            <w:tcW w:w="348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REYN</w:t>
            </w:r>
          </w:p>
        </w:tc>
        <w:tc>
          <w:tcPr>
            <w:tcW w:w="370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118"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1"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9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271"/>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40"/>
              <w:spacing w:after="0"/>
              <w:rPr>
                <w:sz w:val="20"/>
                <w:szCs w:val="20"/>
                <w:color w:val="auto"/>
              </w:rPr>
            </w:pPr>
            <w:r>
              <w:rPr>
                <w:rFonts w:ascii="Arial" w:cs="Arial" w:eastAsia="Arial" w:hAnsi="Arial"/>
                <w:sz w:val="16"/>
                <w:szCs w:val="16"/>
                <w:color w:val="auto"/>
              </w:rPr>
              <w:t>o</w:t>
            </w:r>
          </w:p>
        </w:tc>
        <w:tc>
          <w:tcPr>
            <w:tcW w:w="5160" w:type="dxa"/>
            <w:vAlign w:val="bottom"/>
          </w:tcPr>
          <w:p>
            <w:pPr>
              <w:jc w:val="right"/>
              <w:ind w:right="9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297"/>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80" w:type="dxa"/>
            <w:vAlign w:val="bottom"/>
          </w:tcPr>
          <w:p>
            <w:pPr>
              <w:ind w:left="340"/>
              <w:spacing w:after="0"/>
              <w:rPr>
                <w:sz w:val="20"/>
                <w:szCs w:val="20"/>
                <w:color w:val="auto"/>
              </w:rPr>
            </w:pPr>
            <w:r>
              <w:rPr>
                <w:rFonts w:ascii="Arial" w:cs="Arial" w:eastAsia="Arial" w:hAnsi="Arial"/>
                <w:sz w:val="16"/>
                <w:szCs w:val="16"/>
                <w:color w:val="auto"/>
              </w:rPr>
              <w:t>o</w:t>
            </w: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18" w:lineRule="exact"/>
        <w:rPr>
          <w:sz w:val="24"/>
          <w:szCs w:val="24"/>
          <w:color w:val="auto"/>
        </w:rPr>
      </w:pPr>
    </w:p>
    <w:p>
      <w:pPr>
        <w:ind w:right="580"/>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040"/>
        <w:spacing w:after="0" w:line="24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31, 2023, the registrant had 210,009,231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Arial" w:cs="Arial" w:eastAsia="Arial" w:hAnsi="Arial"/>
                <w:sz w:val="18"/>
                <w:szCs w:val="18"/>
                <w:color w:val="0000FF"/>
              </w:rPr>
              <w:t>FINANCIAL INFORMATION</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2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Income for the three and nine months ended September 30, 2023 and 2022</w:t>
            </w:r>
          </w:p>
        </w:tc>
        <w:tc>
          <w:tcPr>
            <w:tcW w:w="130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w w:val="90"/>
              </w:rPr>
              <w:t>Condensed Consolidated Statements of Comprehensive Income for the three and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4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nine months ended September 30, 2023 and 2022</w:t>
            </w:r>
          </w:p>
        </w:tc>
        <w:tc>
          <w:tcPr>
            <w:tcW w:w="32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3040" w:type="dxa"/>
            <w:vAlign w:val="bottom"/>
            <w:tcBorders>
              <w:top w:val="single" w:sz="8" w:color="0000FF"/>
            </w:tcBorders>
            <w:gridSpan w:val="4"/>
          </w:tcPr>
          <w:p>
            <w:pPr>
              <w:spacing w:after="0"/>
              <w:rPr>
                <w:sz w:val="21"/>
                <w:szCs w:val="21"/>
                <w:color w:val="auto"/>
              </w:rPr>
            </w:pPr>
          </w:p>
        </w:tc>
        <w:tc>
          <w:tcPr>
            <w:tcW w:w="172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100" w:type="dxa"/>
            <w:vAlign w:val="bottom"/>
            <w:gridSpan w:val="7"/>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Controls and Procedures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4820" w:type="dxa"/>
            <w:vAlign w:val="bottom"/>
            <w:tcBorders>
              <w:top w:val="single" w:sz="8" w:color="0000FF"/>
            </w:tcBorders>
            <w:gridSpan w:val="6"/>
          </w:tcPr>
          <w:p>
            <w:pPr>
              <w:spacing w:after="0"/>
              <w:rPr>
                <w:sz w:val="21"/>
                <w:szCs w:val="21"/>
                <w:color w:val="auto"/>
              </w:rPr>
            </w:pPr>
          </w:p>
        </w:tc>
        <w:tc>
          <w:tcPr>
            <w:tcW w:w="24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2022 and as updated in our Quarterly Reports on Form 10-Q. You should specifically consider the numerous risks outlined in those “Risk Factors” sections. These risks and uncertainties include factors related to:</w:t>
      </w:r>
    </w:p>
    <w:p>
      <w:pPr>
        <w:spacing w:after="0" w:line="77" w:lineRule="exact"/>
        <w:rPr>
          <w:sz w:val="20"/>
          <w:szCs w:val="20"/>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disruption at, any of our key manufacturing facilities;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17" w:lineRule="exact"/>
        <w:rPr>
          <w:rFonts w:ascii="Arial" w:cs="Arial" w:eastAsia="Arial" w:hAnsi="Arial"/>
          <w:sz w:val="18"/>
          <w:szCs w:val="18"/>
          <w:color w:val="auto"/>
        </w:rPr>
      </w:pPr>
    </w:p>
    <w:p>
      <w:pPr>
        <w:ind w:left="880" w:right="40" w:hanging="431"/>
        <w:spacing w:after="0" w:line="277" w:lineRule="auto"/>
        <w:tabs>
          <w:tab w:leader="none" w:pos="867"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due to an accident, labor issues, weather conditions, natural disaster, the emergence of a pandemic or disease outbreak, such as coronavirus or otherwise;</w:t>
      </w:r>
    </w:p>
    <w:p>
      <w:pPr>
        <w:spacing w:after="0" w:line="62"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unknown duration and economic, operational and financial impacts of the global COVID-19 pandemic;</w:t>
      </w:r>
    </w:p>
    <w:p>
      <w:pPr>
        <w:spacing w:after="0" w:line="117" w:lineRule="exact"/>
        <w:rPr>
          <w:rFonts w:ascii="Arial" w:cs="Arial" w:eastAsia="Arial" w:hAnsi="Arial"/>
          <w:sz w:val="18"/>
          <w:szCs w:val="18"/>
          <w:color w:val="auto"/>
        </w:rPr>
      </w:pPr>
    </w:p>
    <w:p>
      <w:pPr>
        <w:ind w:left="880" w:right="60" w:hanging="431"/>
        <w:spacing w:after="0" w:line="277" w:lineRule="auto"/>
        <w:tabs>
          <w:tab w:leader="none" w:pos="86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raw materials, energy, labor and freight, including the impact of tariffs, trade sanctions and similar matters affecting our importation of certain raw materials;</w:t>
      </w:r>
    </w:p>
    <w:p>
      <w:pPr>
        <w:spacing w:after="0" w:line="62"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in our target markets;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inflationary trends;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 and</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interest rates.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is included in our Annual Report on Form 10-K for the fiscal year ended December 31, 2022, which was filed on February 8, 2023, under Part I, Item 1A. “Risk Factors” and as updated in our Quarterly Reports on Form 10-Q.</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For the Nine Months Ended</w:t>
            </w:r>
          </w:p>
        </w:tc>
      </w:tr>
      <w:tr>
        <w:trPr>
          <w:trHeight w:val="186"/>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39"/>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39"/>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r>
      <w:tr>
        <w:trPr>
          <w:trHeight w:val="250"/>
        </w:trPr>
        <w:tc>
          <w:tcPr>
            <w:tcW w:w="49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r>
      <w:tr>
        <w:trPr>
          <w:trHeight w:val="186"/>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r>
      <w:tr>
        <w:trPr>
          <w:trHeight w:val="39"/>
        </w:trPr>
        <w:tc>
          <w:tcPr>
            <w:tcW w:w="50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50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50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income taxes:</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Employee benefit plans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derivatives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income, net of income taxes</w:t>
            </w: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5"/>
                <w:szCs w:val="15"/>
                <w:color w:val="auto"/>
              </w:rPr>
            </w:pPr>
          </w:p>
        </w:tc>
        <w:tc>
          <w:tcPr>
            <w:tcW w:w="14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 and $1)</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 of accumulated depreciation of $878 and $821)</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4,929</w:t>
            </w:r>
          </w:p>
        </w:tc>
        <w:tc>
          <w:tcPr>
            <w:tcW w:w="0" w:type="dxa"/>
            <w:vAlign w:val="bottom"/>
          </w:tcPr>
          <w:p>
            <w:pPr>
              <w:spacing w:after="0"/>
              <w:rPr>
                <w:sz w:val="1"/>
                <w:szCs w:val="1"/>
                <w:color w:val="auto"/>
              </w:rPr>
            </w:pPr>
          </w:p>
        </w:tc>
      </w:tr>
      <w:tr>
        <w:trPr>
          <w:trHeight w:val="34"/>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Long-term postretirement benefit obligation</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$0.001 par value; 2,000 shares authorized; 210 shares issued and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4,929</w:t>
            </w:r>
          </w:p>
        </w:tc>
        <w:tc>
          <w:tcPr>
            <w:tcW w:w="0" w:type="dxa"/>
            <w:vAlign w:val="bottom"/>
          </w:tcPr>
          <w:p>
            <w:pPr>
              <w:spacing w:after="0"/>
              <w:rPr>
                <w:sz w:val="1"/>
                <w:szCs w:val="1"/>
                <w:color w:val="auto"/>
              </w:rPr>
            </w:pPr>
          </w:p>
        </w:tc>
      </w:tr>
      <w:tr>
        <w:trPr>
          <w:trHeight w:val="34"/>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Comprehensive</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7"/>
                <w:szCs w:val="17"/>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12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w w:val="93"/>
              </w:rPr>
              <w:t>Other comprehensive income,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120" w:type="dxa"/>
            <w:vAlign w:val="bottom"/>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12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34290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Related party receivables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policies described in our Annual Report on Form 10-K for the year ended December 31, 2022,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SCF Bank, as it relates to the SCF. Once a qualifying supplier elects to participate in the SCF and reaches an agreement with the SCF Bank, they elect which individual invoices they sell to the SCF Bank. The terms of our payment obligations are not impacted by a supplier’s participation in the SCF and as such, the SCF has no direct impact on our balance sheets, cash flows, or liquidity. Amounts due to suppliers who voluntarily participate in the SCF are included in accounts payable in our condensed consolidated balance sheet and our payments made under the SCF are reflected as an operating cash flow in the condensed consolidated statement of cash flows. </w:t>
      </w:r>
      <w:r>
        <w:rPr>
          <w:rFonts w:ascii="Arial" w:cs="Arial" w:eastAsia="Arial" w:hAnsi="Arial"/>
          <w:sz w:val="17"/>
          <w:szCs w:val="17"/>
          <w:color w:val="212529"/>
        </w:rPr>
        <w:t>As of</w:t>
      </w:r>
      <w:r>
        <w:rPr>
          <w:rFonts w:ascii="Arial" w:cs="Arial" w:eastAsia="Arial" w:hAnsi="Arial"/>
          <w:sz w:val="17"/>
          <w:szCs w:val="17"/>
          <w:color w:val="auto"/>
        </w:rPr>
        <w:t xml:space="preserve"> September 30, 2023</w:t>
      </w:r>
      <w:r>
        <w:rPr>
          <w:rFonts w:ascii="Arial" w:cs="Arial" w:eastAsia="Arial" w:hAnsi="Arial"/>
          <w:sz w:val="17"/>
          <w:szCs w:val="17"/>
          <w:color w:val="212529"/>
        </w:rPr>
        <w:t>, the amount of obligations</w:t>
      </w:r>
      <w:r>
        <w:rPr>
          <w:rFonts w:ascii="Arial" w:cs="Arial" w:eastAsia="Arial" w:hAnsi="Arial"/>
          <w:sz w:val="17"/>
          <w:szCs w:val="17"/>
          <w:color w:val="auto"/>
        </w:rPr>
        <w:t xml:space="preserve"> </w:t>
      </w:r>
      <w:r>
        <w:rPr>
          <w:rFonts w:ascii="Arial" w:cs="Arial" w:eastAsia="Arial" w:hAnsi="Arial"/>
          <w:sz w:val="17"/>
          <w:szCs w:val="17"/>
          <w:color w:val="212529"/>
        </w:rPr>
        <w:t>outstanding that we have confirmed as valid under the SCF was $18 million.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New Accounting Standards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 Facilitation of the Effects of Reference Rate Reform on Financial Reporting</w:t>
      </w:r>
      <w:r>
        <w:rPr>
          <w:rFonts w:ascii="Arial" w:cs="Arial" w:eastAsia="Arial" w:hAnsi="Arial"/>
          <w:sz w:val="17"/>
          <w:szCs w:val="17"/>
          <w:color w:val="auto"/>
        </w:rPr>
        <w:t>, and subsequently in January 2021, FASB issued ASU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both of which provide optional expedients and exceptions to applying the guidance on contract modifications,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hedge accounting, and other transactions, to simplify the accounting for transitioning from the London Interbank Offered Rate (“LIBOR”), and other interbank offered rates expected to be discontinued, to alternative reference rates. Each of these ASUs were effective upon its issuance and could be applied prospectively through December 31, 2022. In December 2022, the FASB issued ASU 2022-06, </w:t>
      </w:r>
      <w:r>
        <w:rPr>
          <w:rFonts w:ascii="Arial" w:cs="Arial" w:eastAsia="Arial" w:hAnsi="Arial"/>
          <w:sz w:val="17"/>
          <w:szCs w:val="17"/>
          <w:i w:val="1"/>
          <w:iCs w:val="1"/>
          <w:color w:val="auto"/>
        </w:rPr>
        <w:t>Reference Rate Reform (Topic 848): Deferral of the Sunset</w:t>
      </w:r>
      <w:r>
        <w:rPr>
          <w:rFonts w:ascii="Arial" w:cs="Arial" w:eastAsia="Arial" w:hAnsi="Arial"/>
          <w:sz w:val="17"/>
          <w:szCs w:val="17"/>
          <w:color w:val="auto"/>
        </w:rPr>
        <w:t xml:space="preserve"> </w:t>
      </w:r>
      <w:r>
        <w:rPr>
          <w:rFonts w:ascii="Arial" w:cs="Arial" w:eastAsia="Arial" w:hAnsi="Arial"/>
          <w:sz w:val="17"/>
          <w:szCs w:val="17"/>
          <w:i w:val="1"/>
          <w:iCs w:val="1"/>
          <w:color w:val="auto"/>
        </w:rPr>
        <w:t>Date of Topic 848</w:t>
      </w:r>
      <w:r>
        <w:rPr>
          <w:rFonts w:ascii="Arial" w:cs="Arial" w:eastAsia="Arial" w:hAnsi="Arial"/>
          <w:sz w:val="17"/>
          <w:szCs w:val="17"/>
          <w:color w:val="auto"/>
        </w:rPr>
        <w:t>, which amended the sunset date of the guidance in Topic 848 to December 31, 2024 from December 31, 2022. We adopted the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as of January 1, 2023. As a result of the planned phase out of the LIBOR as a reference rate and adoption of ASU 2020-04 and ASU 2021-01, we have amended our Credit Agreement and interest rate swaps and applied practical expedients under the guidance. The adoption did not have a material impact on our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September 2022, FASB issued ASU 2022-04, </w:t>
      </w:r>
      <w:r>
        <w:rPr>
          <w:rFonts w:ascii="Arial" w:cs="Arial" w:eastAsia="Arial" w:hAnsi="Arial"/>
          <w:sz w:val="16"/>
          <w:szCs w:val="16"/>
          <w:i w:val="1"/>
          <w:iCs w:val="1"/>
          <w:color w:val="auto"/>
        </w:rPr>
        <w:t>Liabilities - Supplier Finance Programs (Subtopic 405-50):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These amendments require disclosure of the key terms of outstanding supplier finance programs and a rollforward of the related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amendments are effective for fiscal years beginning after December 31, 2022, except for the amendment on rollforward information, which is effective for fiscal years beginning after December 31, 2023. We adopted the standard, other than the amendment on rollforward information, as of January 1, 2023. The adoption relates to disclosure only, and does not have an impact on our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5"/>
                <w:szCs w:val="15"/>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2022</w:t>
            </w: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Spare parts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r>
      <w:tr>
        <w:trPr>
          <w:trHeight w:val="682"/>
        </w:trPr>
        <w:tc>
          <w:tcPr>
            <w:tcW w:w="8180" w:type="dxa"/>
            <w:vAlign w:val="bottom"/>
          </w:tcPr>
          <w:p>
            <w:pPr>
              <w:spacing w:after="0"/>
              <w:rPr>
                <w:sz w:val="20"/>
                <w:szCs w:val="20"/>
                <w:color w:val="auto"/>
              </w:rPr>
            </w:pPr>
            <w:r>
              <w:rPr>
                <w:rFonts w:ascii="Arial" w:cs="Arial" w:eastAsia="Arial" w:hAnsi="Arial"/>
                <w:sz w:val="18"/>
                <w:szCs w:val="18"/>
                <w:b w:val="1"/>
                <w:bCs w:val="1"/>
                <w:color w:val="auto"/>
              </w:rPr>
              <w:t>Note 4 – Debt</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0"/>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24"/>
                <w:szCs w:val="24"/>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2022</w:t>
            </w: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financing transaction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Original issue discounts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2020, we entered into external debt facilities (“External Debt Facilities”), which consist of (i) a $2,475 million senior secured term loan facility (“Term Loan Facility”); and (ii) a $250 million senior secured revolving credit facility (“Revolving Facility”). In February 2023 we amended the External Debt Facilities (as amended, the “Amended External Debt Facilities”) which replaced the interest rate benchmark from the LIBOR to the Secured Overnight Financing Rate (“SOFR”). Other than the foregoing, the material terms of the External Debt Facilities remain unchanged, and our election to use practical expedients under ASU 2020-04 and ASU 2021-01, as described in Note 2 - New Accounting Standards, resulted in no material impacts on our condensed consolidated financial statements.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Amended External Debt Facilities bear interest at a rate per annum equal to, at our option, either a base rate plus an applicable margin of 0.75% or SOFR plus an applicable margin of 1.75%. During September 2020, May 2022 and August 2022, we entered into a series of interest rate swaps to hedge a portion of the interest rate exposure resulting from these borrowings. In conjunction with the amendment of our External Debt Facilities, we amended the outstanding interest rate swaps to replace the interest rate benchmark from the LIBOR to SOFR. Refer to Note 5 – Financial Instruments for further details.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payable on maturity. During the three months ended September 30, 2023, we made a voluntary principal payment of $100 million related to our Term Loan Facility, which was first applied to pay the remaining quarterly amortization payments in full with the residual balance applied to the outstanding principal balance due at maturity.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Facility matures in February 2025 and includes a sub-facility for letters of credit. As of September 30, 2023, we had no outstanding borrowings under the Revolving Facility, and we had $6 million of letters of credit outstanding, which reduces the borrowing capacity under the Revolving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as of September 30, 2023, which is a Level 2 fair value measurement, approximates the carrying value due to the variable market interest rate and the stability of our credit profile.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as described in Note 2 - New Accounting Standards, resulted in no material impacts on our condensed consolidated financial statements. The aggregate notional amount of the interest rate swaps still in effect as of September 30, 2023 was $1,150 million, and the SOFR is fixed at an annual rate of 0.40% to 3.40% (for an annual effective interest rate of 2.15% to 5.15%, including margin).</w:t>
      </w:r>
    </w:p>
    <w:p>
      <w:pPr>
        <w:spacing w:after="0" w:line="8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interest rate swaps outstanding as of September 30, 2023 hedge a portion of the interest rate exposure resulting from our Term Loan Facility for periods ranging from two to three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following table provides the notional amounts, the annual rates, the weighted average annual effective rates, and the fair value of our interest rate derivatives: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Weighted Average Annual</w:t>
            </w: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 - Other</w:t>
            </w:r>
          </w:p>
        </w:tc>
        <w:tc>
          <w:tcPr>
            <w:tcW w:w="160" w:type="dxa"/>
            <w:vAlign w:val="bottom"/>
          </w:tcPr>
          <w:p>
            <w:pPr>
              <w:spacing w:after="0"/>
              <w:rPr>
                <w:sz w:val="15"/>
                <w:szCs w:val="15"/>
                <w:color w:val="auto"/>
              </w:rPr>
            </w:pPr>
          </w:p>
        </w:tc>
        <w:tc>
          <w:tcPr>
            <w:tcW w:w="140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 - Other</w:t>
            </w: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Annual Rate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 Rate</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Current Assets</w:t>
            </w:r>
          </w:p>
        </w:tc>
        <w:tc>
          <w:tcPr>
            <w:tcW w:w="16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Arial" w:cs="Arial" w:eastAsia="Arial" w:hAnsi="Arial"/>
                <w:sz w:val="14"/>
                <w:szCs w:val="14"/>
                <w:b w:val="1"/>
                <w:bCs w:val="1"/>
                <w:color w:val="auto"/>
              </w:rPr>
              <w:t>Assets</w:t>
            </w:r>
          </w:p>
        </w:tc>
      </w:tr>
      <w:tr>
        <w:trPr>
          <w:trHeight w:val="39"/>
        </w:trPr>
        <w:tc>
          <w:tcPr>
            <w:tcW w:w="2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2.15% to 5.15%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303"/>
        </w:trPr>
        <w:tc>
          <w:tcPr>
            <w:tcW w:w="2940" w:type="dxa"/>
            <w:vAlign w:val="bottom"/>
          </w:tcPr>
          <w:p>
            <w:pPr>
              <w:ind w:left="20"/>
              <w:spacing w:after="0" w:line="207" w:lineRule="exact"/>
              <w:rPr>
                <w:sz w:val="20"/>
                <w:szCs w:val="20"/>
                <w:color w:val="auto"/>
              </w:rPr>
            </w:pPr>
            <w:r>
              <w:rPr>
                <w:rFonts w:ascii="Arial" w:cs="Arial" w:eastAsia="Arial" w:hAnsi="Arial"/>
                <w:sz w:val="18"/>
                <w:szCs w:val="18"/>
                <w:color w:val="auto"/>
              </w:rPr>
              <w:t>As of December 31, 2022</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2.19% to 5.19%</w:t>
            </w:r>
          </w:p>
        </w:tc>
        <w:tc>
          <w:tcPr>
            <w:tcW w:w="170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90" w:lineRule="exact"/>
        <w:rPr>
          <w:sz w:val="20"/>
          <w:szCs w:val="20"/>
          <w:color w:val="auto"/>
        </w:rPr>
      </w:pPr>
    </w:p>
    <w:p>
      <w:pPr>
        <w:ind w:right="360"/>
        <w:spacing w:after="0" w:line="391" w:lineRule="auto"/>
        <w:rPr>
          <w:sz w:val="20"/>
          <w:szCs w:val="20"/>
          <w:color w:val="auto"/>
        </w:rPr>
      </w:pPr>
      <w:r>
        <w:rPr>
          <w:rFonts w:ascii="Arial" w:cs="Arial" w:eastAsia="Arial" w:hAnsi="Arial"/>
          <w:sz w:val="18"/>
          <w:szCs w:val="18"/>
          <w:color w:val="auto"/>
        </w:rPr>
        <w:t xml:space="preserve">(1) Based on the interest rate swaps prior to the amendments entered into in February 2023, which was based on the LIBOR as of December 31, 2022. </w:t>
      </w:r>
      <w:r>
        <w:rPr>
          <w:rFonts w:ascii="Arial" w:cs="Arial" w:eastAsia="Arial" w:hAnsi="Arial"/>
          <w:sz w:val="18"/>
          <w:szCs w:val="18"/>
          <w:b w:val="1"/>
          <w:bCs w:val="1"/>
          <w:color w:val="auto"/>
        </w:rPr>
        <w:t>Note 6 – Stock-based Compensation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nine months ended September 30, 2023, zero and 0.2 million RSUs and zero and 0.2 million PSUs were granted, respectively.</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there were stock-based compensation awards representing 0.7 million shares outstanding compared to 0.4 million shares outstanding as of December 31, 2022. Stock-based compensation expense was $3 million and $10 million for the three and nine months ended September 30, 2023, respectively, compared to zero and $4 million in the comparable prior year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September 30, 2023,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Currency Translation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Employee Benefit</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Pr>
          <w:p>
            <w:pPr>
              <w:spacing w:after="0"/>
              <w:rPr>
                <w:sz w:val="14"/>
                <w:szCs w:val="14"/>
                <w:color w:val="auto"/>
              </w:rPr>
            </w:pPr>
          </w:p>
        </w:tc>
        <w:tc>
          <w:tcPr>
            <w:tcW w:w="136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Accumulated Other</w:t>
            </w:r>
          </w:p>
        </w:tc>
      </w:tr>
      <w:tr>
        <w:trPr>
          <w:trHeight w:val="200"/>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Derivatives</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Comprehensive Income</w:t>
            </w:r>
          </w:p>
        </w:tc>
      </w:tr>
      <w:tr>
        <w:trPr>
          <w:trHeight w:val="39"/>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5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Loss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and compostable plates, bowls, platters, cups and cutlery. Our Hefty branded products include dishes and party cups.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by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IPO and separation-related costs.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Reynolds</w:t>
            </w:r>
          </w:p>
        </w:tc>
        <w:tc>
          <w:tcPr>
            <w:tcW w:w="1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Presto</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Arial" w:cs="Arial" w:eastAsia="Arial" w:hAnsi="Arial"/>
                <w:sz w:val="18"/>
                <w:szCs w:val="18"/>
                <w:color w:val="auto"/>
                <w:w w:val="90"/>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90"/>
              </w:rPr>
              <w:t>(6)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450"/>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24"/>
                <w:szCs w:val="2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Presto</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Arial" w:cs="Arial" w:eastAsia="Arial" w:hAnsi="Arial"/>
                <w:sz w:val="18"/>
                <w:szCs w:val="18"/>
                <w:color w:val="auto"/>
                <w:w w:val="90"/>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90"/>
              </w:rPr>
              <w:t>(3)</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531"/>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27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436"/>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89"/>
              </w:rPr>
              <w:t>26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Segment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Reynolds</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Hefty</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Cooking</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Waste &amp;</w:t>
            </w:r>
          </w:p>
        </w:tc>
        <w:tc>
          <w:tcPr>
            <w:tcW w:w="24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Hefty</w:t>
            </w:r>
          </w:p>
        </w:tc>
        <w:tc>
          <w:tcPr>
            <w:tcW w:w="26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Presto</w:t>
            </w:r>
          </w:p>
        </w:tc>
        <w:tc>
          <w:tcPr>
            <w:tcW w:w="260" w:type="dxa"/>
            <w:vAlign w:val="bottom"/>
          </w:tcPr>
          <w:p>
            <w:pPr>
              <w:spacing w:after="0"/>
              <w:rPr>
                <w:sz w:val="14"/>
                <w:szCs w:val="14"/>
                <w:color w:val="auto"/>
              </w:rPr>
            </w:pP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Segment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9"/>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&amp; Baking</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Tableware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8"/>
              </w:rPr>
              <w:t>Products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1"/>
              </w:rPr>
              <w:t>Unallocated</w:t>
            </w:r>
            <w:r>
              <w:rPr>
                <w:rFonts w:ascii="Arial" w:cs="Arial" w:eastAsia="Arial" w:hAnsi="Arial"/>
                <w:sz w:val="18"/>
                <w:szCs w:val="18"/>
                <w:b w:val="1"/>
                <w:bCs w:val="1"/>
                <w:color w:val="auto"/>
                <w:w w:val="91"/>
                <w:vertAlign w:val="superscript"/>
              </w:rPr>
              <w:t>(1)</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184"/>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9"/>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4,838</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As of December 31, 2022</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b w:val="1"/>
                <w:bCs w:val="1"/>
                <w:color w:val="auto"/>
              </w:rPr>
              <w:t>1,460</w:t>
            </w: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4,929</w:t>
            </w:r>
          </w:p>
        </w:tc>
      </w:tr>
    </w:tbl>
    <w:p>
      <w:pPr>
        <w:spacing w:after="0" w:line="337" w:lineRule="exact"/>
        <w:rPr>
          <w:sz w:val="20"/>
          <w:szCs w:val="20"/>
          <w:color w:val="auto"/>
        </w:rPr>
      </w:pPr>
    </w:p>
    <w:p>
      <w:pPr>
        <w:ind w:left="340" w:right="140" w:hanging="332"/>
        <w:spacing w:after="0" w:line="311" w:lineRule="auto"/>
        <w:tabs>
          <w:tab w:leader="none" w:pos="334" w:val="left"/>
        </w:tabs>
        <w:numPr>
          <w:ilvl w:val="0"/>
          <w:numId w:val="4"/>
        </w:numPr>
        <w:rPr>
          <w:rFonts w:ascii="Arial" w:cs="Arial" w:eastAsia="Arial" w:hAnsi="Arial"/>
          <w:sz w:val="16"/>
          <w:szCs w:val="16"/>
          <w:color w:val="auto"/>
        </w:rPr>
      </w:pPr>
      <w:r>
        <w:rPr>
          <w:rFonts w:ascii="Arial" w:cs="Arial" w:eastAsia="Arial" w:hAnsi="Arial"/>
          <w:sz w:val="16"/>
          <w:szCs w:val="16"/>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segment Adjusted EBITDA to GAAP income before income taxes:</w:t>
      </w:r>
    </w:p>
    <w:p>
      <w:pPr>
        <w:sectPr>
          <w:pgSz w:w="11900" w:h="16838" w:orient="portrait"/>
          <w:cols w:equalWidth="0" w:num="1">
            <w:col w:w="11240"/>
          </w:cols>
          <w:pgMar w:left="320" w:top="1300" w:right="339" w:bottom="1440" w:gutter="0" w:footer="0" w:header="0"/>
        </w:sectPr>
      </w:pPr>
    </w:p>
    <w:p>
      <w:pPr>
        <w:spacing w:after="0" w:line="298"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40640</wp:posOffset>
            </wp:positionV>
            <wp:extent cx="2134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62" w:lineRule="exact"/>
        <w:rPr>
          <w:sz w:val="20"/>
          <w:szCs w:val="20"/>
          <w:color w:val="auto"/>
        </w:rPr>
      </w:pPr>
    </w:p>
    <w:tbl>
      <w:tblPr>
        <w:tblLayout w:type="fixed"/>
        <w:tblInd w:w="4260" w:type="dxa"/>
        <w:tblCellMar>
          <w:top w:w="0" w:type="dxa"/>
          <w:left w:w="0" w:type="dxa"/>
          <w:bottom w:w="0" w:type="dxa"/>
          <w:right w:w="0" w:type="dxa"/>
        </w:tblCellMar>
      </w:tblPr>
      <w:tr>
        <w:trPr>
          <w:trHeight w:val="186"/>
        </w:trPr>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2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39"/>
        </w:trPr>
        <w:tc>
          <w:tcPr>
            <w:tcW w:w="11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184"/>
        </w:trPr>
        <w:tc>
          <w:tcPr>
            <w:tcW w:w="1120" w:type="dxa"/>
            <w:vAlign w:val="bottom"/>
          </w:tcPr>
          <w:p>
            <w:pPr>
              <w:spacing w:after="0"/>
              <w:rPr>
                <w:sz w:val="16"/>
                <w:szCs w:val="16"/>
                <w:color w:val="auto"/>
              </w:rPr>
            </w:pPr>
          </w:p>
        </w:tc>
        <w:tc>
          <w:tcPr>
            <w:tcW w:w="2240" w:type="dxa"/>
            <w:vAlign w:val="bottom"/>
          </w:tcPr>
          <w:p>
            <w:pPr>
              <w:jc w:val="right"/>
              <w:ind w:right="122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214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39"/>
        </w:trPr>
        <w:tc>
          <w:tcPr>
            <w:tcW w:w="11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184"/>
        </w:trPr>
        <w:tc>
          <w:tcPr>
            <w:tcW w:w="1120" w:type="dxa"/>
            <w:vAlign w:val="bottom"/>
          </w:tcPr>
          <w:p>
            <w:pPr>
              <w:spacing w:after="0"/>
              <w:rPr>
                <w:sz w:val="16"/>
                <w:szCs w:val="16"/>
                <w:color w:val="auto"/>
              </w:rPr>
            </w:pPr>
          </w:p>
        </w:tc>
        <w:tc>
          <w:tcPr>
            <w:tcW w:w="2260" w:type="dxa"/>
            <w:vAlign w:val="bottom"/>
          </w:tcPr>
          <w:p>
            <w:pPr>
              <w:jc w:val="right"/>
              <w:ind w:right="1248"/>
              <w:spacing w:after="0"/>
              <w:rPr>
                <w:sz w:val="20"/>
                <w:szCs w:val="20"/>
                <w:color w:val="auto"/>
              </w:rPr>
            </w:pPr>
            <w:r>
              <w:rPr>
                <w:rFonts w:ascii="Arial" w:cs="Arial" w:eastAsia="Arial" w:hAnsi="Arial"/>
                <w:sz w:val="14"/>
                <w:szCs w:val="14"/>
                <w:b w:val="1"/>
                <w:bCs w:val="1"/>
                <w:color w:val="auto"/>
              </w:rPr>
              <w:t>(in millions)</w:t>
            </w:r>
          </w:p>
        </w:tc>
      </w:tr>
    </w:tbl>
    <w:p>
      <w:pPr>
        <w:spacing w:after="0" w:line="39" w:lineRule="exact"/>
        <w:rPr>
          <w:sz w:val="20"/>
          <w:szCs w:val="20"/>
          <w:color w:val="auto"/>
        </w:rPr>
      </w:pPr>
    </w:p>
    <w:p>
      <w:pPr>
        <w:sectPr>
          <w:pgSz w:w="11900" w:h="16838" w:orient="portrait"/>
          <w:cols w:equalWidth="0" w:num="2">
            <w:col w:w="7620" w:space="240"/>
            <w:col w:w="3380"/>
          </w:cols>
          <w:pgMar w:left="320" w:top="130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371</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Corporate / unallocated expenses</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w w:val="93"/>
              </w:rPr>
              <w:t>(25)</w:t>
            </w:r>
          </w:p>
        </w:tc>
      </w:tr>
      <w:tr>
        <w:trPr>
          <w:trHeight w:val="27"/>
        </w:trPr>
        <w:tc>
          <w:tcPr>
            <w:tcW w:w="4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346</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w w:val="93"/>
              </w:rPr>
              <w:t>Adjustments to reconcile to GAAP income before income</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taxes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(87)</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w w:val="93"/>
              </w:rPr>
              <w:t>(48)</w:t>
            </w:r>
          </w:p>
        </w:tc>
      </w:tr>
      <w:tr>
        <w:trPr>
          <w:trHeight w:val="27"/>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IPO and separation-related costs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(10)</w:t>
            </w:r>
          </w:p>
        </w:tc>
      </w:tr>
      <w:tr>
        <w:trPr>
          <w:trHeight w:val="271"/>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Consolidated GAAP income before income taxes</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23"/>
                <w:szCs w:val="23"/>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23"/>
                <w:szCs w:val="23"/>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240" w:type="dxa"/>
            <w:vAlign w:val="bottom"/>
          </w:tcPr>
          <w:p>
            <w:pPr>
              <w:spacing w:after="0"/>
              <w:rPr>
                <w:sz w:val="23"/>
                <w:szCs w:val="23"/>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in Relation to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ectPr>
          <w:pgSz w:w="11900" w:h="16838" w:orient="portrait"/>
          <w:cols w:equalWidth="0" w:num="1">
            <w:col w:w="11240"/>
          </w:cols>
          <w:pgMar w:left="320" w:top="1300" w:right="339" w:bottom="1440" w:gutter="0" w:footer="0" w:header="0"/>
          <w:type w:val="continuous"/>
        </w:sectPr>
      </w:pPr>
    </w:p>
    <w:p>
      <w:pPr>
        <w:spacing w:after="0" w:line="298"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40640</wp:posOffset>
            </wp:positionV>
            <wp:extent cx="212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62" w:lineRule="exact"/>
        <w:rPr>
          <w:sz w:val="20"/>
          <w:szCs w:val="20"/>
          <w:color w:val="auto"/>
        </w:rPr>
      </w:pPr>
    </w:p>
    <w:tbl>
      <w:tblPr>
        <w:tblLayout w:type="fixed"/>
        <w:tblInd w:w="4280" w:type="dxa"/>
        <w:tblCellMar>
          <w:top w:w="0" w:type="dxa"/>
          <w:left w:w="0" w:type="dxa"/>
          <w:bottom w:w="0" w:type="dxa"/>
          <w:right w:w="0" w:type="dxa"/>
        </w:tblCellMar>
      </w:tblPr>
      <w:tr>
        <w:trPr>
          <w:trHeight w:val="186"/>
        </w:trPr>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2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39"/>
        </w:trPr>
        <w:tc>
          <w:tcPr>
            <w:tcW w:w="11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184"/>
        </w:trPr>
        <w:tc>
          <w:tcPr>
            <w:tcW w:w="1120" w:type="dxa"/>
            <w:vAlign w:val="bottom"/>
          </w:tcPr>
          <w:p>
            <w:pPr>
              <w:spacing w:after="0"/>
              <w:rPr>
                <w:sz w:val="16"/>
                <w:szCs w:val="16"/>
                <w:color w:val="auto"/>
              </w:rPr>
            </w:pPr>
          </w:p>
        </w:tc>
        <w:tc>
          <w:tcPr>
            <w:tcW w:w="2240" w:type="dxa"/>
            <w:vAlign w:val="bottom"/>
          </w:tcPr>
          <w:p>
            <w:pPr>
              <w:jc w:val="right"/>
              <w:ind w:right="122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39"/>
        </w:trPr>
        <w:tc>
          <w:tcPr>
            <w:tcW w:w="11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184"/>
        </w:trPr>
        <w:tc>
          <w:tcPr>
            <w:tcW w:w="1120" w:type="dxa"/>
            <w:vAlign w:val="bottom"/>
          </w:tcPr>
          <w:p>
            <w:pPr>
              <w:spacing w:after="0"/>
              <w:rPr>
                <w:sz w:val="16"/>
                <w:szCs w:val="16"/>
                <w:color w:val="auto"/>
              </w:rPr>
            </w:pPr>
          </w:p>
        </w:tc>
        <w:tc>
          <w:tcPr>
            <w:tcW w:w="2260" w:type="dxa"/>
            <w:vAlign w:val="bottom"/>
          </w:tcPr>
          <w:p>
            <w:pPr>
              <w:jc w:val="right"/>
              <w:ind w:right="1248"/>
              <w:spacing w:after="0"/>
              <w:rPr>
                <w:sz w:val="20"/>
                <w:szCs w:val="20"/>
                <w:color w:val="auto"/>
              </w:rPr>
            </w:pPr>
            <w:r>
              <w:rPr>
                <w:rFonts w:ascii="Arial" w:cs="Arial" w:eastAsia="Arial" w:hAnsi="Arial"/>
                <w:sz w:val="14"/>
                <w:szCs w:val="14"/>
                <w:b w:val="1"/>
                <w:bCs w:val="1"/>
                <w:color w:val="auto"/>
              </w:rPr>
              <w:t>(in millions)</w:t>
            </w:r>
          </w:p>
        </w:tc>
      </w:tr>
    </w:tbl>
    <w:p>
      <w:pPr>
        <w:spacing w:after="0" w:line="39" w:lineRule="exact"/>
        <w:rPr>
          <w:sz w:val="20"/>
          <w:szCs w:val="20"/>
          <w:color w:val="auto"/>
        </w:rPr>
      </w:pPr>
    </w:p>
    <w:p>
      <w:pPr>
        <w:sectPr>
          <w:pgSz w:w="11900" w:h="16838" w:orient="portrait"/>
          <w:cols w:equalWidth="0" w:num="2">
            <w:col w:w="7640" w:space="220"/>
            <w:col w:w="3380"/>
          </w:cols>
          <w:pgMar w:left="320" w:top="130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23"/>
                <w:szCs w:val="23"/>
                <w:color w:val="auto"/>
                <w:vertAlign w:val="superscript"/>
              </w:rPr>
              <w:t>(1)</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Cooking products</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Tableware</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nine months ended September 30, 2023, we amended these contractual arrangements with PEI Group, which, among other things, extended the expiration date for certain arrangements. Transactions between us and PEI Group are described below.</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and nine months ended September 30, 2023, revenues from products sold to PEI Group were $21 million and $61 million, respectively, compared to $29 million and $77 million in the comparable prior year periods. For the three and nine months ended September 30, 2023, products purchased from PEI Group were $92 million and $291 million, respectively, compared to $101 million and $294 million in the comparable prior year periods. For the three and nine months ended September 30, 2023, PEI Group charged us freight and warehousing costs of $9 million and $28 million, respectively, compared to $12 million and $42 million in the comparable prior year periods, which were included in cost of sales. The resulting related party receivables and payables are settled regularly in the normal course of business.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$36 million of the dividends paid during each of the three months ended September 30, 2023 and September 30, 2022, and $107 million of the dividends paid during each of the nine months ended September 30, 2023 and September 30, 2022, were paid to PFL.</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26, 2023, our Board of Directors approved a cash dividend of $0.23 per common share to be paid on November 30, 2023 to shareholders of record on November 16,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Subsequent to September 30, 2023, we made a voluntary principal payment of $100 million related to our Term Loan Facility.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above, there have been no events subsequent to September 30, 2023 which would require accrual or disclosure in these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operations in four operating and reportable segments: Reynolds Cooking &amp; Baking, Hefty Waste &amp; Storage, Hefty Tableware and Presto Products:</w:t>
      </w:r>
    </w:p>
    <w:p>
      <w:pPr>
        <w:spacing w:after="0" w:line="62" w:lineRule="exact"/>
        <w:rPr>
          <w:sz w:val="20"/>
          <w:szCs w:val="20"/>
          <w:color w:val="auto"/>
        </w:rPr>
      </w:pPr>
    </w:p>
    <w:p>
      <w:pPr>
        <w:jc w:val="both"/>
        <w:ind w:left="660" w:hanging="328"/>
        <w:spacing w:after="0" w:line="27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Reynolds Cooking &amp; Baking: Through our Reynolds Cooking &amp; Baking segment, we produce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69"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orange bags through the Hefty ReNew</w:t>
      </w:r>
      <w:r>
        <w:rPr>
          <w:rFonts w:ascii="Arial" w:cs="Arial" w:eastAsia="Arial" w:hAnsi="Arial"/>
          <w:sz w:val="16"/>
          <w:szCs w:val="16"/>
          <w:color w:val="auto"/>
        </w:rPr>
        <w:t>™</w:t>
      </w:r>
      <w:r>
        <w:rPr>
          <w:rFonts w:ascii="Arial" w:cs="Arial" w:eastAsia="Arial" w:hAnsi="Arial"/>
          <w:sz w:val="18"/>
          <w:szCs w:val="18"/>
          <w:color w:val="auto"/>
        </w:rPr>
        <w:t xml:space="preserve"> Program, formerly the Hefty EnergyBag Program.</w:t>
      </w:r>
    </w:p>
    <w:p>
      <w:pPr>
        <w:spacing w:after="0" w:line="8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8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revenues decreased 3% in the three months ended September 30, 2023 compared to the same period in 2022. The revenue decrease was primarily due to lower volume, slightly offset by higher pricing due to previously implemented pricing actions. Total net revenues increased 1% in the nine months ended September 30, 2023 compared to the same period in 2022. The revenue increase was primarily due to higher pricing due to previously implemented pricing actions, partially offset by lower volume.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our net income improved by 63% compared to the prior year period, primarily driven by higher pricing due to previously implemented pricing actions and lower material and manufacturing costs, as well as lower logistics costs. These were partially offset by higher selling, general and administrative expenses, interest expense and income tax expense.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our net income improved by 6% compared to the prior year period, primarily driven by higher pricing due to previously implemented pricing actions and lower material and manufacturing costs, as well as lower logistics costs. These were partially offset by higher selling, general and administrative expenses, interest expense and income tax expense.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Quarterly Report on Form 10-Q we use the non-GAAP financial measures “Adjusted EBITDA”, “Adjusted Net Income” and “Adjusted Diluted Earnings Per Share” (“Adjusted EPS”), which are measures adjusted for the impact of specified items and are not in accordance with GAAP.</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our net income, the most directly comparable GAAP financial measure, to Adjusted EBITDA: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 GAAP</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0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116</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r>
      <w:tr>
        <w:trPr>
          <w:trHeight w:val="34"/>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left="340" w:right="2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reconciliations of our net income and diluted EPS, the most directly comparable GAAP financial measures, to Adjusted Net Income and Adjusted EPS: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180" w:type="dxa"/>
            <w:vAlign w:val="bottom"/>
          </w:tcPr>
          <w:p>
            <w:pPr>
              <w:spacing w:after="0"/>
              <w:rPr>
                <w:sz w:val="16"/>
                <w:szCs w:val="16"/>
                <w:color w:val="auto"/>
              </w:rPr>
            </w:pPr>
          </w:p>
        </w:tc>
        <w:tc>
          <w:tcPr>
            <w:tcW w:w="3660" w:type="dxa"/>
            <w:vAlign w:val="bottom"/>
            <w:gridSpan w:val="6"/>
          </w:tcPr>
          <w:p>
            <w:pPr>
              <w:jc w:val="center"/>
              <w:ind w:right="115"/>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0" w:type="dxa"/>
            <w:vAlign w:val="bottom"/>
          </w:tcPr>
          <w:p>
            <w:pPr>
              <w:spacing w:after="0"/>
              <w:rPr>
                <w:sz w:val="1"/>
                <w:szCs w:val="1"/>
                <w:color w:val="auto"/>
              </w:rPr>
            </w:pPr>
          </w:p>
        </w:tc>
      </w:tr>
      <w:tr>
        <w:trPr>
          <w:trHeight w:val="3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per share data)</w:t>
            </w: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Diluted Shares</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Diluted EPS</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Diluted Shares</w:t>
            </w:r>
          </w:p>
        </w:tc>
        <w:tc>
          <w:tcPr>
            <w:tcW w:w="180" w:type="dxa"/>
            <w:vAlign w:val="bottom"/>
          </w:tcPr>
          <w:p>
            <w:pPr>
              <w:spacing w:after="0"/>
              <w:rPr>
                <w:sz w:val="16"/>
                <w:szCs w:val="16"/>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39"/>
        </w:trPr>
        <w:tc>
          <w:tcPr>
            <w:tcW w:w="34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shd w:val="clear" w:color="auto" w:fill="CCEEFF"/>
          </w:tcPr>
          <w:p>
            <w:pPr>
              <w:ind w:left="14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3460" w:type="dxa"/>
            <w:vAlign w:val="bottom"/>
          </w:tcPr>
          <w:p>
            <w:pPr>
              <w:ind w:left="140"/>
              <w:spacing w:after="0"/>
              <w:rPr>
                <w:sz w:val="20"/>
                <w:szCs w:val="20"/>
                <w:color w:val="auto"/>
              </w:rPr>
            </w:pPr>
            <w:r>
              <w:rPr>
                <w:rFonts w:ascii="Arial" w:cs="Arial" w:eastAsia="Arial" w:hAnsi="Arial"/>
                <w:sz w:val="18"/>
                <w:szCs w:val="18"/>
                <w:b w:val="1"/>
                <w:bCs w:val="1"/>
                <w:color w:val="auto"/>
              </w:rPr>
              <w:t>Adjusted (Non-GAAP)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right="2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is after tax, calculated using a tax rate of 24.0% for the three months ended September 30, 2022, which was our effective tax rate for the period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Nine Months Ended September 30, 2023</w:t>
            </w:r>
          </w:p>
        </w:tc>
        <w:tc>
          <w:tcPr>
            <w:tcW w:w="180" w:type="dxa"/>
            <w:vAlign w:val="bottom"/>
          </w:tcPr>
          <w:p>
            <w:pPr>
              <w:spacing w:after="0"/>
              <w:rPr>
                <w:sz w:val="16"/>
                <w:szCs w:val="16"/>
                <w:color w:val="auto"/>
              </w:rPr>
            </w:pPr>
          </w:p>
        </w:tc>
        <w:tc>
          <w:tcPr>
            <w:tcW w:w="3660" w:type="dxa"/>
            <w:vAlign w:val="bottom"/>
            <w:gridSpan w:val="6"/>
          </w:tcPr>
          <w:p>
            <w:pPr>
              <w:jc w:val="center"/>
              <w:ind w:right="95"/>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3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per share data)</w:t>
            </w: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Diluted Shares</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Diluted EPS</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Diluted Shares</w:t>
            </w:r>
          </w:p>
        </w:tc>
        <w:tc>
          <w:tcPr>
            <w:tcW w:w="180" w:type="dxa"/>
            <w:vAlign w:val="bottom"/>
          </w:tcPr>
          <w:p>
            <w:pPr>
              <w:spacing w:after="0"/>
              <w:rPr>
                <w:sz w:val="16"/>
                <w:szCs w:val="16"/>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39"/>
        </w:trPr>
        <w:tc>
          <w:tcPr>
            <w:tcW w:w="34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shd w:val="clear" w:color="auto" w:fill="CCEEFF"/>
          </w:tcPr>
          <w:p>
            <w:pPr>
              <w:ind w:left="14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7"/>
        </w:trPr>
        <w:tc>
          <w:tcPr>
            <w:tcW w:w="3460" w:type="dxa"/>
            <w:vAlign w:val="bottom"/>
          </w:tcPr>
          <w:p>
            <w:pPr>
              <w:ind w:left="140"/>
              <w:spacing w:after="0"/>
              <w:rPr>
                <w:sz w:val="20"/>
                <w:szCs w:val="20"/>
                <w:color w:val="auto"/>
              </w:rPr>
            </w:pPr>
            <w:r>
              <w:rPr>
                <w:rFonts w:ascii="Arial" w:cs="Arial" w:eastAsia="Arial" w:hAnsi="Arial"/>
                <w:sz w:val="18"/>
                <w:szCs w:val="18"/>
                <w:b w:val="1"/>
                <w:bCs w:val="1"/>
                <w:color w:val="auto"/>
              </w:rPr>
              <w:t>Adjusted (Non-GAAP)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0.76</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is after tax, calculated using a tax rate of 24.5% for the nine months ended September 30, 2022, which was our effective tax rate for the period presented.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revenues for the three months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Reynolds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Hefty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Hefty</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Cooking &amp;</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Arial" w:cs="Arial" w:eastAsia="Arial" w:hAnsi="Arial"/>
                <w:sz w:val="14"/>
                <w:szCs w:val="14"/>
                <w:b w:val="1"/>
                <w:bCs w:val="1"/>
                <w:color w:val="auto"/>
              </w:rPr>
              <w:t>Unallocated</w:t>
            </w:r>
            <w:r>
              <w:rPr>
                <w:rFonts w:ascii="MS PGothic" w:cs="MS PGothic" w:eastAsia="MS PGothic" w:hAnsi="MS PGothic"/>
                <w:sz w:val="14"/>
                <w:szCs w:val="14"/>
                <w:color w:val="auto"/>
              </w:rPr>
              <w:t>⁽</w:t>
            </w:r>
            <w:r>
              <w:rPr>
                <w:rFonts w:ascii="Arial" w:cs="Arial" w:eastAsia="Arial" w:hAnsi="Arial"/>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225"/>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-7620</wp:posOffset>
            </wp:positionV>
            <wp:extent cx="711517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960" w:space="40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3180" w:type="dxa"/>
            <w:vAlign w:val="bottom"/>
          </w:tcPr>
          <w:p>
            <w:pPr>
              <w:jc w:val="right"/>
              <w:ind w:right="2490"/>
              <w:spacing w:after="0"/>
              <w:rPr>
                <w:sz w:val="20"/>
                <w:szCs w:val="20"/>
                <w:color w:val="auto"/>
              </w:rPr>
            </w:pPr>
            <w:r>
              <w:rPr>
                <w:rFonts w:ascii="Arial" w:cs="Arial" w:eastAsia="Arial" w:hAnsi="Arial"/>
                <w:sz w:val="18"/>
                <w:szCs w:val="18"/>
                <w:color w:val="auto"/>
              </w:rPr>
              <w:t>2023</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3180" w:type="dxa"/>
            <w:vAlign w:val="bottom"/>
          </w:tcPr>
          <w:p>
            <w:pPr>
              <w:ind w:left="20"/>
              <w:spacing w:after="0" w:line="207" w:lineRule="exact"/>
              <w:rPr>
                <w:sz w:val="20"/>
                <w:szCs w:val="20"/>
                <w:color w:val="auto"/>
              </w:rPr>
            </w:pPr>
            <w:r>
              <w:rPr>
                <w:rFonts w:ascii="Arial" w:cs="Arial" w:eastAsia="Arial" w:hAnsi="Arial"/>
                <w:sz w:val="18"/>
                <w:szCs w:val="18"/>
                <w:color w:val="auto"/>
                <w:w w:val="98"/>
              </w:rPr>
              <w:t>Adjusted EBITDA</w:t>
            </w:r>
            <w:r>
              <w:rPr>
                <w:rFonts w:ascii="MS PGothic" w:cs="MS PGothic" w:eastAsia="MS PGothic" w:hAnsi="MS PGothic"/>
                <w:sz w:val="18"/>
                <w:szCs w:val="18"/>
                <w:color w:val="auto"/>
                <w:w w:val="98"/>
              </w:rPr>
              <w:t>⁽</w:t>
            </w:r>
            <w:r>
              <w:rPr>
                <w:rFonts w:ascii="Arial" w:cs="Arial" w:eastAsia="Arial" w:hAnsi="Arial"/>
                <w:sz w:val="18"/>
                <w:szCs w:val="18"/>
                <w:color w:val="auto"/>
                <w:w w:val="98"/>
              </w:rPr>
              <w:t>²</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ended September 30:</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3180" w:type="dxa"/>
            <w:vAlign w:val="bottom"/>
          </w:tcPr>
          <w:p>
            <w:pPr>
              <w:jc w:val="right"/>
              <w:ind w:right="249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350" w:lineRule="exact"/>
        <w:rPr>
          <w:sz w:val="20"/>
          <w:szCs w:val="20"/>
          <w:color w:val="auto"/>
        </w:rPr>
      </w:pPr>
    </w:p>
    <w:p>
      <w:pPr>
        <w:ind w:left="340" w:hanging="332"/>
        <w:spacing w:after="0" w:line="274" w:lineRule="auto"/>
        <w:tabs>
          <w:tab w:leader="none" w:pos="33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00" w:lineRule="exact"/>
        <w:rPr>
          <w:sz w:val="20"/>
          <w:szCs w:val="20"/>
          <w:color w:val="auto"/>
        </w:rPr>
      </w:pPr>
    </w:p>
    <w:p>
      <w:pPr>
        <w:spacing w:after="0" w:line="25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Three Months Ended September 30, 2023 Compared with the Three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gridSpan w:val="8"/>
          </w:tcPr>
          <w:p>
            <w:pPr>
              <w:jc w:val="right"/>
              <w:ind w:right="50"/>
              <w:spacing w:after="0"/>
              <w:rPr>
                <w:sz w:val="20"/>
                <w:szCs w:val="20"/>
                <w:color w:val="auto"/>
              </w:rPr>
            </w:pPr>
            <w:r>
              <w:rPr>
                <w:rFonts w:ascii="Arial" w:cs="Arial" w:eastAsia="Arial" w:hAnsi="Arial"/>
                <w:sz w:val="14"/>
                <w:szCs w:val="14"/>
                <w:b w:val="1"/>
                <w:bCs w:val="1"/>
                <w:color w:val="auto"/>
              </w:rPr>
              <w:t>For the Three Months Ended September 30,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967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134</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103</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63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Arial" w:cs="Arial" w:eastAsia="Arial" w:hAnsi="Arial"/>
                <w:sz w:val="18"/>
                <w:szCs w:val="18"/>
                <w:b w:val="1"/>
                <w:bCs w:val="1"/>
                <w:color w:val="auto"/>
              </w:rPr>
              <w:t xml:space="preserve">Adjusted EBITDA </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165</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is not meaningful.</w:t>
      </w:r>
    </w:p>
    <w:p>
      <w:pPr>
        <w:spacing w:after="0" w:line="3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Components of Change in Net Revenues for the Three Months Ended September 30, 2023 vs. the Three Months Ended September 30, 2022</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Volume/Mix</w:t>
            </w: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39"/>
        </w:trPr>
        <w:tc>
          <w:tcPr>
            <w:tcW w:w="57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Reynolds Cooking &amp; Baking</w:t>
            </w: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 %</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Hefty Waste &amp; Storage</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r>
      <w:tr>
        <w:trPr>
          <w:trHeight w:val="27"/>
        </w:trPr>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Hefty Tableware</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 %</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 %</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Presto Products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r>
      <w:tr>
        <w:trPr>
          <w:trHeight w:val="27"/>
        </w:trPr>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RCP</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1 %</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 %</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 %</w:t>
            </w:r>
          </w:p>
        </w:tc>
      </w:tr>
      <w:tr>
        <w:trPr>
          <w:trHeight w:val="27"/>
        </w:trPr>
        <w:tc>
          <w:tcPr>
            <w:tcW w:w="5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decreased by $32 million, or 3%, to $935 million. The decrease was primarily driven by lower volume, slightly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higher pricing due to previously implemented pricing actions.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by $103 million, or 13%, to $686 million. The decrease was primarily driven by lower volume and lower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costs, as well as lower logistics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$25 million, or 28%, to $115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personnel costs, advertising costs and professional fees.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by $5 million, or 100%, to zero primarily due to IPO and separation-related costs in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did not reoccur in the current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increased by $11 million, or 55%, to $31 million. The increase was due to higher interest rates.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recognized income tax expense of $25 million on income before income taxes of $103 million (an effective tax rate of 24.5%)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2023 compared to income tax expense of $15 million on income before income taxes of $63 million (an effective tax rate of 24.0%) for the three months ended September 30,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$49 million, or 42%, to $165 million. The increase in Adjusted EBITDA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due to previously implemented pricing actions and lower material and manufacturing costs, as well as lower logistics costs, partially offset by higher selling, general and administrative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decreased by $15 million, or 5%, to $312 million.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was due to lower volume and lower pricing, primarily in non-retail sales.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increased by $18 million, or 55%, to $51 million. The increase in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lower material and manufacturing costs, partially offset by lower pricing and higher advertising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increased by $7 million, or 3%, to $244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due to higher pricing due to previously implemented pricing 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$27 million, or 61%, to $71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pricing due to previously implemented pricing actions and lower material and manufacturing costs, as well as lower logistics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decreased by $18 million, or 7%, to $233 million. The decrease in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volume, partially offset by higher pricing due to previously implemented pricing actions.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increased by $17 million, or 71%, to $41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higher pricing due to previously implemented pricing actions and lower material and manufacturing costs, as well as lower logistics costs, partially offset by higher advertising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52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decreased by $3 million, or 2%, to $152 million. The decrease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volume.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$8 million, or 35%, to $31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material and manufacturing costs, as well as lower logistics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Reynolds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Hefty</w:t>
            </w:r>
          </w:p>
        </w:tc>
        <w:tc>
          <w:tcPr>
            <w:tcW w:w="140" w:type="dxa"/>
            <w:vAlign w:val="bottom"/>
          </w:tcPr>
          <w:p>
            <w:pPr>
              <w:spacing w:after="0"/>
              <w:rPr>
                <w:sz w:val="15"/>
                <w:szCs w:val="15"/>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Presto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Cooking &amp;</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line="207" w:lineRule="exact"/>
              <w:rPr>
                <w:sz w:val="20"/>
                <w:szCs w:val="20"/>
                <w:color w:val="auto"/>
              </w:rPr>
            </w:pPr>
            <w:r>
              <w:rPr>
                <w:rFonts w:ascii="Arial" w:cs="Arial" w:eastAsia="Arial" w:hAnsi="Arial"/>
                <w:sz w:val="14"/>
                <w:szCs w:val="14"/>
                <w:b w:val="1"/>
                <w:bCs w:val="1"/>
                <w:color w:val="auto"/>
              </w:rPr>
              <w:t>Unallocated</w:t>
            </w:r>
            <w:r>
              <w:rPr>
                <w:rFonts w:ascii="MS PGothic" w:cs="MS PGothic" w:eastAsia="MS PGothic" w:hAnsi="MS PGothic"/>
                <w:sz w:val="14"/>
                <w:szCs w:val="14"/>
                <w:color w:val="auto"/>
              </w:rPr>
              <w:t>⁽</w:t>
            </w:r>
            <w:r>
              <w:rPr>
                <w:rFonts w:ascii="Arial" w:cs="Arial" w:eastAsia="Arial" w:hAnsi="Arial"/>
                <w:sz w:val="18"/>
                <w:szCs w:val="18"/>
                <w:b w:val="1"/>
                <w:bCs w:val="1"/>
                <w:color w:val="auto"/>
                <w:vertAlign w:val="superscript"/>
              </w:rPr>
              <w:t>1</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82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225"/>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Baking</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Storage</w:t>
            </w: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Tableware</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Products</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for the nine months ended September 30: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Arial" w:cs="Arial" w:eastAsia="Arial" w:hAnsi="Arial"/>
                <w:sz w:val="18"/>
                <w:szCs w:val="18"/>
                <w:color w:val="auto"/>
              </w:rPr>
              <w:t>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07" w:lineRule="exact"/>
              <w:rPr>
                <w:sz w:val="20"/>
                <w:szCs w:val="20"/>
                <w:color w:val="auto"/>
              </w:rPr>
            </w:pPr>
            <w:r>
              <w:rPr>
                <w:rFonts w:ascii="Arial" w:cs="Arial" w:eastAsia="Arial" w:hAnsi="Arial"/>
                <w:sz w:val="18"/>
                <w:szCs w:val="18"/>
                <w:color w:val="auto"/>
                <w:w w:val="95"/>
              </w:rPr>
              <w:t>Adjusted EBITDA</w:t>
            </w:r>
            <w:r>
              <w:rPr>
                <w:rFonts w:ascii="MS PGothic" w:cs="MS PGothic" w:eastAsia="MS PGothic" w:hAnsi="MS PGothic"/>
                <w:sz w:val="18"/>
                <w:szCs w:val="18"/>
                <w:color w:val="auto"/>
                <w:w w:val="95"/>
              </w:rPr>
              <w:t>⁽</w:t>
            </w:r>
            <w:r>
              <w:rPr>
                <w:rFonts w:ascii="Arial" w:cs="Arial" w:eastAsia="Arial" w:hAnsi="Arial"/>
                <w:sz w:val="18"/>
                <w:szCs w:val="18"/>
                <w:color w:val="auto"/>
                <w:w w:val="95"/>
              </w:rPr>
              <w:t>²</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for the nine months ended September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-1147445</wp:posOffset>
            </wp:positionV>
            <wp:extent cx="97155" cy="74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hanging="332"/>
        <w:spacing w:after="0" w:line="274" w:lineRule="auto"/>
        <w:tabs>
          <w:tab w:leader="none" w:pos="3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00" w:lineRule="exact"/>
        <w:rPr>
          <w:sz w:val="20"/>
          <w:szCs w:val="20"/>
          <w:color w:val="auto"/>
        </w:rPr>
      </w:pPr>
    </w:p>
    <w:p>
      <w:pPr>
        <w:spacing w:after="0" w:line="2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Nine Months Ended September 30, 2023 Compared with the Nine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568"/>
              <w:spacing w:after="0" w:line="160"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8"/>
                <w:szCs w:val="18"/>
                <w:color w:val="auto"/>
              </w:rPr>
              <w:t>(77)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(81)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23 %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11 %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6 %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6 %</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Arial" w:cs="Arial" w:eastAsia="Arial" w:hAnsi="Arial"/>
                <w:sz w:val="18"/>
                <w:szCs w:val="18"/>
                <w:b w:val="1"/>
                <w:bCs w:val="1"/>
                <w:color w:val="auto"/>
              </w:rPr>
              <w:t xml:space="preserve">Adjusted EBITDA </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14 %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3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Change in Net Revenues for the Nine Months Ended September 30, 2023 vs. the Nine Months Ended September 30, 2022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Volume/Mix</w:t>
            </w:r>
          </w:p>
        </w:tc>
        <w:tc>
          <w:tcPr>
            <w:tcW w:w="18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39"/>
        </w:trPr>
        <w:tc>
          <w:tcPr>
            <w:tcW w:w="58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Reynolds Cooking &amp; Baking</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r>
      <w:tr>
        <w:trPr>
          <w:trHeight w:val="24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Hefty Waste &amp; Storage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Hefty Tableware</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9 %</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 %</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r>
      <w:tr>
        <w:trPr>
          <w:trHeight w:val="24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Presto Products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RCP</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3 %</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 %</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1 %</w:t>
            </w:r>
          </w:p>
        </w:tc>
      </w:tr>
      <w:tr>
        <w:trPr>
          <w:trHeight w:val="27"/>
        </w:trPr>
        <w:tc>
          <w:tcPr>
            <w:tcW w:w="5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increased by $21 million, or 1%, to $2,750 million. The increase was primarily driven by higher pricing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implemented pricing actions, partially offset by lower volume.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by $82 million, or 4%, to $2,117 million. The decrease was driven by lower volume and lower material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costs, as well as lower logistics costs.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$63 million, or 24%, to $327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personnel costs, advertising costs and professional fees.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by $17 million, or 100%, to zero primarily due to IPO and separation-related costs and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assets in the prior year period that did not reoccur in the current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increased by $43 million, or 90%, to $91 million due to higher interest rates.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recognized income tax expense of $54 million on income before income taxes of $215 million (an effective tax rate of 24.9%)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2023 compared to income tax expense of $49 million on income before income taxes of $201 million (an effective tax rate of 24.5%) for the nine months ended September 30,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$52 million, or 15%, to $398 million. The increase in Adjusted EBITDA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pricing due to previously implemented pricing actions and lower material and manufacturing costs, as well as lower logistics costs, partially offset by higher selling, general and administrative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increased by $27 million, or 3%, to $916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driven by higher volume, slightly offset by lower pricing. Retail sales increased $58 million compared to the prior year period while non-retail sales, which are consistently low margin, were down $31 million compared to the prior year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decreased by $3 million, or 3%, to $94 million. The decrease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material and manufacturing costs, partially offset by higher volume.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240" w:type="dxa"/>
            <w:vAlign w:val="bottom"/>
          </w:tcPr>
          <w:p>
            <w:pPr>
              <w:spacing w:after="0"/>
              <w:rPr>
                <w:sz w:val="21"/>
                <w:szCs w:val="21"/>
                <w:color w:val="auto"/>
              </w:rPr>
            </w:pPr>
          </w:p>
        </w:tc>
        <w:tc>
          <w:tcPr>
            <w:tcW w:w="1760" w:type="dxa"/>
            <w:vAlign w:val="bottom"/>
            <w:gridSpan w:val="2"/>
          </w:tcPr>
          <w:p>
            <w:pPr>
              <w:ind w:left="128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increased by $1 million, to $705 million. The increase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pricing due to previously implemented pricing actions, mostly offset by lower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$53 million, or 39%, to $188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pricing due to previously implemented pricing actions and lower material and manufacturing costs, partially offset by lower volume and higher advertising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increased by $7 million, or 1%, to $708 million. The increase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pricing due to previously implemented pricing actions, mostly offset by lower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increased by $45 million, or 63%, to $117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pricing due to previously implemented pricing actions and lower logistics costs, partially offset by lower volume and higher material and manufacturing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0"/>
              </w:rPr>
              <w:t>(6)</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decreased by $6 million, or 1%, to $441 million. The decrease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volume.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$11 million, or 16%, to $78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material and manufacturing costs, as well as lower logistics costs, partially offset by lower volume.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existing cash and cash equivalents, cash generated from operating activities and available borrowings under the Revolving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cash flows for the periods presented: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39"/>
        </w:trPr>
        <w:tc>
          <w:tcPr>
            <w:tcW w:w="8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Net cash from operating activities increased by $305 million to $423 million in the nine months ended September 30, 2023. </w:t>
      </w:r>
      <w:r>
        <w:rPr>
          <w:rFonts w:ascii="Arial" w:cs="Arial" w:eastAsia="Arial" w:hAnsi="Arial"/>
          <w:sz w:val="18"/>
          <w:szCs w:val="18"/>
          <w:color w:val="212529"/>
        </w:rPr>
        <w:t>The increase was primarily</w:t>
      </w:r>
      <w:r>
        <w:rPr>
          <w:rFonts w:ascii="Arial" w:cs="Arial" w:eastAsia="Arial" w:hAnsi="Arial"/>
          <w:sz w:val="18"/>
          <w:szCs w:val="18"/>
          <w:color w:val="auto"/>
        </w:rPr>
        <w:t xml:space="preserve"> </w:t>
      </w:r>
      <w:r>
        <w:rPr>
          <w:rFonts w:ascii="Arial" w:cs="Arial" w:eastAsia="Arial" w:hAnsi="Arial"/>
          <w:sz w:val="18"/>
          <w:szCs w:val="18"/>
          <w:color w:val="212529"/>
        </w:rPr>
        <w:t>driven by improved earnings and a reduction in working capital.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decreased by $9 million to $77 million. The decrease was driven primarily by decreased cash outlays for capital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increased by $97 million, to $260 million. The increase was primarily attributable to a voluntary principal payment of $100 million related to our Term Loan Facility that was made during the third quarter of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we entered into the External Debt Facilities which consist of a $2,475 million Term Loan Facility and a Revolving Facility that provides for additional borrowing capacity of up to $250 million, reduced by amounts used for letters of credit. In February 2023, we amended the External Debt Facilities (“Amended External Debt Facilities”) which replaced the benchmark from the London Interbank Offered Rate (“LIBOR”) to the Secured Overnight Financing Rate (“SOFR”). Other than the foregoing, the material terms of the agreement remained unchanged.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outstanding balance under the Term Loan Facility was $1,995 million. As of September 30, 2023, we had no outstanding borrowings under the Revolving Facility, and we had $6 million of letters of credit outstanding, which reduces the borrowing capacity under the Revolving Facility.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2020 and 2022, we entered into a series of interest rate swaps to fix the LIBOR of our External Debt Facilities. On February 28,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the condensed consolidated financial statements. The aggregate notional amount of our interest rate swaps still in effect as of September 30, 2023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contains customary mandatory prepayments, including with respect to excess cash flow, asset sale proceeds and proceeds from certain incurrences of indebtedness.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may voluntarily repay outstanding loans under the Term Loan Facility at any time without premium or penalty, other than customary breakage costs with respect to SOFR based loans. During the third quarter of 2023, we made a voluntary principal payment of $100 million related to the Term Loan Facility, which was not subject to a prepayment premium.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September 30, 2023, we made an additional voluntary principal payment of $100 million related to the Term Loan Facility, which was not subject to a prepayment premium.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Facility matures in February 2027. The Term Loan Facility amortizes in equal quarterly installments of $6 million, which commenced in June 2020, with the balance payable on maturity. During the three months ended September 30, 2023, we made a voluntary principal payment of $100 million related to our Term Loan Facility, which was first applied to pay the remaining quarterly amortization payments in full, with the residual balance applied to the outstanding principal balance due at maturity. The Revolving Facility matures in February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62" w:lineRule="exact"/>
        <w:rPr>
          <w:sz w:val="20"/>
          <w:szCs w:val="20"/>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28" w:lineRule="exact"/>
        <w:rPr>
          <w:rFonts w:ascii="Arial" w:cs="Arial" w:eastAsia="Arial" w:hAnsi="Arial"/>
          <w:sz w:val="17"/>
          <w:szCs w:val="17"/>
          <w:color w:val="auto"/>
        </w:rPr>
      </w:pPr>
    </w:p>
    <w:p>
      <w:pPr>
        <w:ind w:left="880" w:hanging="431"/>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in compliance with the covenants contained in our Amended External Debt Facilities.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Our accounts receivable factoring agreement with JP Morgan Chase Bank, N.A. allows us to sell certain accounts receivable up to $190 million. We had no outstanding balance owed under the factoring arrangement as of </w:t>
      </w:r>
      <w:r>
        <w:rPr>
          <w:rFonts w:ascii="Arial" w:cs="Arial" w:eastAsia="Arial" w:hAnsi="Arial"/>
          <w:sz w:val="17"/>
          <w:szCs w:val="17"/>
          <w:color w:val="000000"/>
        </w:rPr>
        <w:t>September 30, 2023</w:t>
      </w:r>
      <w:r>
        <w:rPr>
          <w:rFonts w:ascii="Arial" w:cs="Arial" w:eastAsia="Arial" w:hAnsi="Arial"/>
          <w:sz w:val="17"/>
          <w:szCs w:val="17"/>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Supply Chain Financing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In March 2023, we initiated a voluntary Supply Chain Finance program (the </w:t>
      </w:r>
      <w:r>
        <w:rPr>
          <w:rFonts w:ascii="Arial" w:cs="Arial" w:eastAsia="Arial" w:hAnsi="Arial"/>
          <w:sz w:val="17"/>
          <w:szCs w:val="17"/>
          <w:color w:val="000000"/>
        </w:rPr>
        <w:t>“</w:t>
      </w:r>
      <w:r>
        <w:rPr>
          <w:rFonts w:ascii="Arial" w:cs="Arial" w:eastAsia="Arial" w:hAnsi="Arial"/>
          <w:sz w:val="17"/>
          <w:szCs w:val="17"/>
          <w:color w:val="212529"/>
        </w:rPr>
        <w:t>SCF</w:t>
      </w:r>
      <w:r>
        <w:rPr>
          <w:rFonts w:ascii="Arial" w:cs="Arial" w:eastAsia="Arial" w:hAnsi="Arial"/>
          <w:sz w:val="17"/>
          <w:szCs w:val="17"/>
          <w:color w:val="000000"/>
        </w:rPr>
        <w:t>”</w:t>
      </w:r>
      <w:r>
        <w:rPr>
          <w:rFonts w:ascii="Arial" w:cs="Arial" w:eastAsia="Arial" w:hAnsi="Arial"/>
          <w:sz w:val="17"/>
          <w:szCs w:val="17"/>
          <w:color w:val="212529"/>
        </w:rPr>
        <w:t xml:space="preserve">) with a global financial institution (the </w:t>
      </w:r>
      <w:r>
        <w:rPr>
          <w:rFonts w:ascii="Arial" w:cs="Arial" w:eastAsia="Arial" w:hAnsi="Arial"/>
          <w:sz w:val="17"/>
          <w:szCs w:val="17"/>
          <w:color w:val="000000"/>
        </w:rPr>
        <w:t>“</w:t>
      </w:r>
      <w:r>
        <w:rPr>
          <w:rFonts w:ascii="Arial" w:cs="Arial" w:eastAsia="Arial" w:hAnsi="Arial"/>
          <w:sz w:val="17"/>
          <w:szCs w:val="17"/>
          <w:color w:val="212529"/>
        </w:rPr>
        <w:t>SCF Bank</w:t>
      </w:r>
      <w:r>
        <w:rPr>
          <w:rFonts w:ascii="Arial" w:cs="Arial" w:eastAsia="Arial" w:hAnsi="Arial"/>
          <w:sz w:val="17"/>
          <w:szCs w:val="17"/>
          <w:color w:val="000000"/>
        </w:rPr>
        <w:t>”</w:t>
      </w:r>
      <w:r>
        <w:rPr>
          <w:rFonts w:ascii="Arial" w:cs="Arial" w:eastAsia="Arial" w:hAnsi="Arial"/>
          <w:sz w:val="17"/>
          <w:szCs w:val="17"/>
          <w:color w:val="212529"/>
        </w:rPr>
        <w:t>).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w:t>
      </w:r>
      <w:r>
        <w:rPr>
          <w:rFonts w:ascii="Arial" w:cs="Arial" w:eastAsia="Arial" w:hAnsi="Arial"/>
          <w:sz w:val="17"/>
          <w:szCs w:val="17"/>
          <w:color w:val="000000"/>
        </w:rPr>
        <w:t>’</w:t>
      </w:r>
      <w:r>
        <w:rPr>
          <w:rFonts w:ascii="Arial" w:cs="Arial" w:eastAsia="Arial" w:hAnsi="Arial"/>
          <w:sz w:val="17"/>
          <w:szCs w:val="17"/>
          <w:color w:val="212529"/>
        </w:rPr>
        <w:t>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terms of our payment obligations are not impacted by a supplier</w:t>
      </w:r>
      <w:r>
        <w:rPr>
          <w:rFonts w:ascii="Arial" w:cs="Arial" w:eastAsia="Arial" w:hAnsi="Arial"/>
          <w:sz w:val="18"/>
          <w:szCs w:val="18"/>
          <w:color w:val="000000"/>
        </w:rPr>
        <w:t>’</w:t>
      </w:r>
      <w:r>
        <w:rPr>
          <w:rFonts w:ascii="Arial" w:cs="Arial" w:eastAsia="Arial" w:hAnsi="Arial"/>
          <w:sz w:val="18"/>
          <w:szCs w:val="18"/>
          <w:color w:val="212529"/>
        </w:rPr>
        <w:t>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All outstanding amounts related to suppliers participating in the SCF are recorded within accounts payable in the condensed consolidated balance sheet and the associated payments are included as an operating cash flow in the condensed consolidated statement of cash flows. As of </w:t>
      </w:r>
      <w:r>
        <w:rPr>
          <w:rFonts w:ascii="Arial" w:cs="Arial" w:eastAsia="Arial" w:hAnsi="Arial"/>
          <w:sz w:val="18"/>
          <w:szCs w:val="18"/>
          <w:color w:val="000000"/>
        </w:rPr>
        <w:t>September 30, 2023</w:t>
      </w:r>
      <w:r>
        <w:rPr>
          <w:rFonts w:ascii="Arial" w:cs="Arial" w:eastAsia="Arial" w:hAnsi="Arial"/>
          <w:sz w:val="18"/>
          <w:szCs w:val="18"/>
          <w:color w:val="212529"/>
        </w:rPr>
        <w:t>, the amount of obligations outstanding that we have confirmed as valid under the SCF was $18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Dividends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September 30, 2023, cash dividends of $0.23 and $0.69 per share, respectively, were declared and paid. On October 26, 2023, a quarterly cash dividend of $0.23 per share was declared and is to be paid on November 30, 2023.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projected cash position, cash flows from operations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See “Item 7A: Quantitative and Qualitative Disclosures About Market Risk” of our Annual Report on Form 10-K for the fiscal year ended December 31, 2022. During the nine months ended September 30, 2023, there have been no material changes in our exposure to market risk.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September 30, 2023. Based on that evaluation, our Chief Executive Officer and Chief Financial Officer have concluded that, as of September 30, 2023, our disclosure controls and procedures were effective.</w:t>
      </w:r>
    </w:p>
    <w:p>
      <w:pPr>
        <w:spacing w:after="0" w:line="187" w:lineRule="exact"/>
        <w:rPr>
          <w:sz w:val="20"/>
          <w:szCs w:val="20"/>
          <w:color w:val="auto"/>
        </w:rPr>
      </w:pPr>
    </w:p>
    <w:p>
      <w:pPr>
        <w:ind w:left="880" w:hanging="431"/>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September 30, 2023,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2"/>
          </w:tcPr>
          <w:p>
            <w:pPr>
              <w:ind w:left="980"/>
              <w:spacing w:after="0"/>
              <w:rPr>
                <w:sz w:val="20"/>
                <w:szCs w:val="20"/>
                <w:color w:val="auto"/>
              </w:rPr>
            </w:pPr>
            <w:r>
              <w:rPr>
                <w:rFonts w:ascii="Arial" w:cs="Arial" w:eastAsia="Arial" w:hAnsi="Arial"/>
                <w:sz w:val="18"/>
                <w:szCs w:val="18"/>
                <w:b w:val="1"/>
                <w:bCs w:val="1"/>
                <w:color w:val="auto"/>
              </w:rPr>
              <w:t>Item 6. Exhibits.</w:t>
            </w:r>
          </w:p>
        </w:tc>
      </w:tr>
      <w:tr>
        <w:trPr>
          <w:trHeight w:val="450"/>
        </w:trPr>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80" w:type="dxa"/>
            <w:vAlign w:val="bottom"/>
            <w:gridSpan w:val="11"/>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53"/>
        </w:trPr>
        <w:tc>
          <w:tcPr>
            <w:tcW w:w="136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Amended and Restated Certificate of Incorporation (incorporated herein by reference to Exhibit 3.1 to the Company’s Current Report</w:t>
              </w:r>
            </w:hyperlink>
          </w:p>
        </w:tc>
        <w:tc>
          <w:tcPr>
            <w:tcW w:w="1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on Form 8-K filed with the SEC on February 4, 2020)</w:t>
              </w:r>
            </w:hyperlink>
          </w:p>
        </w:tc>
        <w:tc>
          <w:tcPr>
            <w:tcW w:w="5880" w:type="dxa"/>
            <w:vAlign w:val="bottom"/>
            <w:gridSpan w:val="11"/>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with the SEC on February 4, 2020)</w:t>
              </w:r>
            </w:hyperlink>
          </w:p>
        </w:tc>
        <w:tc>
          <w:tcPr>
            <w:tcW w:w="7120" w:type="dxa"/>
            <w:vAlign w:val="bottom"/>
            <w:tcBorders>
              <w:top w:val="single" w:sz="8" w:color="0000FF"/>
            </w:tcBorders>
            <w:gridSpan w:val="11"/>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Offer Letter, dated as of September 15, 2023, by and between Reynolds Consumer Products Inc. and Scott E. Huckins (incorporated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herein by reference to Exhibit 10.1 to the Company's Current Report on Form 8-K filed with the SEC on October 12, 2023)</w:t>
              </w:r>
            </w:hyperlink>
          </w:p>
        </w:tc>
        <w:tc>
          <w:tcPr>
            <w:tcW w:w="620" w:type="dxa"/>
            <w:vAlign w:val="bottom"/>
            <w:tcBorders>
              <w:top w:val="single" w:sz="8" w:color="0000FF"/>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40" w:type="dxa"/>
            <w:vAlign w:val="bottom"/>
            <w:tcBorders>
              <w:bottom w:val="single" w:sz="8" w:color="0000FF"/>
            </w:tcBorders>
            <w:gridSpan w:val="6"/>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Employment Agreement, effective October 23, 2023, by and between Reynolds Consumer Products LLC and Scott E. Huckins</w:t>
              </w:r>
            </w:hyperlink>
          </w:p>
        </w:tc>
        <w:tc>
          <w:tcPr>
            <w:tcW w:w="620" w:type="dxa"/>
            <w:vAlign w:val="bottom"/>
            <w:gridSpan w:val="8"/>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(including the Restrictive Covenant Agreement attached thereto) (incorporated herein by reference to Exhibit 10.2 to the Company's</w:t>
              </w:r>
            </w:hyperlink>
          </w:p>
        </w:tc>
        <w:tc>
          <w:tcPr>
            <w:tcW w:w="2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Current Report on Form 8-K filed with the SEC on October 12, 2023)</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40" w:type="dxa"/>
            <w:vAlign w:val="bottom"/>
            <w:tcBorders>
              <w:right w:val="single" w:sz="8" w:color="0000FF"/>
            </w:tcBorders>
            <w:gridSpan w:val="3"/>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1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74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Certification of Principal Financial Officer Pursuant to Rules 13a-14(a) and 15d-14(a) under the Securities Exchange Act of 1934, as</w:t>
            </w:r>
          </w:p>
        </w:tc>
        <w:tc>
          <w:tcPr>
            <w:tcW w:w="20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74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1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8380" w:type="dxa"/>
            <w:vAlign w:val="bottom"/>
            <w:gridSpan w:val="13"/>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8160" w:type="dxa"/>
            <w:vAlign w:val="bottom"/>
            <w:tcBorders>
              <w:top w:val="single" w:sz="8" w:color="0000FF"/>
            </w:tcBorders>
            <w:gridSpan w:val="8"/>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7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3411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Senior Vice President and Controller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Accounting Officer)</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20" w:hanging="644"/>
        <w:spacing w:after="0" w:line="308" w:lineRule="auto"/>
        <w:tabs>
          <w:tab w:leader="none" w:pos="12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40" w:val="left"/>
          <w:tab w:leader="none" w:pos="79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Graham,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20" w:hanging="644"/>
        <w:spacing w:after="0" w:line="308" w:lineRule="auto"/>
        <w:tabs>
          <w:tab w:leader="none" w:pos="1297"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40" w:val="left"/>
          <w:tab w:leader="none" w:pos="790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5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93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Reynolds Consumer Products Inc. (the “Company”) on Form 10-Q for the period ended September 30, 2023 as filed with the Securities and Exchange Commission on the date hereof (the “Report”), I, Lance Mitchell, President and Chief Executive Officer, certify, pursuant to 18 U.S.C. § 1350, as adopted pursuant to §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40" w:val="left"/>
          <w:tab w:leader="none" w:pos="79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93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Reynolds Consumer Products Inc. (the “Company”) on Form 10-Q for the period ended September 30, 2023 as filed with the Securities and Exchange Commission on the date hereof (the “Report”), I, Michael Graham, Chief Financial Officer, certify, pursuant to 18 U.S.C. § 1350, as adopted pursuant to §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40" w:val="left"/>
          <w:tab w:leader="none" w:pos="790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23495</wp:posOffset>
            </wp:positionV>
            <wp:extent cx="3317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5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5" Type="http://schemas.openxmlformats.org/officeDocument/2006/relationships/hyperlink" Target="http://www.sec.gov/Archives/edgar/data/0001786431/000119312520024304/d874780dex31.htm" TargetMode="External"/><Relationship Id="rId56" Type="http://schemas.openxmlformats.org/officeDocument/2006/relationships/hyperlink" Target="http://www.sec.gov/Archives/edgar/data/0001786431/000119312520024304/d874780dex32.htm" TargetMode="External"/><Relationship Id="rId57" Type="http://schemas.openxmlformats.org/officeDocument/2006/relationships/hyperlink" Target="https://www.sec.gov/Archives/edgar/data/1786431/000119312523254985/d529276dex101.htm" TargetMode="External"/><Relationship Id="rId58" Type="http://schemas.openxmlformats.org/officeDocument/2006/relationships/hyperlink" Target="https://www.sec.gov/Archives/edgar/data/1786431/000119312523254985/d52927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2023-11-08T08:31:24Z</dcterms:created>
  <dcterms:modified xsi:type="dcterms:W3CDTF">2023-11-08T08:31:24Z</dcterms:modified>
</cp:coreProperties>
</file>