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4F81BD"/>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Proxy Statement Pursuant to Section 14(a) of the Securities</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Exchange Act of 1934 (Amendment No. )</w:t>
      </w:r>
    </w:p>
    <w:p>
      <w:pPr>
        <w:spacing w:after="0" w:line="7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5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59"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31"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1" w:lineRule="exact"/>
        <w:rPr>
          <w:rFonts w:ascii="MS PGothic" w:cs="MS PGothic" w:eastAsia="MS PGothic" w:hAnsi="MS PGothic"/>
          <w:sz w:val="16"/>
          <w:szCs w:val="16"/>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5" w:lineRule="exact"/>
        <w:rPr>
          <w:rFonts w:ascii="MS PGothic" w:cs="MS PGothic" w:eastAsia="MS PGothic" w:hAnsi="MS PGothic"/>
          <w:sz w:val="16"/>
          <w:szCs w:val="16"/>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REYNOLDS CONSUMER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13"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73" w:lineRule="exact"/>
        <w:rPr>
          <w:sz w:val="24"/>
          <w:szCs w:val="24"/>
          <w:color w:val="auto"/>
        </w:rPr>
      </w:pPr>
    </w:p>
    <w:p>
      <w:pPr>
        <w:ind w:left="320" w:hanging="312"/>
        <w:spacing w:after="0"/>
        <w:tabs>
          <w:tab w:leader="none" w:pos="32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48" w:lineRule="exact"/>
        <w:rPr>
          <w:rFonts w:ascii="MS PGothic" w:cs="MS PGothic" w:eastAsia="MS PGothic" w:hAnsi="MS PGothic"/>
          <w:sz w:val="16"/>
          <w:szCs w:val="16"/>
          <w:color w:val="auto"/>
        </w:rPr>
      </w:pPr>
    </w:p>
    <w:p>
      <w:pPr>
        <w:ind w:left="320" w:hanging="312"/>
        <w:spacing w:after="0"/>
        <w:tabs>
          <w:tab w:leader="none" w:pos="32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4851400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EE272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0</wp:posOffset>
            </wp:positionV>
            <wp:extent cx="2125980"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 is hereby given that the 2024 Annual Meeting of Stockholders of Reynolds Consumer Products Inc. will be held on Wednesday, April 24, 2024, at 5:00 p.m. Central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Meeting will be completely virtual. You may attend the meeting, submit questions, and vote your shares electronically during the meeting via live webcast by visiting www.virtualshareholdermeeting.com/REYN2024 and entering the 16-digit control number included on your proxy card or on the instructions that accompanied your proxy materials. Instructions on how to attend and participate in the Annual Meeting via the webcast are posted on this site as well.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meeting are the following:</w:t>
      </w:r>
    </w:p>
    <w:p>
      <w:pPr>
        <w:spacing w:after="0" w:line="225"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to serve until the 2027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7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allow for exculpation of officers as permitted by Delaware law;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year ending December 31, 2024;</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2023 compensation of our named executive officers as disclosed in the accompanying Proxy Statement;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at any and all adjournments or postponements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March 1, 2024 will be entitled to vote at the meeting and any adjournment or postponement thereof.</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vote is important. To ensure that your vote is recorded promptly, please vote as soon as possible by submitting your proxy via the internet at the address listed on the Notice or proxy card, by telephone using the toll-free number listed on the proxy card or by signing, dating and returning the proxy card.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r>
      <w:tr>
        <w:trPr>
          <w:trHeight w:val="418"/>
        </w:trPr>
        <w:tc>
          <w:tcPr>
            <w:tcW w:w="64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r>
      <w:tr>
        <w:trPr>
          <w:trHeight w:val="21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 Forest, Illinois</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Watson</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12, 2024</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1532"/>
        </w:trPr>
        <w:tc>
          <w:tcPr>
            <w:tcW w:w="64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F497D"/>
        </w:rPr>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560" w:type="dxa"/>
            <w:vAlign w:val="bottom"/>
            <w:tcBorders>
              <w:top w:val="single" w:sz="8" w:color="1F497D"/>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1F497D"/>
              </w:rPr>
              <w:t>PROXY STATEMENT SUMMARY</w:t>
            </w:r>
          </w:p>
        </w:tc>
        <w:tc>
          <w:tcPr>
            <w:tcW w:w="660" w:type="dxa"/>
            <w:vAlign w:val="bottom"/>
            <w:tcBorders>
              <w:top w:val="single" w:sz="8" w:color="1F497D"/>
            </w:tcBorders>
            <w:gridSpan w:val="5"/>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1F497D"/>
              </w:rPr>
              <w:t>1</w:t>
            </w:r>
          </w:p>
        </w:tc>
        <w:tc>
          <w:tcPr>
            <w:tcW w:w="20" w:type="dxa"/>
            <w:vAlign w:val="bottom"/>
            <w:tcBorders>
              <w:top w:val="single" w:sz="8" w:color="1F497D"/>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top w:val="single" w:sz="8" w:color="1F497D"/>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Voting Matters and Board Recommendation</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Nominees and Continuing Directors</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Governance Highlights</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Best Practices</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1F497D"/>
              </w:rPr>
              <w:t>PROPOSAL 1: ELECTION OF DIRECTORS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Borders>
              <w:bottom w:val="single" w:sz="8" w:color="1F497D"/>
            </w:tcBorders>
          </w:tcPr>
          <w:p>
            <w:pPr>
              <w:jc w:val="right"/>
              <w:spacing w:after="0"/>
              <w:rPr>
                <w:sz w:val="20"/>
                <w:szCs w:val="20"/>
                <w:color w:val="auto"/>
              </w:rPr>
            </w:pPr>
            <w:r>
              <w:rPr>
                <w:rFonts w:ascii="Times New Roman" w:cs="Times New Roman" w:eastAsia="Times New Roman" w:hAnsi="Times New Roman"/>
                <w:sz w:val="11"/>
                <w:szCs w:val="11"/>
                <w:b w:val="1"/>
                <w:bCs w:val="1"/>
                <w:color w:val="1F497D"/>
                <w:w w:val="71"/>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560" w:type="dxa"/>
            <w:vAlign w:val="bottom"/>
            <w:tcBorders>
              <w:bottom w:val="single" w:sz="8" w:color="1F497D"/>
            </w:tcBorders>
          </w:tcPr>
          <w:p>
            <w:pPr>
              <w:spacing w:after="0"/>
              <w:rPr>
                <w:sz w:val="6"/>
                <w:szCs w:val="6"/>
                <w:color w:val="auto"/>
              </w:rPr>
            </w:pPr>
          </w:p>
        </w:tc>
        <w:tc>
          <w:tcPr>
            <w:tcW w:w="4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1F497D"/>
              </w:rPr>
              <w:t>CORPORATE GOVERNANCE</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1F497D"/>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w w:val="77"/>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0560" w:type="dxa"/>
            <w:vAlign w:val="bottom"/>
            <w:tcBorders>
              <w:bottom w:val="single" w:sz="8" w:color="1F497D"/>
            </w:tcBorders>
          </w:tcPr>
          <w:p>
            <w:pPr>
              <w:spacing w:after="0"/>
              <w:rPr>
                <w:sz w:val="6"/>
                <w:szCs w:val="6"/>
                <w:color w:val="auto"/>
              </w:rPr>
            </w:pPr>
          </w:p>
        </w:tc>
        <w:tc>
          <w:tcPr>
            <w:tcW w:w="4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Director Independence</w:t>
            </w:r>
          </w:p>
        </w:tc>
        <w:tc>
          <w:tcPr>
            <w:tcW w:w="480" w:type="dxa"/>
            <w:vAlign w:val="bottom"/>
          </w:tcPr>
          <w:p>
            <w:pPr>
              <w:spacing w:after="0"/>
              <w:rPr>
                <w:sz w:val="15"/>
                <w:szCs w:val="15"/>
                <w:color w:val="auto"/>
              </w:rPr>
            </w:pPr>
          </w:p>
        </w:tc>
        <w:tc>
          <w:tcPr>
            <w:tcW w:w="180" w:type="dxa"/>
            <w:vAlign w:val="bottom"/>
            <w:tcBorders>
              <w:bottom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Leadership Structure</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Communications</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Procedures for Selecting and Nominating Director Candidates</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Meetings and Committees</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Nominating and Corporate Governance Committee</w:t>
            </w:r>
          </w:p>
        </w:tc>
        <w:tc>
          <w:tcPr>
            <w:tcW w:w="480" w:type="dxa"/>
            <w:vAlign w:val="bottom"/>
          </w:tcPr>
          <w:p>
            <w:pPr>
              <w:spacing w:after="0"/>
              <w:rPr>
                <w:sz w:val="22"/>
                <w:szCs w:val="22"/>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Oversight</w:t>
            </w:r>
          </w:p>
        </w:tc>
        <w:tc>
          <w:tcPr>
            <w:tcW w:w="480" w:type="dxa"/>
            <w:vAlign w:val="bottom"/>
          </w:tcPr>
          <w:p>
            <w:pPr>
              <w:spacing w:after="0"/>
              <w:rPr>
                <w:sz w:val="22"/>
                <w:szCs w:val="22"/>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Evaluations</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Social &amp; Governance Matters</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80" w:type="dxa"/>
            <w:vAlign w:val="bottom"/>
            <w:tcBorders>
              <w:top w:val="single" w:sz="8" w:color="auto"/>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1F497D"/>
              </w:rPr>
              <w:t>DIRECTOR COMPENSATION</w:t>
            </w:r>
          </w:p>
        </w:tc>
        <w:tc>
          <w:tcPr>
            <w:tcW w:w="480" w:type="dxa"/>
            <w:vAlign w:val="bottom"/>
          </w:tcPr>
          <w:p>
            <w:pPr>
              <w:spacing w:after="0"/>
              <w:rPr>
                <w:sz w:val="15"/>
                <w:szCs w:val="15"/>
                <w:color w:val="auto"/>
              </w:rPr>
            </w:pPr>
          </w:p>
        </w:tc>
        <w:tc>
          <w:tcPr>
            <w:tcW w:w="180" w:type="dxa"/>
            <w:vAlign w:val="bottom"/>
            <w:tcBorders>
              <w:bottom w:val="single" w:sz="8" w:color="1F497D"/>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w w:val="88"/>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0560" w:type="dxa"/>
            <w:vAlign w:val="bottom"/>
            <w:tcBorders>
              <w:bottom w:val="single" w:sz="8" w:color="1F497D"/>
            </w:tcBorders>
          </w:tcPr>
          <w:p>
            <w:pPr>
              <w:spacing w:after="0"/>
              <w:rPr>
                <w:sz w:val="6"/>
                <w:szCs w:val="6"/>
                <w:color w:val="auto"/>
              </w:rPr>
            </w:pPr>
          </w:p>
        </w:tc>
        <w:tc>
          <w:tcPr>
            <w:tcW w:w="4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Stock Ownership Guidelines</w:t>
            </w:r>
          </w:p>
        </w:tc>
        <w:tc>
          <w:tcPr>
            <w:tcW w:w="660" w:type="dxa"/>
            <w:vAlign w:val="bottom"/>
            <w:gridSpan w:val="5"/>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560" w:type="dxa"/>
            <w:vAlign w:val="bottom"/>
            <w:tcBorders>
              <w:bottom w:val="single" w:sz="8" w:color="1F497D"/>
            </w:tcBorders>
          </w:tcPr>
          <w:p>
            <w:pPr>
              <w:spacing w:after="0" w:line="20" w:lineRule="exact"/>
              <w:rPr>
                <w:sz w:val="1"/>
                <w:szCs w:val="1"/>
                <w:color w:val="auto"/>
              </w:rPr>
            </w:pPr>
          </w:p>
        </w:tc>
        <w:tc>
          <w:tcPr>
            <w:tcW w:w="480" w:type="dxa"/>
            <w:vAlign w:val="bottom"/>
            <w:tcBorders>
              <w:bottom w:val="single" w:sz="8" w:color="1F497D"/>
            </w:tcBorders>
          </w:tcPr>
          <w:p>
            <w:pPr>
              <w:spacing w:after="0" w:line="20" w:lineRule="exact"/>
              <w:rPr>
                <w:sz w:val="1"/>
                <w:szCs w:val="1"/>
                <w:color w:val="auto"/>
              </w:rPr>
            </w:pPr>
          </w:p>
        </w:tc>
        <w:tc>
          <w:tcPr>
            <w:tcW w:w="20" w:type="dxa"/>
            <w:vAlign w:val="bottom"/>
            <w:tcBorders>
              <w:top w:val="single" w:sz="8" w:color="auto"/>
              <w:bottom w:val="single" w:sz="8" w:color="1F497D"/>
            </w:tcBorders>
          </w:tcPr>
          <w:p>
            <w:pPr>
              <w:spacing w:after="0" w:line="20" w:lineRule="exact"/>
              <w:rPr>
                <w:sz w:val="1"/>
                <w:szCs w:val="1"/>
                <w:color w:val="auto"/>
              </w:rPr>
            </w:pPr>
          </w:p>
        </w:tc>
        <w:tc>
          <w:tcPr>
            <w:tcW w:w="80" w:type="dxa"/>
            <w:vAlign w:val="bottom"/>
            <w:tcBorders>
              <w:top w:val="single" w:sz="8" w:color="auto"/>
              <w:bottom w:val="single" w:sz="8" w:color="1F497D"/>
            </w:tcBorders>
          </w:tcPr>
          <w:p>
            <w:pPr>
              <w:spacing w:after="0" w:line="20" w:lineRule="exact"/>
              <w:rPr>
                <w:sz w:val="1"/>
                <w:szCs w:val="1"/>
                <w:color w:val="auto"/>
              </w:rPr>
            </w:pPr>
          </w:p>
        </w:tc>
        <w:tc>
          <w:tcPr>
            <w:tcW w:w="20" w:type="dxa"/>
            <w:vAlign w:val="bottom"/>
            <w:tcBorders>
              <w:top w:val="single" w:sz="8" w:color="auto"/>
              <w:bottom w:val="single" w:sz="8" w:color="1F497D"/>
            </w:tcBorders>
          </w:tcPr>
          <w:p>
            <w:pPr>
              <w:spacing w:after="0" w:line="20" w:lineRule="exact"/>
              <w:rPr>
                <w:sz w:val="1"/>
                <w:szCs w:val="1"/>
                <w:color w:val="auto"/>
              </w:rPr>
            </w:pPr>
          </w:p>
        </w:tc>
        <w:tc>
          <w:tcPr>
            <w:tcW w:w="60" w:type="dxa"/>
            <w:vAlign w:val="bottom"/>
            <w:tcBorders>
              <w:top w:val="single" w:sz="8" w:color="auto"/>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2023 Director Compensation Table</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80" w:type="dxa"/>
            <w:vAlign w:val="bottom"/>
            <w:tcBorders>
              <w:top w:val="single" w:sz="8" w:color="auto"/>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1F497D"/>
              </w:rPr>
              <w:t>PROPOSAL 2: APPROVAL OF AN AMENDMENT TO OUR AMENDED AND RESTATED CERTIFICATE OF INCORPORATION</w:t>
            </w:r>
          </w:p>
        </w:tc>
        <w:tc>
          <w:tcPr>
            <w:tcW w:w="480" w:type="dxa"/>
            <w:vAlign w:val="bottom"/>
          </w:tcPr>
          <w:p>
            <w:pPr>
              <w:spacing w:after="0"/>
              <w:rPr>
                <w:sz w:val="15"/>
                <w:szCs w:val="15"/>
                <w:color w:val="auto"/>
              </w:rPr>
            </w:pPr>
          </w:p>
        </w:tc>
        <w:tc>
          <w:tcPr>
            <w:tcW w:w="180" w:type="dxa"/>
            <w:vAlign w:val="bottom"/>
            <w:tcBorders>
              <w:bottom w:val="single" w:sz="8" w:color="1F497D"/>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w w:val="88"/>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1F497D"/>
              </w:rPr>
              <w:t>TO ALLOW FOR EXCULPATION OF OFFICERS AS PERMITTED BY DELAWARE LAW</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560" w:type="dxa"/>
            <w:vAlign w:val="bottom"/>
            <w:tcBorders>
              <w:bottom w:val="single" w:sz="8" w:color="1F497D"/>
            </w:tcBorders>
          </w:tcPr>
          <w:p>
            <w:pPr>
              <w:spacing w:after="0"/>
              <w:rPr>
                <w:sz w:val="2"/>
                <w:szCs w:val="2"/>
                <w:color w:val="auto"/>
              </w:rPr>
            </w:pPr>
          </w:p>
        </w:tc>
        <w:tc>
          <w:tcPr>
            <w:tcW w:w="480" w:type="dxa"/>
            <w:vAlign w:val="bottom"/>
            <w:tcBorders>
              <w:bottom w:val="single" w:sz="8" w:color="1F497D"/>
            </w:tcBorders>
          </w:tcPr>
          <w:p>
            <w:pPr>
              <w:spacing w:after="0"/>
              <w:rPr>
                <w:sz w:val="2"/>
                <w:szCs w:val="2"/>
                <w:color w:val="auto"/>
              </w:rPr>
            </w:pPr>
          </w:p>
        </w:tc>
        <w:tc>
          <w:tcPr>
            <w:tcW w:w="20" w:type="dxa"/>
            <w:vAlign w:val="bottom"/>
            <w:tcBorders>
              <w:bottom w:val="single" w:sz="8" w:color="1F497D"/>
            </w:tcBorders>
          </w:tcPr>
          <w:p>
            <w:pPr>
              <w:spacing w:after="0"/>
              <w:rPr>
                <w:sz w:val="2"/>
                <w:szCs w:val="2"/>
                <w:color w:val="auto"/>
              </w:rPr>
            </w:pPr>
          </w:p>
        </w:tc>
        <w:tc>
          <w:tcPr>
            <w:tcW w:w="80" w:type="dxa"/>
            <w:vAlign w:val="bottom"/>
            <w:tcBorders>
              <w:bottom w:val="single" w:sz="8" w:color="1F497D"/>
            </w:tcBorders>
          </w:tcPr>
          <w:p>
            <w:pPr>
              <w:spacing w:after="0"/>
              <w:rPr>
                <w:sz w:val="2"/>
                <w:szCs w:val="2"/>
                <w:color w:val="auto"/>
              </w:rPr>
            </w:pPr>
          </w:p>
        </w:tc>
        <w:tc>
          <w:tcPr>
            <w:tcW w:w="20" w:type="dxa"/>
            <w:vAlign w:val="bottom"/>
            <w:tcBorders>
              <w:bottom w:val="single" w:sz="8" w:color="1F497D"/>
            </w:tcBorders>
          </w:tcPr>
          <w:p>
            <w:pPr>
              <w:spacing w:after="0"/>
              <w:rPr>
                <w:sz w:val="2"/>
                <w:szCs w:val="2"/>
                <w:color w:val="auto"/>
              </w:rPr>
            </w:pPr>
          </w:p>
        </w:tc>
        <w:tc>
          <w:tcPr>
            <w:tcW w:w="60" w:type="dxa"/>
            <w:vAlign w:val="bottom"/>
            <w:tcBorders>
              <w:bottom w:val="single" w:sz="8" w:color="1F497D"/>
            </w:tcBorders>
          </w:tcPr>
          <w:p>
            <w:pPr>
              <w:spacing w:after="0"/>
              <w:rPr>
                <w:sz w:val="2"/>
                <w:szCs w:val="2"/>
                <w:color w:val="auto"/>
              </w:rPr>
            </w:pPr>
          </w:p>
        </w:tc>
        <w:tc>
          <w:tcPr>
            <w:tcW w:w="20" w:type="dxa"/>
            <w:vAlign w:val="bottom"/>
            <w:tcBorders>
              <w:bottom w:val="single" w:sz="8" w:color="1F497D"/>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1F497D"/>
              </w:rPr>
              <w:t>PROPOSAL 3: RATIFICATION OF APPOINTMENT OF INDEPENDENT REGISTERED PUBLIC ACCOUNTING FIRM</w:t>
            </w:r>
          </w:p>
        </w:tc>
        <w:tc>
          <w:tcPr>
            <w:tcW w:w="480" w:type="dxa"/>
            <w:vAlign w:val="bottom"/>
          </w:tcPr>
          <w:p>
            <w:pPr>
              <w:spacing w:after="0"/>
              <w:rPr>
                <w:sz w:val="15"/>
                <w:szCs w:val="15"/>
                <w:color w:val="auto"/>
              </w:rPr>
            </w:pPr>
          </w:p>
        </w:tc>
        <w:tc>
          <w:tcPr>
            <w:tcW w:w="180" w:type="dxa"/>
            <w:vAlign w:val="bottom"/>
            <w:tcBorders>
              <w:bottom w:val="single" w:sz="8" w:color="1F497D"/>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w w:val="88"/>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0560" w:type="dxa"/>
            <w:vAlign w:val="bottom"/>
            <w:tcBorders>
              <w:bottom w:val="single" w:sz="8" w:color="1F497D"/>
            </w:tcBorders>
          </w:tcPr>
          <w:p>
            <w:pPr>
              <w:spacing w:after="0"/>
              <w:rPr>
                <w:sz w:val="6"/>
                <w:szCs w:val="6"/>
                <w:color w:val="auto"/>
              </w:rPr>
            </w:pPr>
          </w:p>
        </w:tc>
        <w:tc>
          <w:tcPr>
            <w:tcW w:w="480" w:type="dxa"/>
            <w:vAlign w:val="bottom"/>
            <w:vMerge w:val="restart"/>
          </w:tcPr>
          <w:p>
            <w:pPr>
              <w:spacing w:after="0"/>
              <w:rPr>
                <w:sz w:val="6"/>
                <w:szCs w:val="6"/>
                <w:color w:val="auto"/>
              </w:rPr>
            </w:pP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Auditor Fees</w:t>
            </w:r>
          </w:p>
        </w:tc>
        <w:tc>
          <w:tcPr>
            <w:tcW w:w="480" w:type="dxa"/>
            <w:vAlign w:val="bottom"/>
            <w:vMerge w:val="continue"/>
          </w:tcPr>
          <w:p>
            <w:pPr>
              <w:spacing w:after="0"/>
              <w:rPr>
                <w:sz w:val="14"/>
                <w:szCs w:val="14"/>
                <w:color w:val="auto"/>
              </w:rPr>
            </w:pPr>
          </w:p>
        </w:tc>
        <w:tc>
          <w:tcPr>
            <w:tcW w:w="180" w:type="dxa"/>
            <w:vAlign w:val="bottom"/>
            <w:tcBorders>
              <w:bottom w:val="single" w:sz="8" w:color="auto"/>
            </w:tcBorders>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Pre-Approval Policy</w:t>
            </w:r>
          </w:p>
        </w:tc>
        <w:tc>
          <w:tcPr>
            <w:tcW w:w="480" w:type="dxa"/>
            <w:vAlign w:val="bottom"/>
          </w:tcPr>
          <w:p>
            <w:pPr>
              <w:spacing w:after="0"/>
              <w:rPr>
                <w:sz w:val="21"/>
                <w:szCs w:val="21"/>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 Report</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80" w:type="dxa"/>
            <w:vAlign w:val="bottom"/>
            <w:tcBorders>
              <w:top w:val="single" w:sz="8" w:color="auto"/>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1F497D"/>
              </w:rPr>
              <w:t>PROPOSAL 4: ADVISORY VOTE TO APPROVE THE COMPENSATION OF THE NAMED EXECUTIVE OFFICERS</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80" w:type="dxa"/>
            <w:vAlign w:val="bottom"/>
            <w:tcBorders>
              <w:top w:val="single" w:sz="8" w:color="1F497D"/>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60" w:type="dxa"/>
            <w:vAlign w:val="bottom"/>
            <w:tcBorders>
              <w:top w:val="single" w:sz="8" w:color="1F497D"/>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1F497D"/>
              </w:rPr>
              <w:t>EXECUTIVE COMPENSATION</w:t>
            </w:r>
          </w:p>
        </w:tc>
        <w:tc>
          <w:tcPr>
            <w:tcW w:w="480" w:type="dxa"/>
            <w:vAlign w:val="bottom"/>
          </w:tcPr>
          <w:p>
            <w:pPr>
              <w:spacing w:after="0"/>
              <w:rPr>
                <w:sz w:val="15"/>
                <w:szCs w:val="15"/>
                <w:color w:val="auto"/>
              </w:rPr>
            </w:pPr>
          </w:p>
        </w:tc>
        <w:tc>
          <w:tcPr>
            <w:tcW w:w="180" w:type="dxa"/>
            <w:vAlign w:val="bottom"/>
            <w:tcBorders>
              <w:bottom w:val="single" w:sz="8" w:color="1F497D"/>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w w:val="88"/>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0560" w:type="dxa"/>
            <w:vAlign w:val="bottom"/>
            <w:tcBorders>
              <w:bottom w:val="single" w:sz="8" w:color="1F497D"/>
            </w:tcBorders>
          </w:tcPr>
          <w:p>
            <w:pPr>
              <w:spacing w:after="0"/>
              <w:rPr>
                <w:sz w:val="6"/>
                <w:szCs w:val="6"/>
                <w:color w:val="auto"/>
              </w:rPr>
            </w:pPr>
          </w:p>
        </w:tc>
        <w:tc>
          <w:tcPr>
            <w:tcW w:w="4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Compensation Discussion and Analysis</w:t>
            </w:r>
          </w:p>
        </w:tc>
        <w:tc>
          <w:tcPr>
            <w:tcW w:w="480" w:type="dxa"/>
            <w:vAlign w:val="bottom"/>
          </w:tcPr>
          <w:p>
            <w:pPr>
              <w:spacing w:after="0"/>
              <w:rPr>
                <w:sz w:val="15"/>
                <w:szCs w:val="15"/>
                <w:color w:val="auto"/>
              </w:rPr>
            </w:pPr>
          </w:p>
        </w:tc>
        <w:tc>
          <w:tcPr>
            <w:tcW w:w="180" w:type="dxa"/>
            <w:vAlign w:val="bottom"/>
            <w:tcBorders>
              <w:bottom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Nominating and Corporate Governance Committee Report</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Grants of Plan-Based Awards</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Equity Awards at 2023 Fiscal Year-End</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Exercises and Stock Vested</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Pension Benefits</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Nonqualified Deferred Compensation</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 Payments Upon Termination or Change in Control</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 Pay Ratio</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 Versus Performance</w:t>
            </w:r>
          </w:p>
        </w:tc>
        <w:tc>
          <w:tcPr>
            <w:tcW w:w="480" w:type="dxa"/>
            <w:vAlign w:val="bottom"/>
          </w:tcPr>
          <w:p>
            <w:pPr>
              <w:spacing w:after="0"/>
              <w:rPr>
                <w:sz w:val="20"/>
                <w:szCs w:val="20"/>
                <w:color w:val="auto"/>
              </w:rPr>
            </w:pPr>
          </w:p>
        </w:tc>
        <w:tc>
          <w:tcPr>
            <w:tcW w:w="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88"/>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Compensation Plan Information</w:t>
            </w:r>
          </w:p>
        </w:tc>
        <w:tc>
          <w:tcPr>
            <w:tcW w:w="6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80" w:type="dxa"/>
            <w:vAlign w:val="bottom"/>
            <w:tcBorders>
              <w:top w:val="single" w:sz="8" w:color="auto"/>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1F497D"/>
              </w:rPr>
              <w:t>SECURITY OWNERSHIP OF CERTAIN BENEFICIAL OWNERS AND MANAGEMENT</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80" w:type="dxa"/>
            <w:vAlign w:val="bottom"/>
            <w:tcBorders>
              <w:top w:val="single" w:sz="8" w:color="1F497D"/>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60" w:type="dxa"/>
            <w:vAlign w:val="bottom"/>
            <w:tcBorders>
              <w:top w:val="single" w:sz="8" w:color="1F497D"/>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1F497D"/>
              </w:rPr>
              <w:t>CERTAIN RELATIONSHIPS AND RELATED PERSON TRANSACTIONS</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80" w:type="dxa"/>
            <w:vAlign w:val="bottom"/>
            <w:tcBorders>
              <w:top w:val="single" w:sz="8" w:color="1F497D"/>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60" w:type="dxa"/>
            <w:vAlign w:val="bottom"/>
            <w:tcBorders>
              <w:top w:val="single" w:sz="8" w:color="1F497D"/>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1F497D"/>
              </w:rPr>
              <w:t>QUESTIONS AND ANSWERS ABOUT THE ANNUAL MEETING</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80" w:type="dxa"/>
            <w:vAlign w:val="bottom"/>
            <w:tcBorders>
              <w:top w:val="single" w:sz="8" w:color="1F497D"/>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60" w:type="dxa"/>
            <w:vAlign w:val="bottom"/>
            <w:tcBorders>
              <w:top w:val="single" w:sz="8" w:color="1F497D"/>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Availability of Form 10-K</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80" w:type="dxa"/>
            <w:vAlign w:val="bottom"/>
            <w:tcBorders>
              <w:top w:val="single" w:sz="8" w:color="auto"/>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Incorporation by Reference</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80" w:type="dxa"/>
            <w:vAlign w:val="bottom"/>
            <w:tcBorders>
              <w:top w:val="single" w:sz="8" w:color="auto"/>
              <w:bottom w:val="single" w:sz="8" w:color="1F497D"/>
            </w:tcBorders>
          </w:tcPr>
          <w:p>
            <w:pPr>
              <w:spacing w:after="0"/>
              <w:rPr>
                <w:sz w:val="4"/>
                <w:szCs w:val="4"/>
                <w:color w:val="auto"/>
              </w:rPr>
            </w:pPr>
          </w:p>
        </w:tc>
        <w:tc>
          <w:tcPr>
            <w:tcW w:w="20" w:type="dxa"/>
            <w:vAlign w:val="bottom"/>
            <w:tcBorders>
              <w:top w:val="single" w:sz="8" w:color="auto"/>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1F497D"/>
              </w:rPr>
              <w:t>APPENDIX A - RECONCILIATION OF NON-GAAP FINANCIAL MEASURES</w:t>
            </w:r>
          </w:p>
        </w:tc>
        <w:tc>
          <w:tcPr>
            <w:tcW w:w="66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1F497D"/>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560" w:type="dxa"/>
            <w:vAlign w:val="bottom"/>
            <w:tcBorders>
              <w:bottom w:val="single" w:sz="8" w:color="1F497D"/>
            </w:tcBorders>
          </w:tcPr>
          <w:p>
            <w:pPr>
              <w:spacing w:after="0"/>
              <w:rPr>
                <w:sz w:val="4"/>
                <w:szCs w:val="4"/>
                <w:color w:val="auto"/>
              </w:rPr>
            </w:pPr>
          </w:p>
        </w:tc>
        <w:tc>
          <w:tcPr>
            <w:tcW w:w="480" w:type="dxa"/>
            <w:vAlign w:val="bottom"/>
            <w:tcBorders>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80" w:type="dxa"/>
            <w:vAlign w:val="bottom"/>
            <w:tcBorders>
              <w:top w:val="single" w:sz="8" w:color="1F497D"/>
              <w:bottom w:val="single" w:sz="8" w:color="1F497D"/>
            </w:tcBorders>
          </w:tcPr>
          <w:p>
            <w:pPr>
              <w:spacing w:after="0"/>
              <w:rPr>
                <w:sz w:val="4"/>
                <w:szCs w:val="4"/>
                <w:color w:val="auto"/>
              </w:rPr>
            </w:pPr>
          </w:p>
        </w:tc>
        <w:tc>
          <w:tcPr>
            <w:tcW w:w="20" w:type="dxa"/>
            <w:vAlign w:val="bottom"/>
            <w:tcBorders>
              <w:top w:val="single" w:sz="8" w:color="1F497D"/>
              <w:bottom w:val="single" w:sz="8" w:color="1F497D"/>
            </w:tcBorders>
          </w:tcPr>
          <w:p>
            <w:pPr>
              <w:spacing w:after="0"/>
              <w:rPr>
                <w:sz w:val="4"/>
                <w:szCs w:val="4"/>
                <w:color w:val="auto"/>
              </w:rPr>
            </w:pPr>
          </w:p>
        </w:tc>
        <w:tc>
          <w:tcPr>
            <w:tcW w:w="60" w:type="dxa"/>
            <w:vAlign w:val="bottom"/>
            <w:tcBorders>
              <w:top w:val="single" w:sz="8" w:color="1F497D"/>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statements included in this Proxy Statement regarding future performance and results, expectations, plans, strategies, priorities, commitments and other statements that are not historical facts are forward-looking statements within the meaning of the federal securities laws. Forward-looking statements are based upon current beliefs, expectations and assumptions and are subject to significant risks, uncertainties and changes in circumstances that could cause actual results to differ materially from the forward-looking statements. A detailed discussion of risks and uncertainties that could cause actual results and events to differ materially from such forward-looking statements is included in the section titled “Risk Factors” in our Annual Report on Form 10-K for the year ended December 31, 2023. Readers of this Proxy Statement are cautioned not to place undue reliance on these forward-looking statements, since there can be no assurance that these forward-looking statements will prove to be accurate.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F497D"/>
        </w:rPr>
        <w:t>PROXY STATEMENT SUMMARY</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(the “Board of Directors” or “Board”) has made this Proxy Statement and related materials available to you on the internet, or at your request has delivered printed versions to you by mail, in connection with the Board of Directors’ solicitation of proxies for our 2024 Annual Meeting of Stockholders (the “Annual Meeting”), to be held on Wednesday, April 24, 2024, at 5:00 p.m. Central Time, in a virtual meeting format only, and any adjournment of the Annual Meeting. If you requested printed versions of these materials by mail, they will also include a proxy card for the Annual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are providing access to our proxy materials over the internet. Accordingly, we are sending a Notice of Internet Availability of Proxy Materials (the “Notice”) to our stockholders of record and beneficial owners as of the record date of March 1, 2024. The mailing of the Notice to our stockholders is scheduled to begin on or about March 12,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It does not contain all of the information you should consider, and we urge you to read the entire Proxy Statement, as well as our 2023 Annual Report, before voting.</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INTERNET AVAILABILITY OF PROXY MATERIALS FOR THE ANNUAL STOCKHOLDERS MEETING TO BE HELD ON APRIL 24, 2024: </w:t>
      </w:r>
      <w:r>
        <w:rPr>
          <w:rFonts w:ascii="Times New Roman" w:cs="Times New Roman" w:eastAsia="Times New Roman" w:hAnsi="Times New Roman"/>
          <w:sz w:val="18"/>
          <w:szCs w:val="18"/>
          <w:b w:val="1"/>
          <w:bCs w:val="1"/>
          <w:i w:val="1"/>
          <w:iCs w:val="1"/>
          <w:color w:val="auto"/>
        </w:rPr>
        <w:t>This Proxy Statement and our 2023 Annual Report to Stockholders are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MATTERS AND BOARD RECOMMENDATION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Voting Matter</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0" w:type="dxa"/>
            <w:vAlign w:val="bottom"/>
          </w:tcPr>
          <w:p>
            <w:pPr>
              <w:spacing w:after="0"/>
              <w:rPr>
                <w:sz w:val="1"/>
                <w:szCs w:val="1"/>
                <w:color w:val="auto"/>
              </w:rPr>
            </w:pPr>
          </w:p>
        </w:tc>
      </w:tr>
      <w:tr>
        <w:trPr>
          <w:trHeight w:val="232"/>
        </w:trPr>
        <w:tc>
          <w:tcPr>
            <w:tcW w:w="8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Proposal 1: Election of three directors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each nominee</w:t>
            </w:r>
          </w:p>
        </w:tc>
        <w:tc>
          <w:tcPr>
            <w:tcW w:w="0" w:type="dxa"/>
            <w:vAlign w:val="bottom"/>
          </w:tcPr>
          <w:p>
            <w:pPr>
              <w:spacing w:after="0"/>
              <w:rPr>
                <w:sz w:val="1"/>
                <w:szCs w:val="1"/>
                <w:color w:val="auto"/>
              </w:rPr>
            </w:pPr>
          </w:p>
        </w:tc>
      </w:tr>
      <w:tr>
        <w:trPr>
          <w:trHeight w:val="113"/>
        </w:trPr>
        <w:tc>
          <w:tcPr>
            <w:tcW w:w="85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85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Proposal 2: To approve an amendment to our Amended and Restated Certificate of Incorporation to allow for</w:t>
            </w:r>
          </w:p>
        </w:tc>
        <w:tc>
          <w:tcPr>
            <w:tcW w:w="272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140"/>
        </w:trPr>
        <w:tc>
          <w:tcPr>
            <w:tcW w:w="8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exculpation of officers as permitted by Delaware law</w:t>
            </w:r>
          </w:p>
        </w:tc>
        <w:tc>
          <w:tcPr>
            <w:tcW w:w="2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520" w:type="dxa"/>
            <w:vAlign w:val="bottom"/>
            <w:vMerge w:val="continue"/>
            <w:shd w:val="clear" w:color="auto" w:fill="CCEEFF"/>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8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Proposal 3: To ratify the appointment of PricewaterhouseCoopers LLP as our independent registered public</w:t>
            </w:r>
          </w:p>
        </w:tc>
        <w:tc>
          <w:tcPr>
            <w:tcW w:w="27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140"/>
        </w:trPr>
        <w:tc>
          <w:tcPr>
            <w:tcW w:w="8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accounting firm for the year ending December 31, 2024</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52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5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Proposal 4: To approve, on an advisory basis, the 2023 compensation of our named executive officers</w:t>
            </w:r>
          </w:p>
        </w:tc>
        <w:tc>
          <w:tcPr>
            <w:tcW w:w="27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7"/>
        </w:trPr>
        <w:tc>
          <w:tcPr>
            <w:tcW w:w="85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NOMINEES AND CONTINUING DIRECTORS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20" w:type="dxa"/>
            <w:vAlign w:val="bottom"/>
            <w:gridSpan w:val="2"/>
            <w:vMerge w:val="restart"/>
          </w:tcPr>
          <w:p>
            <w:pPr>
              <w:ind w:left="160"/>
              <w:spacing w:after="0" w:line="161" w:lineRule="exact"/>
              <w:rPr>
                <w:sz w:val="20"/>
                <w:szCs w:val="20"/>
                <w:color w:val="auto"/>
              </w:rPr>
            </w:pPr>
            <w:r>
              <w:rPr>
                <w:rFonts w:ascii="Times New Roman" w:cs="Times New Roman" w:eastAsia="Times New Roman" w:hAnsi="Times New Roman"/>
                <w:sz w:val="14"/>
                <w:szCs w:val="14"/>
                <w:b w:val="1"/>
                <w:bCs w:val="1"/>
                <w:color w:val="auto"/>
              </w:rPr>
              <w:t>Age</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418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CNG Committee</w:t>
            </w:r>
          </w:p>
        </w:tc>
        <w:tc>
          <w:tcPr>
            <w:tcW w:w="0" w:type="dxa"/>
            <w:vAlign w:val="bottom"/>
          </w:tcPr>
          <w:p>
            <w:pPr>
              <w:spacing w:after="0"/>
              <w:rPr>
                <w:sz w:val="1"/>
                <w:szCs w:val="1"/>
                <w:color w:val="auto"/>
              </w:rPr>
            </w:pPr>
          </w:p>
        </w:tc>
      </w:tr>
      <w:tr>
        <w:trPr>
          <w:trHeight w:val="199"/>
        </w:trPr>
        <w:tc>
          <w:tcPr>
            <w:tcW w:w="14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18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Greg Cole</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tcBorders>
              <w:top w:val="single" w:sz="8" w:color="CCEEFF"/>
            </w:tcBorders>
            <w:shd w:val="clear" w:color="auto" w:fill="CCEEFF"/>
          </w:tcPr>
          <w:p>
            <w:pPr>
              <w:spacing w:after="0"/>
              <w:rPr>
                <w:sz w:val="17"/>
                <w:szCs w:val="17"/>
                <w:color w:val="auto"/>
              </w:rPr>
            </w:pPr>
          </w:p>
        </w:tc>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Executive, Rank</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20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Helen Golding</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tcPr>
          <w:p>
            <w:pPr>
              <w:spacing w:after="0"/>
              <w:rPr>
                <w:sz w:val="17"/>
                <w:szCs w:val="17"/>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Group Legal Counsel, Rank</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Marla Gottschalk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Former Chief Executive Officer, The Pampered Chef</w:t>
            </w:r>
          </w:p>
        </w:tc>
        <w:tc>
          <w:tcPr>
            <w:tcW w:w="1320" w:type="dxa"/>
            <w:vAlign w:val="bottom"/>
            <w:gridSpan w:val="2"/>
            <w:shd w:val="clear" w:color="auto" w:fill="CCEEFF"/>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Chair</w:t>
            </w: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Allen Hugli</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6"/>
                <w:szCs w:val="16"/>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Rank</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Christine</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Impact &amp; Sustainability Officer,</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Montenegro</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shd w:val="clear" w:color="auto" w:fill="CCEEFF"/>
          </w:tcPr>
          <w:p>
            <w:pPr>
              <w:spacing w:after="0"/>
              <w:rPr>
                <w:sz w:val="12"/>
                <w:szCs w:val="12"/>
                <w:color w:val="auto"/>
              </w:rPr>
            </w:pPr>
          </w:p>
        </w:tc>
        <w:tc>
          <w:tcPr>
            <w:tcW w:w="4180" w:type="dxa"/>
            <w:vAlign w:val="bottom"/>
            <w:gridSpan w:val="2"/>
            <w:vMerge w:val="continue"/>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gridSpan w:val="2"/>
            <w:vMerge w:val="restart"/>
            <w:shd w:val="clear" w:color="auto" w:fill="CCEEFF"/>
          </w:tcPr>
          <w:p>
            <w:pPr>
              <w:jc w:val="center"/>
              <w:ind w:right="140"/>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McGrath</w:t>
            </w:r>
          </w:p>
        </w:tc>
        <w:tc>
          <w:tcPr>
            <w:tcW w:w="6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Mondelez International</w:t>
            </w:r>
          </w:p>
        </w:tc>
        <w:tc>
          <w:tcPr>
            <w:tcW w:w="1320" w:type="dxa"/>
            <w:vAlign w:val="bottom"/>
            <w:gridSpan w:val="2"/>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Lance Mitchell</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tcPr>
          <w:p>
            <w:pPr>
              <w:spacing w:after="0"/>
              <w:rPr>
                <w:sz w:val="16"/>
                <w:szCs w:val="16"/>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 Reynolds Consumer Products</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2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Richard Noll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²</w:t>
            </w:r>
            <w:r>
              <w:rPr>
                <w:rFonts w:ascii="MS PGothic" w:cs="MS PGothic" w:eastAsia="MS PGothic" w:hAnsi="MS PGothic"/>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Former Chief Executive Officer, Hanesbrands Inc.</w:t>
            </w:r>
          </w:p>
        </w:tc>
        <w:tc>
          <w:tcPr>
            <w:tcW w:w="1320" w:type="dxa"/>
            <w:vAlign w:val="bottom"/>
            <w:gridSpan w:val="2"/>
            <w:shd w:val="clear" w:color="auto" w:fill="CCEEFF"/>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Ann Ziegler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2"/>
                <w:szCs w:val="12"/>
                <w:color w:val="auto"/>
              </w:rPr>
            </w:pPr>
          </w:p>
        </w:tc>
        <w:tc>
          <w:tcPr>
            <w:tcW w:w="41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Former Senior Vice President and Chief Financial Officer, CDW</w:t>
            </w:r>
          </w:p>
        </w:tc>
        <w:tc>
          <w:tcPr>
            <w:tcW w:w="1320" w:type="dxa"/>
            <w:vAlign w:val="bottom"/>
            <w:gridSpan w:val="2"/>
            <w:vMerge w:val="restart"/>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gridSpan w:val="2"/>
            <w:vMerge w:val="restart"/>
          </w:tcPr>
          <w:p>
            <w:pPr>
              <w:jc w:val="center"/>
              <w:ind w:right="140"/>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Corporation</w:t>
            </w:r>
          </w:p>
        </w:tc>
        <w:tc>
          <w:tcPr>
            <w:tcW w:w="132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-1429385</wp:posOffset>
            </wp:positionV>
            <wp:extent cx="94615" cy="74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30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1, 2024</w:t>
      </w:r>
    </w:p>
    <w:p>
      <w:pPr>
        <w:spacing w:after="0" w:line="22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 (as of March 1, 2024)</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self-identified characteristics of our directors, utilizing the categories and terms set forth in applicable Nasdaq rules and related guidance.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3"/>
        </w:trPr>
        <w:tc>
          <w:tcPr>
            <w:tcW w:w="7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Female</w:t>
            </w: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Male</w:t>
            </w:r>
          </w:p>
        </w:tc>
      </w:tr>
      <w:tr>
        <w:trPr>
          <w:trHeight w:val="210"/>
        </w:trPr>
        <w:tc>
          <w:tcPr>
            <w:tcW w:w="8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3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Directors</w:t>
            </w:r>
          </w:p>
        </w:tc>
        <w:tc>
          <w:tcPr>
            <w:tcW w:w="13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19"/>
                <w:szCs w:val="19"/>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9"/>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Hispanic or Latinx</w:t>
            </w:r>
          </w:p>
        </w:tc>
        <w:tc>
          <w:tcPr>
            <w:tcW w:w="13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19"/>
                <w:szCs w:val="19"/>
                <w:color w:val="auto"/>
              </w:rPr>
            </w:pPr>
          </w:p>
        </w:tc>
      </w:tr>
      <w:tr>
        <w:trPr>
          <w:trHeight w:val="230"/>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White</w:t>
            </w:r>
          </w:p>
        </w:tc>
        <w:tc>
          <w:tcPr>
            <w:tcW w:w="13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GOVERNANCE HIGHLIGHTS</w:t>
      </w:r>
    </w:p>
    <w:p>
      <w:pPr>
        <w:spacing w:after="0" w:line="21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Chairman of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Diverse Board with effective mix of skills, experiences and perspectives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8 Board members are female; 1 Board member is racially diverse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hold executive sessions without management present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class voting structure (one share, one vote)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applicable to all employees, officers and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Board and Audit Committee oversight of cybersecurity and other risk management matters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oversight of environmental, social and governance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oversight of health and safety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management engagement with potential and existing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BEST PRACTICES</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annually evaluate all elements of executive officers’ pay to ensure alignment with performance objectives, market best practices and stockholder interests. The following summarizes our compensation practices.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ind w:left="940" w:right="300" w:hanging="676"/>
        <w:spacing w:after="0" w:line="182" w:lineRule="auto"/>
        <w:tabs>
          <w:tab w:leader="none" w:pos="940" w:val="left"/>
        </w:tabs>
        <w:numPr>
          <w:ilvl w:val="0"/>
          <w:numId w:val="8"/>
        </w:numPr>
        <w:rPr>
          <w:rFonts w:ascii="MS PGothic" w:cs="MS PGothic" w:eastAsia="MS PGothic" w:hAnsi="MS PGothic"/>
          <w:sz w:val="35"/>
          <w:szCs w:val="35"/>
          <w:color w:val="auto"/>
          <w:vertAlign w:val="subscript"/>
        </w:rPr>
      </w:pPr>
      <w:r>
        <w:rPr>
          <w:rFonts w:ascii="Times New Roman" w:cs="Times New Roman" w:eastAsia="Times New Roman" w:hAnsi="Times New Roman"/>
          <w:sz w:val="18"/>
          <w:szCs w:val="18"/>
          <w:color w:val="auto"/>
        </w:rPr>
        <w:t>Pay for performance by providing the majority of senior executive compensation in the form of variable cash incentives and equity awards tied to meeting performance goals</w:t>
      </w:r>
    </w:p>
    <w:p>
      <w:pPr>
        <w:ind w:left="940" w:hanging="676"/>
        <w:spacing w:after="0"/>
        <w:tabs>
          <w:tab w:leader="none" w:pos="9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Establish challenging performance goals in incentive plans</w:t>
      </w:r>
    </w:p>
    <w:p>
      <w:pPr>
        <w:spacing w:after="0" w:line="37" w:lineRule="exact"/>
        <w:rPr>
          <w:rFonts w:ascii="MS PGothic" w:cs="MS PGothic" w:eastAsia="MS PGothic" w:hAnsi="MS PGothic"/>
          <w:sz w:val="18"/>
          <w:szCs w:val="18"/>
          <w:color w:val="auto"/>
        </w:rPr>
      </w:pPr>
    </w:p>
    <w:p>
      <w:pPr>
        <w:ind w:left="940" w:hanging="676"/>
        <w:spacing w:after="0"/>
        <w:tabs>
          <w:tab w:leader="none" w:pos="9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non-competition agreement for equity award eligibility</w:t>
      </w:r>
    </w:p>
    <w:p>
      <w:pPr>
        <w:spacing w:after="0" w:line="22" w:lineRule="exact"/>
        <w:rPr>
          <w:rFonts w:ascii="MS PGothic" w:cs="MS PGothic" w:eastAsia="MS PGothic" w:hAnsi="MS PGothic"/>
          <w:sz w:val="18"/>
          <w:szCs w:val="18"/>
          <w:color w:val="auto"/>
        </w:rPr>
      </w:pPr>
    </w:p>
    <w:p>
      <w:pPr>
        <w:ind w:left="940" w:hanging="676"/>
        <w:spacing w:after="0"/>
        <w:tabs>
          <w:tab w:leader="none" w:pos="9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limited executive perquisites</w:t>
      </w:r>
    </w:p>
    <w:p>
      <w:pPr>
        <w:spacing w:after="0" w:line="22" w:lineRule="exact"/>
        <w:rPr>
          <w:rFonts w:ascii="MS PGothic" w:cs="MS PGothic" w:eastAsia="MS PGothic" w:hAnsi="MS PGothic"/>
          <w:sz w:val="18"/>
          <w:szCs w:val="18"/>
          <w:color w:val="auto"/>
        </w:rPr>
      </w:pPr>
    </w:p>
    <w:p>
      <w:pPr>
        <w:ind w:left="940" w:right="120" w:hanging="676"/>
        <w:spacing w:after="0" w:line="180" w:lineRule="auto"/>
        <w:tabs>
          <w:tab w:leader="none" w:pos="940" w:val="left"/>
        </w:tabs>
        <w:numPr>
          <w:ilvl w:val="0"/>
          <w:numId w:val="8"/>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Discourage excessive risk-taking and encourage long-term decision-making with our compensation programs, in alignment with the interests of our shareholders</w:t>
      </w:r>
    </w:p>
    <w:p>
      <w:pPr>
        <w:spacing w:after="0" w:line="1" w:lineRule="exact"/>
        <w:rPr>
          <w:rFonts w:ascii="MS PGothic" w:cs="MS PGothic" w:eastAsia="MS PGothic" w:hAnsi="MS PGothic"/>
          <w:sz w:val="34"/>
          <w:szCs w:val="34"/>
          <w:color w:val="auto"/>
          <w:vertAlign w:val="subscript"/>
        </w:rPr>
      </w:pPr>
    </w:p>
    <w:p>
      <w:pPr>
        <w:ind w:left="940" w:hanging="676"/>
        <w:spacing w:after="0"/>
        <w:tabs>
          <w:tab w:leader="none" w:pos="9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Review executive compensation levels and practices relative to our peer group and relevant survey data</w:t>
      </w:r>
    </w:p>
    <w:p>
      <w:pPr>
        <w:spacing w:after="0" w:line="37" w:lineRule="exact"/>
        <w:rPr>
          <w:rFonts w:ascii="MS PGothic" w:cs="MS PGothic" w:eastAsia="MS PGothic" w:hAnsi="MS PGothic"/>
          <w:sz w:val="18"/>
          <w:szCs w:val="18"/>
          <w:color w:val="auto"/>
        </w:rPr>
      </w:pPr>
    </w:p>
    <w:p>
      <w:pPr>
        <w:ind w:left="940" w:hanging="676"/>
        <w:spacing w:after="0"/>
        <w:tabs>
          <w:tab w:leader="none" w:pos="9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an outside independent compensation consultant engaged directly by the CNG Committee to advise on executive compensation matters</w:t>
      </w:r>
    </w:p>
    <w:p>
      <w:pPr>
        <w:spacing w:after="0" w:line="22" w:lineRule="exact"/>
        <w:rPr>
          <w:rFonts w:ascii="MS PGothic" w:cs="MS PGothic" w:eastAsia="MS PGothic" w:hAnsi="MS PGothic"/>
          <w:sz w:val="18"/>
          <w:szCs w:val="18"/>
          <w:color w:val="auto"/>
        </w:rPr>
      </w:pPr>
    </w:p>
    <w:p>
      <w:pPr>
        <w:ind w:left="940" w:hanging="676"/>
        <w:spacing w:after="0"/>
        <w:tabs>
          <w:tab w:leader="none" w:pos="9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Subject executives’ cash and equity-based incentive compensation to clawback</w:t>
      </w:r>
    </w:p>
    <w:p>
      <w:pPr>
        <w:spacing w:after="0" w:line="22" w:lineRule="exact"/>
        <w:rPr>
          <w:rFonts w:ascii="MS PGothic" w:cs="MS PGothic" w:eastAsia="MS PGothic" w:hAnsi="MS PGothic"/>
          <w:sz w:val="18"/>
          <w:szCs w:val="18"/>
          <w:color w:val="auto"/>
        </w:rPr>
      </w:pPr>
    </w:p>
    <w:p>
      <w:pPr>
        <w:ind w:left="940" w:hanging="676"/>
        <w:spacing w:after="0"/>
        <w:tabs>
          <w:tab w:leader="none" w:pos="9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stock ownership guidelines for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-1134745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940" w:hanging="666"/>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automatic salary increases for our executives in their employment agreements</w:t>
      </w:r>
    </w:p>
    <w:p>
      <w:pPr>
        <w:spacing w:after="0" w:line="27" w:lineRule="exact"/>
        <w:rPr>
          <w:rFonts w:ascii="Times New Roman" w:cs="Times New Roman" w:eastAsia="Times New Roman" w:hAnsi="Times New Roman"/>
          <w:sz w:val="18"/>
          <w:szCs w:val="18"/>
          <w:color w:val="auto"/>
        </w:rPr>
      </w:pPr>
    </w:p>
    <w:p>
      <w:pPr>
        <w:ind w:left="940" w:hanging="666"/>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supplemental executive retirement plans for our executives</w:t>
      </w:r>
    </w:p>
    <w:p>
      <w:pPr>
        <w:spacing w:after="0" w:line="22" w:lineRule="exact"/>
        <w:rPr>
          <w:rFonts w:ascii="Times New Roman" w:cs="Times New Roman" w:eastAsia="Times New Roman" w:hAnsi="Times New Roman"/>
          <w:sz w:val="18"/>
          <w:szCs w:val="18"/>
          <w:color w:val="auto"/>
        </w:rPr>
      </w:pPr>
    </w:p>
    <w:p>
      <w:pPr>
        <w:ind w:left="940" w:hanging="666"/>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unearned performance-based equity awards</w:t>
      </w:r>
    </w:p>
    <w:p>
      <w:pPr>
        <w:spacing w:after="0" w:line="22" w:lineRule="exact"/>
        <w:rPr>
          <w:rFonts w:ascii="Times New Roman" w:cs="Times New Roman" w:eastAsia="Times New Roman" w:hAnsi="Times New Roman"/>
          <w:sz w:val="18"/>
          <w:szCs w:val="18"/>
          <w:color w:val="auto"/>
        </w:rPr>
      </w:pPr>
    </w:p>
    <w:p>
      <w:pPr>
        <w:ind w:left="940" w:hanging="666"/>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excise tax gross-ups</w:t>
      </w:r>
    </w:p>
    <w:p>
      <w:pPr>
        <w:spacing w:after="0" w:line="22" w:lineRule="exact"/>
        <w:rPr>
          <w:rFonts w:ascii="Times New Roman" w:cs="Times New Roman" w:eastAsia="Times New Roman" w:hAnsi="Times New Roman"/>
          <w:sz w:val="18"/>
          <w:szCs w:val="18"/>
          <w:color w:val="auto"/>
        </w:rPr>
      </w:pPr>
    </w:p>
    <w:p>
      <w:pPr>
        <w:ind w:left="940" w:hanging="666"/>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hedging or pledging of company securities</w:t>
      </w:r>
    </w:p>
    <w:p>
      <w:pPr>
        <w:spacing w:after="0" w:line="22" w:lineRule="exact"/>
        <w:rPr>
          <w:rFonts w:ascii="Times New Roman" w:cs="Times New Roman" w:eastAsia="Times New Roman" w:hAnsi="Times New Roman"/>
          <w:sz w:val="18"/>
          <w:szCs w:val="18"/>
          <w:color w:val="auto"/>
        </w:rPr>
      </w:pPr>
    </w:p>
    <w:p>
      <w:pPr>
        <w:ind w:left="940" w:hanging="666"/>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or exchange underwater stock options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F497D"/>
        </w:rPr>
        <w:t>PROPOSAL 1: ELECTION OF DIRECTORS</w:t>
      </w:r>
    </w:p>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presently comprised of eight directors, divided into three classes serving staggered three-year terms. The term of the Class I directors expires at our 2024 Annual Meeting of Stockholders, the term of the Class II directors expires at our 2025 Annual Meeting of Stockholders, and the term of the Class III directors expires at our 2026 Annual Meeting of Stockholders. The current members of each class of directors are as follows:</w:t>
      </w:r>
    </w:p>
    <w:p>
      <w:pPr>
        <w:spacing w:after="0" w:line="19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Class I directors: Helen Golding, Allen Hugli and Christine Montenegro McGrath</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Class II directors: Gregory Cole and Ann Ziegler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Class III directors: Marla Gottschalk, Lance Mitchell and Richard Noll</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a Stockholders Agreement (the “Stockholders Agreement”) with Packaging Finance Limited (“PFL”) which, among other things, provides that PFL has the right to nominate all of our directors so long as the Hart Entities (as defined in the Stockholders Agreement) beneficially own at least 50% of the outstanding shares of our common stock; a majority of our directors so long as they own at least 40% of our stock; and at least one director so long as they own at least 10% of our stock. Currently, PFL has the right to nominate all of our directors, and all of our directors were nominated by, and may be removed by, PFL. Based on the recommendation of the Compensation, Nominating and Corporate Governance Committee (the “CNG Committee”) and designated by PFL, the Board has nominated Helen Golding, Allen Hugli and Christine Montenegro McGrath for election as directors at the 2024 Annual Meeting, to serve until the 2027 annual meeting of stockholders.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Proxies cannot be voted for a greater number of persons than three, the number of nominees named in this Proxy Statement. We expect each nominee for election as a director will be able to serve if elected. If any nominee is not able to serve, proxies will be voted in favor of the remainder of those nominated and may be voted for substitute nominees.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Set forth below is biographical information as of March 1, 2024, for the nominees and each person whose term of office as a director will continue after the Annual Meeting. There are no family relationships among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0070C0"/>
        </w:rPr>
        <w:t>Gregory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60</w:t>
      </w:r>
    </w:p>
    <w:p>
      <w:pPr>
        <w:spacing w:after="0" w:line="5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October 2019</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Class II</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Committees:</w:t>
      </w:r>
    </w:p>
    <w:p>
      <w:pPr>
        <w:spacing w:after="0" w:line="50" w:lineRule="exact"/>
        <w:rPr>
          <w:sz w:val="20"/>
          <w:szCs w:val="20"/>
          <w:color w:val="auto"/>
        </w:rPr>
      </w:pPr>
    </w:p>
    <w:p>
      <w:pPr>
        <w:ind w:left="3360" w:hanging="310"/>
        <w:spacing w:after="0"/>
        <w:tabs>
          <w:tab w:leader="none" w:pos="3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Nominating and Corporate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-93345</wp:posOffset>
            </wp:positionV>
            <wp:extent cx="1200150" cy="617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86" w:lineRule="exact"/>
        <w:rPr>
          <w:sz w:val="20"/>
          <w:szCs w:val="20"/>
          <w:color w:val="auto"/>
        </w:rPr>
      </w:pPr>
    </w:p>
    <w:p>
      <w:pPr>
        <w:jc w:val="both"/>
        <w:ind w:left="2720"/>
        <w:spacing w:after="0" w:line="261" w:lineRule="auto"/>
        <w:rPr>
          <w:sz w:val="20"/>
          <w:szCs w:val="20"/>
          <w:color w:val="auto"/>
        </w:rPr>
      </w:pPr>
      <w:r>
        <w:rPr>
          <w:rFonts w:ascii="Times New Roman" w:cs="Times New Roman" w:eastAsia="Times New Roman" w:hAnsi="Times New Roman"/>
          <w:sz w:val="18"/>
          <w:szCs w:val="18"/>
          <w:color w:val="auto"/>
        </w:rPr>
        <w:t>Mr. Cole currently serves as a senior executive and a director of Rank Group Limited (“Rank” or “Rank Group”) and a director of other entities owned by Mr. Graeme Hart. He has been a senior executive of Rank since 2004. He is a director of our controlling shareholder, PFL. From 1994 to 2004, Mr. Cole was a partner with Deloitte Touche Tohmatsu, which he joined in 1986. Mr. Cole received a Bachelor of Commerce from the University of Auckland.</w:t>
      </w:r>
    </w:p>
    <w:p>
      <w:pPr>
        <w:spacing w:after="0" w:line="200" w:lineRule="exact"/>
        <w:rPr>
          <w:sz w:val="20"/>
          <w:szCs w:val="20"/>
          <w:color w:val="auto"/>
        </w:rPr>
      </w:pPr>
    </w:p>
    <w:p>
      <w:pPr>
        <w:spacing w:after="0" w:line="223" w:lineRule="exact"/>
        <w:rPr>
          <w:sz w:val="20"/>
          <w:szCs w:val="20"/>
          <w:color w:val="auto"/>
        </w:rPr>
      </w:pPr>
    </w:p>
    <w:p>
      <w:pPr>
        <w:jc w:val="both"/>
        <w:ind w:left="2720"/>
        <w:spacing w:after="0" w:line="282" w:lineRule="auto"/>
        <w:rPr>
          <w:sz w:val="20"/>
          <w:szCs w:val="20"/>
          <w:color w:val="auto"/>
        </w:rPr>
      </w:pPr>
      <w:r>
        <w:rPr>
          <w:rFonts w:ascii="Times New Roman" w:cs="Times New Roman" w:eastAsia="Times New Roman" w:hAnsi="Times New Roman"/>
          <w:sz w:val="18"/>
          <w:szCs w:val="18"/>
          <w:color w:val="auto"/>
        </w:rPr>
        <w:t>Mr. Cole brings to the Board valuable perspective and insight with respect to the Company’s business, industry, challenges, and opportunities as a result of his years serving in a variety of senior executive positions for Rank.</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0070C0"/>
        </w:rPr>
        <w:t>Helen Golding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61</w:t>
      </w:r>
    </w:p>
    <w:p>
      <w:pPr>
        <w:spacing w:after="0" w:line="5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October 2019</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Class I</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Committees:</w:t>
      </w:r>
    </w:p>
    <w:p>
      <w:pPr>
        <w:spacing w:after="0" w:line="50" w:lineRule="exact"/>
        <w:rPr>
          <w:sz w:val="20"/>
          <w:szCs w:val="20"/>
          <w:color w:val="auto"/>
        </w:rPr>
      </w:pPr>
    </w:p>
    <w:p>
      <w:pPr>
        <w:ind w:left="3360" w:hanging="310"/>
        <w:spacing w:after="0"/>
        <w:tabs>
          <w:tab w:leader="none" w:pos="3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1200150" cy="617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86" w:lineRule="exact"/>
        <w:rPr>
          <w:sz w:val="20"/>
          <w:szCs w:val="20"/>
          <w:color w:val="auto"/>
        </w:rPr>
      </w:pPr>
    </w:p>
    <w:p>
      <w:pPr>
        <w:jc w:val="both"/>
        <w:ind w:left="2720"/>
        <w:spacing w:after="0" w:line="256" w:lineRule="auto"/>
        <w:rPr>
          <w:sz w:val="20"/>
          <w:szCs w:val="20"/>
          <w:color w:val="auto"/>
        </w:rPr>
      </w:pPr>
      <w:r>
        <w:rPr>
          <w:rFonts w:ascii="Times New Roman" w:cs="Times New Roman" w:eastAsia="Times New Roman" w:hAnsi="Times New Roman"/>
          <w:sz w:val="18"/>
          <w:szCs w:val="18"/>
          <w:color w:val="auto"/>
        </w:rPr>
        <w:t>Ms. Golding is a director of our controlling shareholder, PFL, and currently serves as Group Legal Counsel and a director of Rank and a director of other entities owned by Mr. Graeme Hart. She has been a senior executive of Rank since 2006. Ms. Golding joined Rank from Burns, Philp &amp; Company Pty Limited where she served as Company Secretary and Group Legal Counsel from 1998 to 2006. Prior to that, she was a private practitioner in a Sydney-based law firm. Ms. Golding received a Bachelor of Economics and Master of Laws from the University of Sydney.</w:t>
      </w:r>
    </w:p>
    <w:p>
      <w:pPr>
        <w:spacing w:after="0" w:line="200" w:lineRule="exact"/>
        <w:rPr>
          <w:sz w:val="20"/>
          <w:szCs w:val="20"/>
          <w:color w:val="auto"/>
        </w:rPr>
      </w:pPr>
    </w:p>
    <w:p>
      <w:pPr>
        <w:spacing w:after="0" w:line="230" w:lineRule="exact"/>
        <w:rPr>
          <w:sz w:val="20"/>
          <w:szCs w:val="20"/>
          <w:color w:val="auto"/>
        </w:rPr>
      </w:pPr>
    </w:p>
    <w:p>
      <w:pPr>
        <w:jc w:val="both"/>
        <w:ind w:left="2720"/>
        <w:spacing w:after="0" w:line="282" w:lineRule="auto"/>
        <w:rPr>
          <w:sz w:val="20"/>
          <w:szCs w:val="20"/>
          <w:color w:val="auto"/>
        </w:rPr>
      </w:pPr>
      <w:r>
        <w:rPr>
          <w:rFonts w:ascii="Times New Roman" w:cs="Times New Roman" w:eastAsia="Times New Roman" w:hAnsi="Times New Roman"/>
          <w:sz w:val="18"/>
          <w:szCs w:val="18"/>
          <w:color w:val="auto"/>
        </w:rPr>
        <w:t>Ms. Golding brings to the Board valuable perspective and insight with respect to the Company’s business, industry, challenges, and opportunities as a result of her years serving as Group Legal Counsel for 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070C0"/>
        </w:rPr>
        <w:t>Marla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63</w:t>
      </w:r>
    </w:p>
    <w:p>
      <w:pPr>
        <w:spacing w:after="0" w:line="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January 2020</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Class III</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Committees:</w:t>
      </w:r>
    </w:p>
    <w:p>
      <w:pPr>
        <w:spacing w:after="0" w:line="50" w:lineRule="exact"/>
        <w:rPr>
          <w:sz w:val="20"/>
          <w:szCs w:val="20"/>
          <w:color w:val="auto"/>
        </w:rPr>
      </w:pPr>
    </w:p>
    <w:p>
      <w:pPr>
        <w:ind w:left="3400" w:hanging="323"/>
        <w:spacing w:after="0"/>
        <w:tabs>
          <w:tab w:leader="none" w:pos="3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w:t>
      </w:r>
    </w:p>
    <w:p>
      <w:pPr>
        <w:spacing w:after="0" w:line="306" w:lineRule="exact"/>
        <w:rPr>
          <w:sz w:val="20"/>
          <w:szCs w:val="20"/>
          <w:color w:val="auto"/>
        </w:rPr>
      </w:pPr>
    </w:p>
    <w:p>
      <w:pPr>
        <w:jc w:val="both"/>
        <w:ind w:left="2760"/>
        <w:spacing w:after="0" w:line="253" w:lineRule="auto"/>
        <w:rPr>
          <w:sz w:val="20"/>
          <w:szCs w:val="20"/>
          <w:color w:val="auto"/>
        </w:rPr>
      </w:pPr>
      <w:r>
        <w:rPr>
          <w:rFonts w:ascii="Times New Roman" w:cs="Times New Roman" w:eastAsia="Times New Roman" w:hAnsi="Times New Roman"/>
          <w:sz w:val="18"/>
          <w:szCs w:val="18"/>
          <w:color w:val="auto"/>
        </w:rPr>
        <w:t>Ms. Gottschalk served as the Chief Executive Officer of The Pampered Chef Ltd. from 2006 to 2013 and as President and Chief Operating Officer from 2003 to 2006. Ms. Gottschalk joined Pampered Chef from Kraft Foods, Inc., where she worked for 14 years in various management positions, including as Senior Vice President of Financial Planning and Investor Relations for Kraft, Executive Vice President and General Manager of Post Cereal Division and Vice President of Marketing and Strategy of the Kraft Cheese Division. Ms. Gottschalk is currently a member of the board of directors of Big Lots, Inc., where she serves as the chair of the audit committee and as a member of the compensation committee and nominating and governance committee. She also serves on the board of directors for US Foods Holding Corp. where she serves on the audit committee and nominating and governance committee. She also serves as a member of the board of directors of UL Inc., where she chairs the nominating and governance committee and is a member of the human capital and compensation committee. Ms. Gottschalk previously served as a director of Potbelly Corporation from 2009 to 2022. Ms. Gottschalk received a B.S. in Business from Indiana University and a Masters in Management Studies from Northwestern University’s J.L. Kellogg Graduate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-1471930</wp:posOffset>
            </wp:positionV>
            <wp:extent cx="1200150" cy="617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2760"/>
        <w:spacing w:after="0" w:line="282" w:lineRule="auto"/>
        <w:rPr>
          <w:sz w:val="20"/>
          <w:szCs w:val="20"/>
          <w:color w:val="auto"/>
        </w:rPr>
      </w:pPr>
      <w:r>
        <w:rPr>
          <w:rFonts w:ascii="Times New Roman" w:cs="Times New Roman" w:eastAsia="Times New Roman" w:hAnsi="Times New Roman"/>
          <w:sz w:val="18"/>
          <w:szCs w:val="18"/>
          <w:color w:val="auto"/>
        </w:rPr>
        <w:t>Ms. Gottschalk brings to the Board qualifications that include her extensive experience with global companies, her expertise in the consumer products industry and her years of experience in operations and strategic management.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070C0"/>
        </w:rPr>
        <w:t>Allen Hugli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61</w:t>
      </w:r>
    </w:p>
    <w:p>
      <w:pPr>
        <w:spacing w:after="0" w:line="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March 2021</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Class I</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Committees: </w:t>
      </w:r>
      <w:r>
        <w:rPr>
          <w:rFonts w:ascii="Times New Roman" w:cs="Times New Roman" w:eastAsia="Times New Roman" w:hAnsi="Times New Roman"/>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200150" cy="617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73" w:lineRule="exact"/>
        <w:rPr>
          <w:sz w:val="20"/>
          <w:szCs w:val="20"/>
          <w:color w:val="auto"/>
        </w:rPr>
      </w:pPr>
    </w:p>
    <w:p>
      <w:pPr>
        <w:jc w:val="both"/>
        <w:ind w:left="2760"/>
        <w:spacing w:after="0" w:line="256" w:lineRule="auto"/>
        <w:rPr>
          <w:sz w:val="20"/>
          <w:szCs w:val="20"/>
          <w:color w:val="auto"/>
        </w:rPr>
      </w:pPr>
      <w:r>
        <w:rPr>
          <w:rFonts w:ascii="Times New Roman" w:cs="Times New Roman" w:eastAsia="Times New Roman" w:hAnsi="Times New Roman"/>
          <w:sz w:val="18"/>
          <w:szCs w:val="18"/>
          <w:color w:val="auto"/>
        </w:rPr>
        <w:t>Mr. Hugli is a director of our controlling shareholder, PFL, and currently serves as Chief Financial Officer and a director of Rank, a director of Pactiv Evergreen Inc. (“PEI”) where he also served as the Chief Financial Officer from 2009 to 2020, and a director of other entities owned by Mr. Graeme Hart. He has been a senior executive of Rank since 1993. Mr. Hugli previously held positions in financial management and audit practices in Australia, Canada and New Zealand. Mr. Hugli received a Bachelor of Commerce (Honours) from Queen’s University at Kingston. Mr. Hugli holds a CPA CA designation from the Chartered Professional Accountants of Canada.</w:t>
      </w:r>
    </w:p>
    <w:p>
      <w:pPr>
        <w:spacing w:after="0" w:line="200" w:lineRule="exact"/>
        <w:rPr>
          <w:sz w:val="20"/>
          <w:szCs w:val="20"/>
          <w:color w:val="auto"/>
        </w:rPr>
      </w:pPr>
    </w:p>
    <w:p>
      <w:pPr>
        <w:spacing w:after="0" w:line="230" w:lineRule="exact"/>
        <w:rPr>
          <w:sz w:val="20"/>
          <w:szCs w:val="20"/>
          <w:color w:val="auto"/>
        </w:rPr>
      </w:pPr>
    </w:p>
    <w:p>
      <w:pPr>
        <w:jc w:val="both"/>
        <w:ind w:left="2760"/>
        <w:spacing w:after="0" w:line="282" w:lineRule="auto"/>
        <w:rPr>
          <w:sz w:val="20"/>
          <w:szCs w:val="20"/>
          <w:color w:val="auto"/>
        </w:rPr>
      </w:pPr>
      <w:r>
        <w:rPr>
          <w:rFonts w:ascii="Times New Roman" w:cs="Times New Roman" w:eastAsia="Times New Roman" w:hAnsi="Times New Roman"/>
          <w:sz w:val="18"/>
          <w:szCs w:val="18"/>
          <w:color w:val="auto"/>
        </w:rPr>
        <w:t>Mr. Hugli brings to the Board valuable perspective and insight with respect to the Company’s business, industry, challenges, and opportunities as a result of his years serving as Chief Financial Officer and a director of 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0070C0"/>
        </w:rPr>
        <w:t>Christine Montenegro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58</w:t>
      </w:r>
    </w:p>
    <w:p>
      <w:pPr>
        <w:spacing w:after="0" w:line="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September 2023</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Class I</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Committees:</w:t>
      </w:r>
    </w:p>
    <w:p>
      <w:pPr>
        <w:spacing w:after="0" w:line="50" w:lineRule="exact"/>
        <w:rPr>
          <w:sz w:val="20"/>
          <w:szCs w:val="20"/>
          <w:color w:val="auto"/>
        </w:rPr>
      </w:pPr>
    </w:p>
    <w:p>
      <w:pPr>
        <w:ind w:left="3400" w:hanging="323"/>
        <w:spacing w:after="0"/>
        <w:tabs>
          <w:tab w:leader="none" w:pos="3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306" w:lineRule="exact"/>
        <w:rPr>
          <w:sz w:val="20"/>
          <w:szCs w:val="20"/>
          <w:color w:val="auto"/>
        </w:rPr>
      </w:pPr>
    </w:p>
    <w:p>
      <w:pPr>
        <w:jc w:val="both"/>
        <w:ind w:left="2760"/>
        <w:spacing w:after="0" w:line="253" w:lineRule="auto"/>
        <w:rPr>
          <w:sz w:val="20"/>
          <w:szCs w:val="20"/>
          <w:color w:val="auto"/>
        </w:rPr>
      </w:pPr>
      <w:r>
        <w:rPr>
          <w:rFonts w:ascii="Times New Roman" w:cs="Times New Roman" w:eastAsia="Times New Roman" w:hAnsi="Times New Roman"/>
          <w:sz w:val="18"/>
          <w:szCs w:val="18"/>
          <w:color w:val="auto"/>
        </w:rPr>
        <w:t>Ms. McGrath has served as Senior Vice President and Chief Impact &amp; Sustainability Officer with Mondelez International since 2021. Prior to her current position, Ms. McGrath served in various other leadership roles at Mondelez since 2012, including more recently Vice President and Chief of Global Impact, Sustainability &amp; Mindful Snacking. Ms. McGrath joined Mondelez from Kraft Foods, Inc., where she worked from 1989 to 2012 in various management positions in brand management, product innovation and corporate initiatives, including serving as Vice President of Global Sustainability and Vice President Latino Centre of Excellence. Prior to this, Ms. McGrath was a Senior Auditor with Arthur Andersen &amp; Co. from 1987 to 1989. Ms. McGrath received her Bachelor of Science, Accounting and Philosophy, from Boston College, School of Management in the Honors Program, and her Master of Management, Marketing and Strategy, from Northwestern University, J.L. Kellogg Graduate School of Management. Ms. McGrath also received an Honorary Doctorate in Business Administration from Boston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-1193165</wp:posOffset>
            </wp:positionV>
            <wp:extent cx="1200150" cy="617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2760"/>
        <w:spacing w:after="0" w:line="266" w:lineRule="auto"/>
        <w:rPr>
          <w:sz w:val="20"/>
          <w:szCs w:val="20"/>
          <w:color w:val="auto"/>
        </w:rPr>
      </w:pPr>
      <w:r>
        <w:rPr>
          <w:rFonts w:ascii="Times New Roman" w:cs="Times New Roman" w:eastAsia="Times New Roman" w:hAnsi="Times New Roman"/>
          <w:sz w:val="18"/>
          <w:szCs w:val="18"/>
          <w:color w:val="auto"/>
        </w:rPr>
        <w:t>Ms. McGrath brings to the Board qualifications in senior leadership positions that include her extensive experience with global companies, expertise in the consumer products industry and years of experience in sustainability and ESG-related corporate governance, reporting and disclosures, as well as marketing and strategic management.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0070C0"/>
        </w:rPr>
        <w:t>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64</w:t>
      </w:r>
    </w:p>
    <w:p>
      <w:pPr>
        <w:spacing w:after="0" w:line="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October 2019</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Class III</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Committees: </w:t>
      </w:r>
      <w:r>
        <w:rPr>
          <w:rFonts w:ascii="Times New Roman" w:cs="Times New Roman" w:eastAsia="Times New Roman" w:hAnsi="Times New Roman"/>
          <w:sz w:val="18"/>
          <w:szCs w:val="18"/>
          <w:color w:val="000000"/>
        </w:rPr>
        <w:t>None</w:t>
      </w:r>
    </w:p>
    <w:p>
      <w:pPr>
        <w:spacing w:after="0" w:line="293" w:lineRule="exact"/>
        <w:rPr>
          <w:sz w:val="20"/>
          <w:szCs w:val="20"/>
          <w:color w:val="auto"/>
        </w:rPr>
      </w:pPr>
    </w:p>
    <w:p>
      <w:pPr>
        <w:jc w:val="both"/>
        <w:ind w:left="2760"/>
        <w:spacing w:after="0" w:line="256" w:lineRule="auto"/>
        <w:rPr>
          <w:sz w:val="20"/>
          <w:szCs w:val="20"/>
          <w:color w:val="auto"/>
        </w:rPr>
      </w:pPr>
      <w:r>
        <w:rPr>
          <w:rFonts w:ascii="Times New Roman" w:cs="Times New Roman" w:eastAsia="Times New Roman" w:hAnsi="Times New Roman"/>
          <w:sz w:val="18"/>
          <w:szCs w:val="18"/>
          <w:color w:val="auto"/>
        </w:rPr>
        <w:t>Mr. Mitchell has served as the Company’s President and Chief Executive Officer since 2011 and as a member of the Company’s Board of Directors since October 2019. From 2005 to 2011, Mr. Mitchell served as President of Closure Systems International (part of PEI and its subsidiaries (“PEI Group”) from 2008 to 2019). Mr. Mitchell commenced his career in sales and marketing at Owens Corning, progressed to General Management positions at Avery Dennison and Goodrich followed by executive management positions at PolyOne and Alcoa before joining PEI Group in 2008. Mr. Mitchell received a B.S. in Business from Bowling Green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-837565</wp:posOffset>
            </wp:positionV>
            <wp:extent cx="1200150" cy="617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2760"/>
        <w:spacing w:after="0" w:line="266" w:lineRule="auto"/>
        <w:rPr>
          <w:sz w:val="20"/>
          <w:szCs w:val="20"/>
          <w:color w:val="auto"/>
        </w:rPr>
      </w:pPr>
      <w:r>
        <w:rPr>
          <w:rFonts w:ascii="Times New Roman" w:cs="Times New Roman" w:eastAsia="Times New Roman" w:hAnsi="Times New Roman"/>
          <w:sz w:val="18"/>
          <w:szCs w:val="18"/>
          <w:color w:val="auto"/>
        </w:rPr>
        <w:t>Mr. Mitchell brings to the Board valuable perspective and insight with respect to the business, industry, challenges, and opportunities as a result of his years serving as the senior executive officer of the Company. Mr. Mitchell also represents management’s perspective on important matters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070C0"/>
        </w:rPr>
        <w:t>Richard 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66</w:t>
      </w:r>
    </w:p>
    <w:p>
      <w:pPr>
        <w:spacing w:after="0" w:line="5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January 2020</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Non-Executive Chairman of the Board Since: </w:t>
      </w:r>
      <w:r>
        <w:rPr>
          <w:rFonts w:ascii="Times New Roman" w:cs="Times New Roman" w:eastAsia="Times New Roman" w:hAnsi="Times New Roman"/>
          <w:sz w:val="18"/>
          <w:szCs w:val="18"/>
          <w:color w:val="000000"/>
        </w:rPr>
        <w:t>January 2020</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Class III</w:t>
      </w:r>
    </w:p>
    <w:p>
      <w:pPr>
        <w:spacing w:after="0" w:line="5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Committees:</w:t>
      </w:r>
    </w:p>
    <w:p>
      <w:pPr>
        <w:spacing w:after="0" w:line="63" w:lineRule="exact"/>
        <w:rPr>
          <w:sz w:val="20"/>
          <w:szCs w:val="20"/>
          <w:color w:val="auto"/>
        </w:rPr>
      </w:pPr>
    </w:p>
    <w:p>
      <w:pPr>
        <w:ind w:left="3400" w:hanging="323"/>
        <w:spacing w:after="0"/>
        <w:tabs>
          <w:tab w:leader="none" w:pos="3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Nominating and Corporate Governance Committee</w:t>
      </w:r>
    </w:p>
    <w:p>
      <w:pPr>
        <w:spacing w:after="0" w:line="306" w:lineRule="exact"/>
        <w:rPr>
          <w:sz w:val="20"/>
          <w:szCs w:val="20"/>
          <w:color w:val="auto"/>
        </w:rPr>
      </w:pPr>
    </w:p>
    <w:p>
      <w:pPr>
        <w:jc w:val="both"/>
        <w:ind w:left="2760"/>
        <w:spacing w:after="0" w:line="253" w:lineRule="auto"/>
        <w:rPr>
          <w:sz w:val="20"/>
          <w:szCs w:val="20"/>
          <w:color w:val="auto"/>
        </w:rPr>
      </w:pPr>
      <w:r>
        <w:rPr>
          <w:rFonts w:ascii="Times New Roman" w:cs="Times New Roman" w:eastAsia="Times New Roman" w:hAnsi="Times New Roman"/>
          <w:sz w:val="18"/>
          <w:szCs w:val="18"/>
          <w:color w:val="auto"/>
        </w:rPr>
        <w:t>Mr. Noll served as Chairman of the Board of Directors of Hanesbrands Inc. from 2009 to 2019 and Chief Executive Officer from 2006 to 2016. Mr. Noll joined Hanesbrands Inc. from Sara Lee Corporation where he worked for 14 years in various management positions, including President and Chief Operating Officer of Branded Apparel and Chief Executive Officer and Chief Operating Officer of Sara Lee Bakery Group, and led the turnarounds of several Sara Lee Corporation bakery and apparel businesses. Within the past five years, Mr. Noll served as a member of the board of directors of Carter’s Inc., where he served as a member of its compensation committee from 2019 to 2021 and as a member of the board of directors of Jack Creek Investment Corp. from 2021 to January 2023, where he served as a member of its audit committee, which he chaired beginning in 2022. Mr. Noll previously served as a member of the board of directors of Neighbor Inc. from 2020 to January 2024 and as a director of Fresh Market Inc. from 2011 to 2016. Mr. Noll received a B.A. in Business Administration from Pennsylvania State University and an M.B.A. from Carnegie Mellon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-1348740</wp:posOffset>
            </wp:positionV>
            <wp:extent cx="1200150" cy="617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2760"/>
        <w:spacing w:after="0" w:line="266" w:lineRule="auto"/>
        <w:rPr>
          <w:sz w:val="20"/>
          <w:szCs w:val="20"/>
          <w:color w:val="auto"/>
        </w:rPr>
      </w:pPr>
      <w:r>
        <w:rPr>
          <w:rFonts w:ascii="Times New Roman" w:cs="Times New Roman" w:eastAsia="Times New Roman" w:hAnsi="Times New Roman"/>
          <w:sz w:val="18"/>
          <w:szCs w:val="18"/>
          <w:color w:val="auto"/>
        </w:rPr>
        <w:t>Mr. Noll brings to the Board broad experience with business issues applicable to the success of a publicly-traded company, including a controlled company, and the consumer packaged goods industry after his experience and holding senior leadership positions at Hanesbrands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0070C0"/>
        </w:rPr>
        <w:t>Ann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0070C0"/>
        </w:rPr>
        <w:t xml:space="preserve">Age: </w:t>
      </w:r>
      <w:r>
        <w:rPr>
          <w:rFonts w:ascii="Times New Roman" w:cs="Times New Roman" w:eastAsia="Times New Roman" w:hAnsi="Times New Roman"/>
          <w:sz w:val="18"/>
          <w:szCs w:val="18"/>
          <w:color w:val="000000"/>
        </w:rPr>
        <w:t>65</w:t>
      </w:r>
    </w:p>
    <w:p>
      <w:pPr>
        <w:spacing w:after="0" w:line="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 xml:space="preserve">Director Since: </w:t>
      </w:r>
      <w:r>
        <w:rPr>
          <w:rFonts w:ascii="Times New Roman" w:cs="Times New Roman" w:eastAsia="Times New Roman" w:hAnsi="Times New Roman"/>
          <w:sz w:val="18"/>
          <w:szCs w:val="18"/>
          <w:color w:val="000000"/>
        </w:rPr>
        <w:t>September 2020</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Class II</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0070C0"/>
        </w:rPr>
        <w:t>Committees:</w:t>
      </w:r>
    </w:p>
    <w:p>
      <w:pPr>
        <w:spacing w:after="0" w:line="50" w:lineRule="exact"/>
        <w:rPr>
          <w:sz w:val="20"/>
          <w:szCs w:val="20"/>
          <w:color w:val="auto"/>
        </w:rPr>
      </w:pPr>
    </w:p>
    <w:p>
      <w:pPr>
        <w:ind w:left="3400" w:hanging="323"/>
        <w:spacing w:after="0"/>
        <w:tabs>
          <w:tab w:leader="none" w:pos="3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306" w:lineRule="exact"/>
        <w:rPr>
          <w:sz w:val="20"/>
          <w:szCs w:val="20"/>
          <w:color w:val="auto"/>
        </w:rPr>
      </w:pPr>
    </w:p>
    <w:p>
      <w:pPr>
        <w:jc w:val="both"/>
        <w:ind w:left="2760"/>
        <w:spacing w:after="0" w:line="253" w:lineRule="auto"/>
        <w:rPr>
          <w:sz w:val="20"/>
          <w:szCs w:val="20"/>
          <w:color w:val="auto"/>
        </w:rPr>
      </w:pPr>
      <w:r>
        <w:rPr>
          <w:rFonts w:ascii="Times New Roman" w:cs="Times New Roman" w:eastAsia="Times New Roman" w:hAnsi="Times New Roman"/>
          <w:sz w:val="18"/>
          <w:szCs w:val="18"/>
          <w:color w:val="auto"/>
        </w:rPr>
        <w:t>Ms. Ziegler served as Senior Vice President and Chief Financial Officer of CDW Corporation, a technology solutions provider, from 2008 to 2017. From 2005 to 2008, Ms. Ziegler served as Chief Financial Officer and Senior Vice President, Administration of Sara Lee Food &amp; Beverage, a division of Sara Lee Corporation, a global consumer goods company. From 2003 to 2005, Ms. Ziegler served as Chief Financial Officer and Senior Vice President, Administration of Sara Lee Bakery Group. From 1993 to 2003, Ms. Ziegler served in various corporate development and legal positions at Sara Lee. Prior to joining Sara Lee, Ms. Ziegler was a corporate attorney at the law firm of Skadden, Arps, Slate, Meagher &amp; Flom. Ms. Ziegler is currently a member of the board of directors of US Foods Holding Corp. and Wolters Kluwer. During the past five years, Ms. Ziegler also served on the board of directors of Groupon, Inc. and Hanesbrands, Inc. Ms. Ziegler received a B.A. in Economics and Government from The College of William and Mary and a J.D. from University of Chicago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-1193165</wp:posOffset>
            </wp:positionV>
            <wp:extent cx="1200150" cy="617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0" cy="6172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2760"/>
        <w:spacing w:after="0" w:line="266" w:lineRule="auto"/>
        <w:rPr>
          <w:sz w:val="20"/>
          <w:szCs w:val="20"/>
          <w:color w:val="auto"/>
        </w:rPr>
      </w:pPr>
      <w:r>
        <w:rPr>
          <w:rFonts w:ascii="Times New Roman" w:cs="Times New Roman" w:eastAsia="Times New Roman" w:hAnsi="Times New Roman"/>
          <w:sz w:val="18"/>
          <w:szCs w:val="18"/>
          <w:color w:val="auto"/>
        </w:rPr>
        <w:t>Ms. Ziegler brings to the Board experience in senior leadership positions with companies in the consumer products industry, including with corporate risk management issues, and preparing or overseeing the preparation of financial statements. She has experience in corporate governance through service as a director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the directors nominated by the Board of Directors.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that stockholders vote FOR the election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three director nominees, Helen Golding, Allen Hugli and Christine Montenegro McGrath.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F497D"/>
        </w:rPr>
        <w:t>CORPORATE GOVERNANCE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“controlled company” under the rules of the Nasdaq Stock Market LLC (“Nasdaq”). As a result, we qualify for exemptions from, and have elected not to comply with, certain corporate governance requirements under the rules, including the requirements that we have a Board that is composed of a majority of “independent directors,” as defined under the Nasdaq rules, and a compensation and nominating committee that is composed entirely of independent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though we are a controlled company, we are required to comply with the rules of the SEC and Nasdaq relating to the membership, qualifications and operations of the Audit Committee. All members of the Audit Committee are independent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Gottschalk, Ms. McGrath, Mr. Noll and Ms. Ziegler are independent directors under Nasdaq rules. In making such independence determination, the Board of Directors considered the relationships that each such non-employee director has with our Company and all other facts and circumstances that the Board of Directors deemed relevant in determining their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positions of our Chairman of the Board and Chief Executive Officer are presently separated. Separating these positions allows our Chief Executive Officer to focus on our day-to-day business, while allowing the Chairman of the Board to lead the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Although our Bylaws and Corporate Governance Guidelines do not require our Chairman of the Board and Chief Executive Officer positions to be separate, our Board of Directors believes that having separate positions is the appropriate leadership structure for the Company at this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shareholder or other interested party may submit a written communication to the Board of Directors by sending it to the Board in care of Corporate Secretary at Reynolds Consumer Products, 1900 West Field Court, Lake Forest, IL 60045 Attention: Corporate Secretary. The Corporate Secretary will send copies of all communications to the Chairman and Chief Executive Officer and, when appropriate, to all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Selecting and Nominating Director Candidates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CNG Committee Charter provides that the CNG Committee shall:</w:t>
      </w:r>
    </w:p>
    <w:p>
      <w:pPr>
        <w:spacing w:after="0" w:line="225"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qualifications, qualities, skills and other expertise required to be a director and develop, and recommend to the Board for its approval, criteria to be considered in selecting nominees for director (the “Director Criteria”).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current composition, organization and governance of the Board and make appropriate recommendations on such matters to the Board for approval, consistent with the Director Criteria.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for, identify, evaluate and recommend for selection by the Board candidates for membership on the Board, including in the case of newly-created positions or vacancies on the Board and review any candidates that are recommended by stockholders in compliance with the Company’s certificate of incorporation, bylaws and stockholder nomination and recommendation policies and procedures, applicable law and any applicable stockholders agreement. In making its recommendations for Board and committee membership, the Committee shall:</w:t>
      </w:r>
    </w:p>
    <w:p>
      <w:pPr>
        <w:spacing w:after="0" w:line="1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review candidates’ qualifications for membership on the Board or a committee of the Board based on the Director Criteria;</w:t>
      </w:r>
    </w:p>
    <w:p>
      <w:pPr>
        <w:spacing w:after="0" w:line="169" w:lineRule="exact"/>
        <w:rPr>
          <w:rFonts w:ascii="Courier New" w:cs="Courier New" w:eastAsia="Courier New" w:hAnsi="Courier New"/>
          <w:sz w:val="18"/>
          <w:szCs w:val="18"/>
          <w:color w:val="auto"/>
        </w:rPr>
      </w:pPr>
    </w:p>
    <w:p>
      <w:pPr>
        <w:ind w:left="1300" w:hanging="320"/>
        <w:spacing w:after="0" w:line="280" w:lineRule="auto"/>
        <w:tabs>
          <w:tab w:leader="none" w:pos="1297"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 any other factors that are set forth in the Company’s Corporate Governance Guidelines or are deemed appropriate by the CNG Committee or the Board;</w:t>
      </w:r>
    </w:p>
    <w:p>
      <w:pPr>
        <w:spacing w:after="0" w:line="106" w:lineRule="exact"/>
        <w:rPr>
          <w:rFonts w:ascii="Courier New" w:cs="Courier New" w:eastAsia="Courier New" w:hAnsi="Courier New"/>
          <w:sz w:val="18"/>
          <w:szCs w:val="18"/>
          <w:color w:val="auto"/>
        </w:rPr>
      </w:pPr>
    </w:p>
    <w:p>
      <w:pPr>
        <w:ind w:left="1300" w:hanging="320"/>
        <w:spacing w:after="0"/>
        <w:tabs>
          <w:tab w:leader="none" w:pos="130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assess the performance of current directors being evaluated for renomination to the Board; and</w:t>
      </w:r>
    </w:p>
    <w:p>
      <w:pPr>
        <w:spacing w:after="0" w:line="169" w:lineRule="exact"/>
        <w:rPr>
          <w:rFonts w:ascii="Courier New" w:cs="Courier New" w:eastAsia="Courier New" w:hAnsi="Courier New"/>
          <w:sz w:val="18"/>
          <w:szCs w:val="18"/>
          <w:color w:val="auto"/>
        </w:rPr>
      </w:pPr>
    </w:p>
    <w:p>
      <w:pPr>
        <w:ind w:left="1300" w:hanging="320"/>
        <w:spacing w:after="0" w:line="280" w:lineRule="auto"/>
        <w:tabs>
          <w:tab w:leader="none" w:pos="1324"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periodically review, as appropriate, the service of all directors on the boards of other public companies with consideration to the substantial time commitment required of directors and make such recommendations to the Board as it may deem advisable.</w:t>
      </w:r>
    </w:p>
    <w:p>
      <w:pPr>
        <w:spacing w:after="0" w:line="160" w:lineRule="exact"/>
        <w:rPr>
          <w:rFonts w:ascii="Courier New" w:cs="Courier New" w:eastAsia="Courier New" w:hAnsi="Courier New"/>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for selection by the Board the director nominees (by class, if the Board is classified at the time of the recommendation), to stand for election to the Board by the stockholders at any meeting of stockholders at which directors are to be elected.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Board’s leadership structure, including the separation of the chair of the Board and Chief Executive Officer roles and/or appointment of a lead independent director of the Board, either permanently or for specific purposes, and make such recommendations with respect thereto as the CNG Committee deems appropriate.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review periodically the Company’s policies and procedures for considering stockholder nominees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individual members of the Board and, if appropriate, recommend termination of membership of individual directors for cause or for other appropriate reasons.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“independence” of directors and director nominees against the independence requirements of Nasdaq and the Exchange Act, and the regulations promulgated thereunder.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Stockholders Agreement between the Company and PFL, PFL has the right to nominate all of our directors so long as the Hart Entities (as defined in the Stockholders Agreement) beneficially own at least 50% of the outstanding shares of our common stock; a majority of our directors so long as they own at least 40% of our stock; and at least one director so long as they own at least 10% of our stock. Currently, PFL has the right to nominate all of our directors, and all of our directors were nominated by, and may be removed by, PFL.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Bylaws include provisions for nomination and election of directors at the annual meeting of stockholders and requirements for director nominees.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CNG Committee will consider director candidates recommended by stockholders in the same manner that it considers all director candidates. Stockholders who wish to suggest qualified candidates should write to Reynolds Consumer Products, 1900 West Field Court, Lake Forest, IL 60045 Attention: Corporate Secretary. Any such recommendation should include a description of the candidate’s qualifications for board service; the candidate’s written consent to be considered for nomination and to serve if nominated and elected; and addresses and telephone numbers for contacting the stockholder and the candidate for more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held six meetings during 2023. The independent directors regularly hold executive sessions at meetings of the Board of Directors. During 2023, each of the directors then in office attended at least 75% of the aggregate of all meetings of the Board of Directors and all meetings of the committees of the Board of Directors on which such director then served. Directors are encouraged to attend the annual meetings of stockholders of the Company, as provided in our Corporate Governance Guidelines. All of our directors who were directors at the time of our 2023 annual meeting of stockholders attended that meeting.</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2023, our Board of Directors had two standing committees: the Audit Committee and the CNG Committee. The following sets forth a summary of the responsibilities of each of the committees and the membership of each of our committees as of March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our Audit Committee are Ms. Gottschalk (Chair), Ms. McGrath and Ms. Ziegler. The composition of our Audit Committee meets the requirements for independence under the current Nasdaq listing standards and SEC rules and regulations. Each member of our Audit Committee is financially literate. In addition, our Board of Directors has determined that Ms. Gottschalk is an “Audit Committee financial expert” as defined in Item 407(d)(5)(ii) of Regulation S-K promulgated under the Securities Act of 1933, as amended (the “Securities Act”).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187" w:lineRule="exact"/>
        <w:rPr>
          <w:sz w:val="20"/>
          <w:szCs w:val="20"/>
          <w:color w:val="auto"/>
        </w:rPr>
      </w:pPr>
    </w:p>
    <w:p>
      <w:pPr>
        <w:ind w:left="680" w:hanging="31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public accounting firm to audit our financial statements;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225" w:lineRule="exact"/>
        <w:rPr>
          <w:rFonts w:ascii="Times New Roman" w:cs="Times New Roman" w:eastAsia="Times New Roman" w:hAnsi="Times New Roman"/>
          <w:sz w:val="18"/>
          <w:szCs w:val="18"/>
          <w:color w:val="auto"/>
        </w:rPr>
      </w:pPr>
    </w:p>
    <w:p>
      <w:pPr>
        <w:jc w:val="both"/>
        <w:ind w:left="700" w:hanging="332"/>
        <w:spacing w:after="0" w:line="261"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planned scope and timing, and discussing the findings, of the audit with the independent registered public accounting firm, and reviewing, with management and that firm, our interim and year-end operating results, including engaging with that firm to understand the nature of each identified critical audit matter, the basis for identifying a matter as a critical audit matter and how each such identified matter will be described in the firm’s audit report;</w:t>
      </w:r>
    </w:p>
    <w:p>
      <w:pPr>
        <w:spacing w:after="0" w:line="179" w:lineRule="exact"/>
        <w:rPr>
          <w:rFonts w:ascii="Times New Roman" w:cs="Times New Roman" w:eastAsia="Times New Roman" w:hAnsi="Times New Roman"/>
          <w:sz w:val="18"/>
          <w:szCs w:val="18"/>
          <w:color w:val="auto"/>
        </w:rPr>
      </w:pPr>
    </w:p>
    <w:p>
      <w:pPr>
        <w:ind w:left="700" w:right="20" w:hanging="332"/>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any independent registered public accounting firm any climate-related and other environmental disclosures to be made by the Company, including any attestation or other assurance to be provided by such firm;</w:t>
      </w:r>
    </w:p>
    <w:p>
      <w:pPr>
        <w:spacing w:after="0" w:line="161"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auditing matters;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 and internal audit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700" w:hanging="332"/>
        <w:spacing w:after="0" w:line="26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and practices with respect to risk assessment and risk management, and discussing with management major financial risk exposures and the steps that have been taken to monitor and control such exposures, including review of enterprise risk, legal liabilities, cybersecurity related risks and threats, fraud assessments, climate risks and privacy, data security and business continuity risk exposures;</w:t>
      </w:r>
    </w:p>
    <w:p>
      <w:pPr>
        <w:spacing w:after="0" w:line="17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 and those that require disclosure; and</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provided by the independent registered public accounting firm.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held four meetings during 2023. The Audit Committee operates under a written charter approved by the Board, a copy of which is available in the “Investors—Corporate Governance—Documents and Charters” section of our website at </w:t>
      </w:r>
      <w:r>
        <w:rPr>
          <w:rFonts w:ascii="Times New Roman" w:cs="Times New Roman" w:eastAsia="Times New Roman" w:hAnsi="Times New Roman"/>
          <w:sz w:val="18"/>
          <w:szCs w:val="18"/>
          <w:i w:val="1"/>
          <w:iCs w:val="1"/>
          <w:color w:val="auto"/>
        </w:rPr>
        <w:t>www.ReynoldsConsumerProducts.com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our CNG Committee are Mr. Cole (Chair), Ms. Golding and Mr. Noll. Our CNG Committee is responsible for, among other things:</w:t>
      </w:r>
    </w:p>
    <w:p>
      <w:pPr>
        <w:spacing w:after="0" w:line="225" w:lineRule="exact"/>
        <w:rPr>
          <w:sz w:val="20"/>
          <w:szCs w:val="20"/>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or recommending to our Board of Directors for determination, the compensation of our executive officers;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directors;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or making recommendations to our Board of Directors with respect to, incentive compensation and equity plans;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our Board of Directors;</w:t>
      </w:r>
    </w:p>
    <w:p>
      <w:pPr>
        <w:spacing w:after="0" w:line="225"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w:t>
      </w:r>
    </w:p>
    <w:p>
      <w:pPr>
        <w:spacing w:after="0" w:line="225" w:lineRule="exact"/>
        <w:rPr>
          <w:rFonts w:ascii="Times New Roman" w:cs="Times New Roman" w:eastAsia="Times New Roman" w:hAnsi="Times New Roman"/>
          <w:sz w:val="18"/>
          <w:szCs w:val="18"/>
          <w:color w:val="auto"/>
        </w:rPr>
      </w:pPr>
    </w:p>
    <w:p>
      <w:pPr>
        <w:ind w:left="700" w:hanging="332"/>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proposed waivers of the code of conduct for directors and executive officers and making recommendations to our Board of Directors;</w:t>
      </w:r>
    </w:p>
    <w:p>
      <w:pPr>
        <w:spacing w:after="0" w:line="161"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 and</w:t>
      </w:r>
    </w:p>
    <w:p>
      <w:pPr>
        <w:spacing w:after="0" w:line="225" w:lineRule="exact"/>
        <w:rPr>
          <w:rFonts w:ascii="Times New Roman" w:cs="Times New Roman" w:eastAsia="Times New Roman" w:hAnsi="Times New Roman"/>
          <w:sz w:val="18"/>
          <w:szCs w:val="18"/>
          <w:color w:val="auto"/>
        </w:rPr>
      </w:pPr>
    </w:p>
    <w:p>
      <w:pPr>
        <w:ind w:left="700" w:hanging="332"/>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on corporate governance matters, including reviewing stockholder proposals and certain proxy and Form 10-K disclosures related to corporate governance.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CNG Committee held five meetings during 2023. The CNG Committee operates under a written charter approved by the Board, a copy of which is available in the “Investors—Corporate Governance—Documents and Charters” section of our website at </w:t>
      </w:r>
      <w:r>
        <w:rPr>
          <w:rFonts w:ascii="Times New Roman" w:cs="Times New Roman" w:eastAsia="Times New Roman" w:hAnsi="Times New Roman"/>
          <w:sz w:val="18"/>
          <w:szCs w:val="18"/>
          <w:i w:val="1"/>
          <w:iCs w:val="1"/>
          <w:color w:val="auto"/>
        </w:rPr>
        <w:t>www.ReynoldsConsumerProducts.com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Board committees also coordinates oversight of the management of our risk that falls within the committee’s areas of responsibility. In performing this function, each committee has full access to management, as well as the ability to engage advisors. Our Chief Financial Officer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privately with our Chief Financial Officer. In addition, the CNG Committee reviews the Company’s compensation program and risk elements to the Company in connection with the structure of the compensation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Evaluations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conducts an annual Board evaluation process. Per the Board’s direction, the Corporate Secretary prepares self-evaluation questionnaires for each of the Board, the Audit Committee and the CNG Committee. All Board and Committee members complete the evaluations. The Corporate Secretary then compiles the results of the evaluations and provides the compilations to the respective Chairs. During the executive session of their regularly scheduled October meetings, each Chair reviewed the results of the evaluations and the members discussed.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&amp; Governance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recognizes the importance of Environmental, Social &amp; Governance matters to all stakeholders and has reviewed and discussed with the Board the Company’s development of its Environmental, Social &amp; Governance framework. In 2023, the Board appointed Christine Montenegro McGrath to the Board of Directors and appointed her to the Audit Committee. Ms. McGrath brings to the Board extensive experience in sustainability and expertise in the consumer products industry.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provides regular updates to the Board regarding Environmental, Social &amp; Governance matters, and also provides regular updates to Company stakeholders. Additional information about the Company’s Environmental, Social &amp; Governance actions, goals and initiatives is included in our 2023 Annual Report to Stockholders, which is being provided as part of the proxy materials and is available on our corporate website at </w:t>
      </w:r>
      <w:r>
        <w:rPr>
          <w:rFonts w:ascii="Times New Roman" w:cs="Times New Roman" w:eastAsia="Times New Roman" w:hAnsi="Times New Roman"/>
          <w:sz w:val="18"/>
          <w:szCs w:val="18"/>
          <w:i w:val="1"/>
          <w:iCs w:val="1"/>
          <w:color w:val="auto"/>
        </w:rPr>
        <w:t>www.ReynoldsConsumerProducts.com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F497D"/>
        </w:rPr>
        <w:t>DIRECTOR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our directors who are not employees of our company or of Rank Group (the “non-affiliated directors”) (Mr. Noll, Ms. Gottschalk,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McGrath and Ms. Ziegler) received annual retainers and annual equity compensation grants pursuant to the following program:</w:t>
      </w:r>
    </w:p>
    <w:p>
      <w:pPr>
        <w:spacing w:after="0" w:line="124" w:lineRule="exact"/>
        <w:rPr>
          <w:sz w:val="20"/>
          <w:szCs w:val="20"/>
          <w:color w:val="auto"/>
        </w:rPr>
      </w:pPr>
    </w:p>
    <w:p>
      <w:pPr>
        <w:ind w:left="660" w:right="20" w:hanging="328"/>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member</w:t>
      </w:r>
      <w:r>
        <w:rPr>
          <w:rFonts w:ascii="Times New Roman" w:cs="Times New Roman" w:eastAsia="Times New Roman" w:hAnsi="Times New Roman"/>
          <w:sz w:val="18"/>
          <w:szCs w:val="18"/>
          <w:color w:val="auto"/>
        </w:rPr>
        <w:t>: $245,000, of which $100,000 was an annual cash retainer and $145,000 was in the form of an annual grant of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w:t>
      </w:r>
    </w:p>
    <w:p>
      <w:pPr>
        <w:spacing w:after="0" w:line="9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Chairman of the Board</w:t>
      </w:r>
      <w:r>
        <w:rPr>
          <w:rFonts w:ascii="Times New Roman" w:cs="Times New Roman" w:eastAsia="Times New Roman" w:hAnsi="Times New Roman"/>
          <w:sz w:val="18"/>
          <w:szCs w:val="18"/>
          <w:color w:val="auto"/>
        </w:rPr>
        <w:t>: $115,000, of which $50,000 was an annual cash retainer and $65,000 was in the form of an annual grant of RSUs,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the $245,000 in board member payments and grants described above.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Chair of our Audit Committee</w:t>
      </w:r>
      <w:r>
        <w:rPr>
          <w:rFonts w:ascii="Times New Roman" w:cs="Times New Roman" w:eastAsia="Times New Roman" w:hAnsi="Times New Roman"/>
          <w:sz w:val="18"/>
          <w:szCs w:val="18"/>
          <w:color w:val="auto"/>
        </w:rPr>
        <w:t>: $20,000, as an annual cash retainer.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Members of our Audit Committee and our CNG Committee</w:t>
      </w:r>
      <w:r>
        <w:rPr>
          <w:rFonts w:ascii="Times New Roman" w:cs="Times New Roman" w:eastAsia="Times New Roman" w:hAnsi="Times New Roman"/>
          <w:sz w:val="18"/>
          <w:szCs w:val="18"/>
          <w:color w:val="auto"/>
        </w:rPr>
        <w:t>: $10,000, as an annual cash retainer.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RSUs are granted pursuant to the Reynolds Consumer Products Inc. Equity Incentive Plan (the “Equity Incentive Plan”) and the number of RSUs granted is calculated by dividing the applicable dollar value by the closing sale price per share of our common stock on the date of grant. The RSUs granted in 2023 to each of Ms. Gottschalk, Mr. Noll, and Ms. Ziegler were granted on April 26, 2023, the date of our 2023 annual meeting, and will vest in full on the earlier of the first anniversary of the grant date or immediately prior to the following year’s annual meeting of stockholders. The RSUs granted to Ms. McGrath when she was appointed to the Board on September 25, 2023, were in a prorated amount and will vest in full on the first anniversary of the date of grant.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2023, non-affiliated directors were able to elect to defer the settlement of their RSUs for a period of time after the RSUs vest, either upon cessation of their service as a director or a later date following the cessation of their service as a director.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the cash retainer amounts were paid to non-affiliated directors on April 26, 2023, except for Ms. McGrath, who received her retainers in October 2023 in the amount of $26,849 (prorated for the period from September 25, 2023 to December 31, 2023) for serving on the Board and $2,685 (prorated for the period from September 25, 2023 to December 31, 2023) for serving on the Audit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2024, the cash retainer amounts that are paid to non-affiliated directors will be paid in quarterly installments on or about the first day of January, April, July and October rather than in a lump sum payment on the date of the Company’s annual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who are also full-time officers or employees of the Company receive no additional compensation for serving as directors. An individual who is a non-employee director may not receive awards, in cash or otherwise, for any calendar year that total more than $750,000 in the aggregate.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reimburse all of our directors for their reasonable expenses incurred in attending meetings of our Board of Directors or committees, and have entered into Indemnification Agreements with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Stock Ownership Guidelines (the “Guidelines”) applicable to our non-affiliated directors that became effective on July 1, 2023. Under the Guidelines, each non-affiliated director is expected to own shares of our common stock with a value at least equal to five times the annual Board cash retainer (not including any chair or committee retainers). Shares owned directly and indirectly, as well as full-value equity awards (such as RSUs) with only a time-based vesting condition, count toward the ownership level under the Guidelines. Stock options (if any were to be granted by the Company) do not count toward the ownership level under the Guidelines.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applicable ownership level is to be achieved by our directors within the later of July 1, 2028 (five years after the effective date of the Guidelines) or five years following when he or she becomes subject to the Guidelines (such date, the “Compliance Date”). Prior to the first applicable Compliance Date, until a non-affiliated director has satisfied the applicable level of ownership, he or she is required to retain not less than 50% of the net shares received (shares received after any shares are withheld to satisfy applicable withholding taxes) from the vesting or settlement of any equity award granted after the effective date of the Guidelines. As of and following the first applicable Compliance Date, if the applicable level of ownership has not been achieved, or if it has been achieved but a non-affiliated director falls below the applicable level of ownership, he or she will be required to retain 100% of the net shares received from the vesting or settlement of any equity award granted until the applicable level of ownership is achieved.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compensation for each person who served as a member of our Board of Directors during 2023, other than Mr. Mitchell. Mr. Mitchell, who is also our Chief Executive Officer, receives no compensation for his service as a director. The compensation received by Mr. Mitchell as our Chief Executive Officer during 2023 is presented in the Summary Compensation Table. Mr. Cole, Ms. Golding and Mr. Hugli did not receive any compensation for his or her service as a director of ours in 2023, due to the fact that they were serving as officers of Rank Group at the time of payment or grant.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290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160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All Other Compensation</w:t>
            </w: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0" w:type="dxa"/>
            <w:vAlign w:val="bottom"/>
          </w:tcPr>
          <w:p>
            <w:pPr>
              <w:jc w:val="center"/>
              <w:ind w:right="779"/>
              <w:spacing w:after="0" w:line="180" w:lineRule="exact"/>
              <w:rPr>
                <w:sz w:val="20"/>
                <w:szCs w:val="20"/>
                <w:color w:val="auto"/>
              </w:rPr>
            </w:pPr>
            <w:r>
              <w:rPr>
                <w:rFonts w:ascii="Times New Roman" w:cs="Times New Roman" w:eastAsia="Times New Roman" w:hAnsi="Times New Roman"/>
                <w:sz w:val="16"/>
                <w:szCs w:val="16"/>
                <w:b w:val="1"/>
                <w:bCs w:val="1"/>
                <w:color w:val="auto"/>
                <w:w w:val="97"/>
              </w:rPr>
              <w:t>Cash</w:t>
            </w:r>
          </w:p>
        </w:tc>
        <w:tc>
          <w:tcPr>
            <w:tcW w:w="1600" w:type="dxa"/>
            <w:vAlign w:val="bottom"/>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1100" w:type="dxa"/>
            <w:vAlign w:val="bottom"/>
          </w:tcPr>
          <w:p>
            <w:pPr>
              <w:spacing w:after="0"/>
              <w:rPr>
                <w:sz w:val="21"/>
                <w:szCs w:val="21"/>
                <w:color w:val="auto"/>
              </w:rPr>
            </w:pPr>
          </w:p>
        </w:tc>
        <w:tc>
          <w:tcPr>
            <w:tcW w:w="1800" w:type="dxa"/>
            <w:vAlign w:val="bottom"/>
          </w:tcPr>
          <w:p>
            <w:pPr>
              <w:jc w:val="center"/>
              <w:ind w:right="77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0" w:type="dxa"/>
            <w:vAlign w:val="bottom"/>
          </w:tcPr>
          <w:p>
            <w:pPr>
              <w:jc w:val="right"/>
              <w:ind w:right="739"/>
              <w:spacing w:after="0" w:line="184" w:lineRule="exact"/>
              <w:rPr>
                <w:sz w:val="20"/>
                <w:szCs w:val="20"/>
                <w:color w:val="auto"/>
              </w:rPr>
            </w:pPr>
            <w:r>
              <w:rPr>
                <w:rFonts w:ascii="Times New Roman" w:cs="Times New Roman" w:eastAsia="Times New Roman" w:hAnsi="Times New Roman"/>
                <w:sz w:val="16"/>
                <w:szCs w:val="16"/>
                <w:b w:val="1"/>
                <w:bCs w:val="1"/>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¹</w:t>
            </w:r>
            <w:r>
              <w:rPr>
                <w:rFonts w:ascii="MS PGothic" w:cs="MS PGothic" w:eastAsia="MS PGothic" w:hAnsi="MS PGothic"/>
                <w:sz w:val="16"/>
                <w:szCs w:val="16"/>
                <w:color w:val="auto"/>
              </w:rPr>
              <w:t>⁾</w:t>
            </w:r>
          </w:p>
        </w:tc>
        <w:tc>
          <w:tcPr>
            <w:tcW w:w="520" w:type="dxa"/>
            <w:vAlign w:val="bottom"/>
          </w:tcPr>
          <w:p>
            <w:pPr>
              <w:spacing w:after="0"/>
              <w:rPr>
                <w:sz w:val="21"/>
                <w:szCs w:val="21"/>
                <w:color w:val="auto"/>
              </w:rPr>
            </w:pPr>
          </w:p>
        </w:tc>
        <w:tc>
          <w:tcPr>
            <w:tcW w:w="1960" w:type="dxa"/>
            <w:vAlign w:val="bottom"/>
          </w:tcPr>
          <w:p>
            <w:pPr>
              <w:jc w:val="right"/>
              <w:ind w:right="1259"/>
              <w:spacing w:after="0" w:line="184" w:lineRule="exact"/>
              <w:rPr>
                <w:sz w:val="20"/>
                <w:szCs w:val="20"/>
                <w:color w:val="auto"/>
              </w:rPr>
            </w:pPr>
            <w:r>
              <w:rPr>
                <w:rFonts w:ascii="Times New Roman" w:cs="Times New Roman" w:eastAsia="Times New Roman" w:hAnsi="Times New Roman"/>
                <w:sz w:val="16"/>
                <w:szCs w:val="16"/>
                <w:b w:val="1"/>
                <w:bCs w:val="1"/>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²</w:t>
            </w:r>
            <w:r>
              <w:rPr>
                <w:rFonts w:ascii="MS PGothic" w:cs="MS PGothic" w:eastAsia="MS PGothic" w:hAnsi="MS PGothic"/>
                <w:sz w:val="16"/>
                <w:szCs w:val="16"/>
                <w:color w:val="auto"/>
              </w:rPr>
              <w:t>⁾</w:t>
            </w:r>
          </w:p>
        </w:tc>
        <w:tc>
          <w:tcPr>
            <w:tcW w:w="13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Gregory Cole</w:t>
            </w: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Helen Golding</w:t>
            </w:r>
          </w:p>
        </w:tc>
        <w:tc>
          <w:tcPr>
            <w:tcW w:w="110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9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Marla Gottschalk</w:t>
            </w:r>
          </w:p>
        </w:tc>
        <w:tc>
          <w:tcPr>
            <w:tcW w:w="1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120,000</w:t>
            </w: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145,008</w:t>
            </w:r>
          </w:p>
        </w:tc>
        <w:tc>
          <w:tcPr>
            <w:tcW w:w="5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4,008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269,016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Allen Hugli</w:t>
            </w:r>
          </w:p>
        </w:tc>
        <w:tc>
          <w:tcPr>
            <w:tcW w:w="110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9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Christine Montenegro McGrath</w:t>
            </w:r>
          </w:p>
        </w:tc>
        <w:tc>
          <w:tcPr>
            <w:tcW w:w="1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29,534</w:t>
            </w: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85,014</w:t>
            </w:r>
          </w:p>
        </w:tc>
        <w:tc>
          <w:tcPr>
            <w:tcW w:w="5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114,548</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Noll</w:t>
            </w:r>
          </w:p>
        </w:tc>
        <w:tc>
          <w:tcPr>
            <w:tcW w:w="110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170,000</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209,990</w:t>
            </w:r>
          </w:p>
        </w:tc>
        <w:tc>
          <w:tcPr>
            <w:tcW w:w="520" w:type="dxa"/>
            <w:vAlign w:val="bottom"/>
          </w:tcPr>
          <w:p>
            <w:pPr>
              <w:spacing w:after="0"/>
              <w:rPr>
                <w:sz w:val="18"/>
                <w:szCs w:val="18"/>
                <w:color w:val="auto"/>
              </w:rPr>
            </w:pPr>
          </w:p>
        </w:tc>
        <w:tc>
          <w:tcPr>
            <w:tcW w:w="19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6,012</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386,002</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 Ziegler</w:t>
            </w:r>
          </w:p>
        </w:tc>
        <w:tc>
          <w:tcPr>
            <w:tcW w:w="1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110,000</w:t>
            </w: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145,008</w:t>
            </w:r>
          </w:p>
        </w:tc>
        <w:tc>
          <w:tcPr>
            <w:tcW w:w="5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4,008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-1087755</wp:posOffset>
            </wp:positionV>
            <wp:extent cx="100330" cy="80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330" cy="80645"/>
                    </a:xfrm>
                    <a:prstGeom prst="rect">
                      <a:avLst/>
                    </a:prstGeom>
                    <a:noFill/>
                  </pic:spPr>
                </pic:pic>
              </a:graphicData>
            </a:graphic>
          </wp:anchor>
        </w:drawing>
        <w:drawing>
          <wp:anchor simplePos="0" relativeHeight="251657728" behindDoc="1" locked="0" layoutInCell="0" allowOverlap="1">
            <wp:simplePos x="0" y="0"/>
            <wp:positionH relativeFrom="column">
              <wp:posOffset>5262880</wp:posOffset>
            </wp:positionH>
            <wp:positionV relativeFrom="paragraph">
              <wp:posOffset>-1087755</wp:posOffset>
            </wp:positionV>
            <wp:extent cx="100330" cy="80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330" cy="80645"/>
                    </a:xfrm>
                    <a:prstGeom prst="rect">
                      <a:avLst/>
                    </a:prstGeom>
                    <a:noFill/>
                  </pic:spPr>
                </pic:pic>
              </a:graphicData>
            </a:graphic>
          </wp:anchor>
        </w:drawing>
      </w:r>
    </w:p>
    <w:p>
      <w:pPr>
        <w:spacing w:after="0" w:line="304"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unvested RSUs held by each director at December 31, 2023 was: Mr. Cole: zero; Ms. Golding: zero; Ms. Gottschalk: 5,273; Mr. Hugli: zero; Mr. Noll:</w:t>
      </w:r>
    </w:p>
    <w:p>
      <w:pPr>
        <w:spacing w:after="0" w:line="23"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7,636; Ms. McGrath: 3,274; and Ms. Ziegler: 5,273.</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dollar value of dividend equivalents paid in 2023 related to RSUs held by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36"/>
          <w:szCs w:val="36"/>
          <w:b w:val="1"/>
          <w:bCs w:val="1"/>
          <w:color w:val="1F497D"/>
        </w:rPr>
        <w:t>PROPOSAL 2: APPROVAL OF AN AMENDMENT TO OUR AMENDED AND RESTATED CERTIFICATE OF INCORPORATION TO ALLOW FOR EXCULPATION OF OFFICERS AS PERMITTED BY DELAWARE LAW</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unanimously approved and declared advisable, and recommends that our stockholders approve, an amendment to our Amended and Restated Certificate of Incorporation to allow for exculpation of officers as permitted by Delaware law (the “Charter Amendment”).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State of Delaware, which is the Company’s state of incorporation, recently amended Section 102(b)(7) of the Delaware General Corporation Law (the “DGCL”) to authorize Delaware corporations to adopt a provision in their certificate of incorporation to eliminate or limit monetary liability of certain corporate officers for breach of the fiduciary duty of care. Previously, the DGCL allowed only exculpation of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 for purposes of service of process.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102(b)(7) of the DGCL, as amended, only permits, and therefore Charter Amendment would only permit, the exculpation of those certain officers for claims that do not involve breaches of the duty of loyalty, acts or omissions not in good faith or that involve intentional misconduct or a knowing violation of law, or any transaction in which the officer derived an improper personal benefit. In addition, under the Charter Amendment, the exculpation of officers would not apply to claims brought by or in the right of the Company, such as derivative claims.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considering whether to propose the Charter Amendment, the Board considered that the role of an officer (like the role of a director) requires time-sensitive decision-making on critical matters which can create substantial risk of investigations, claims, actions, lawsuits, or proceedings seeking to impose liability on the basis of hindsight, especially in the current litigious environment and regardless of merit. The Board believes the Charter Amendment better aligns the protections available to the Company’s officers with those currently available to the Company’s directors and would avoid the risk of officers being added to direct claims relating to breaches of the duty of care, which can lead to increased litigation and insurance costs. In addition, the Board believes that the Charter Amendment would better position the Company to continue to attract and retain top executive talent by providing protection against the potential exposure to liabilities and costs of defense tied to such claims. For those reasons, and taking into account the limits on the types of claims for which officers’ liability would be exculpated, the Board determined that approval of the Charter Amendment to allow for exculpation of certain of the Company’s officers is advisable and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Text of Proposed Charter Amendment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currently provides for the exculpation of directors and does not include a provision allowing for the exculpation of officers. We propose to amend Section (A), Limited Liability, of Article 8, Indemnification, of our Amended and Restated Certificate of Incorporation so that it would state in its entirety as follows (with additions shown as underlined):</w:t>
      </w:r>
    </w:p>
    <w:p>
      <w:pPr>
        <w:spacing w:after="0" w:line="21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Limited Liability. A director </w:t>
      </w:r>
      <w:r>
        <w:rPr>
          <w:rFonts w:ascii="Times New Roman" w:cs="Times New Roman" w:eastAsia="Times New Roman" w:hAnsi="Times New Roman"/>
          <w:sz w:val="18"/>
          <w:szCs w:val="18"/>
          <w:u w:val="single" w:color="auto"/>
          <w:color w:val="auto"/>
        </w:rPr>
        <w:t>or an officer</w:t>
      </w:r>
      <w:r>
        <w:rPr>
          <w:rFonts w:ascii="Times New Roman" w:cs="Times New Roman" w:eastAsia="Times New Roman" w:hAnsi="Times New Roman"/>
          <w:sz w:val="18"/>
          <w:szCs w:val="18"/>
          <w:color w:val="auto"/>
        </w:rPr>
        <w:t xml:space="preserve"> of the Corporation shall not be </w:t>
      </w:r>
      <w:r>
        <w:rPr>
          <w:rFonts w:ascii="Times New Roman" w:cs="Times New Roman" w:eastAsia="Times New Roman" w:hAnsi="Times New Roman"/>
          <w:sz w:val="18"/>
          <w:szCs w:val="18"/>
          <w:u w:val="single" w:color="auto"/>
          <w:color w:val="auto"/>
        </w:rPr>
        <w:t>personally</w:t>
      </w:r>
      <w:r>
        <w:rPr>
          <w:rFonts w:ascii="Times New Roman" w:cs="Times New Roman" w:eastAsia="Times New Roman" w:hAnsi="Times New Roman"/>
          <w:sz w:val="18"/>
          <w:szCs w:val="18"/>
          <w:color w:val="auto"/>
        </w:rPr>
        <w:t xml:space="preserve"> liable to the Corporation or its stockholders for monetary damages for breach of fiduciary duty as a director </w:t>
      </w:r>
      <w:r>
        <w:rPr>
          <w:rFonts w:ascii="Times New Roman" w:cs="Times New Roman" w:eastAsia="Times New Roman" w:hAnsi="Times New Roman"/>
          <w:sz w:val="18"/>
          <w:szCs w:val="18"/>
          <w:u w:val="single" w:color="auto"/>
          <w:color w:val="auto"/>
        </w:rPr>
        <w:t>or an officer</w:t>
      </w:r>
      <w:r>
        <w:rPr>
          <w:rFonts w:ascii="Times New Roman" w:cs="Times New Roman" w:eastAsia="Times New Roman" w:hAnsi="Times New Roman"/>
          <w:sz w:val="18"/>
          <w:szCs w:val="18"/>
          <w:color w:val="auto"/>
        </w:rPr>
        <w:t xml:space="preserve">, to the fullest extent permitted by Delaware Law </w:t>
      </w:r>
      <w:r>
        <w:rPr>
          <w:rFonts w:ascii="Times New Roman" w:cs="Times New Roman" w:eastAsia="Times New Roman" w:hAnsi="Times New Roman"/>
          <w:sz w:val="18"/>
          <w:szCs w:val="18"/>
          <w:u w:val="single" w:color="auto"/>
          <w:color w:val="auto"/>
        </w:rPr>
        <w:t>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same exists or as may hereafter be amended from time to time.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Effect of the Charter Amendment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replacement of the existing Section (A), Limited Liability, of Article 8, Indemnification by the proposed Section (A), Limited Liability, of Article 8, Indemnification, the remainder of the Amended and Restated Certificate of Incorporation will remain unchanged. If the Charter Amendment is approved by the stockholders, the amendment will become effective upon filing of a Certificate of Amendment to the Amended and Restated Certificate of Incorporation with the Delaware Secretary of State, which the Company anticipates filing promptly following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that stockholders vote FOR approval of the amendment to the Company’s Amended and Restated Certificate of Incorporation to allow for exculpation of officers as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80"/>
        <w:spacing w:after="0" w:line="303" w:lineRule="auto"/>
        <w:rPr>
          <w:sz w:val="20"/>
          <w:szCs w:val="20"/>
          <w:color w:val="auto"/>
        </w:rPr>
      </w:pPr>
      <w:r>
        <w:rPr>
          <w:rFonts w:ascii="Times New Roman" w:cs="Times New Roman" w:eastAsia="Times New Roman" w:hAnsi="Times New Roman"/>
          <w:sz w:val="35"/>
          <w:szCs w:val="35"/>
          <w:b w:val="1"/>
          <w:bCs w:val="1"/>
          <w:color w:val="1F497D"/>
        </w:rPr>
        <w:t>PROPOSAL 3: RATIFICATION OF APPOINTMENT OF INDEPENDENT REGISTERED PUBLIC ACCOUNTING FIRM</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appointed PricewaterhouseCoopers LLP as our independent registered public accounting firm for the year ending December 31, 2024. Our Board of Directors recommends that stockholders vote for ratification of this appointment. If this proposal is not approved at the Annual Meeting, the Audit Committee will reconsider its appointment, but may decide not to appoint a different independent registered public accounting firm. Even if the appointment is ratified, the Audit Committee may, in its discretion, appoint a different independent registered public accounting firm at any time during the year if the Audit Committee determines that such a change would be in our stockholders’ best interests.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PricewaterhouseCoopers LLP has audited our financial statements for each year since 2015. We expect representatives of PricewaterhouseCoopers LLP to be present at the Annual Meeting and available to respond to appropriate questions. They will have the opportunity to make a statement if they desire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5" w:lineRule="exact"/>
        <w:rPr>
          <w:sz w:val="20"/>
          <w:szCs w:val="20"/>
          <w:color w:val="auto"/>
        </w:rPr>
      </w:pPr>
    </w:p>
    <w:p>
      <w:pPr>
        <w:jc w:val="center"/>
        <w:ind w:left="340" w:right="10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that stockholders vote FOR ratification of the appointment of PricewaterhouseCoopers LLP as our independent registered public accounting firm for the year ending December 31,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PricewaterhouseCoopers LLP for the years ended December 31,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0" w:type="dxa"/>
            <w:vAlign w:val="bottom"/>
          </w:tcPr>
          <w:p>
            <w:pPr>
              <w:spacing w:after="0"/>
              <w:rPr>
                <w:sz w:val="19"/>
                <w:szCs w:val="19"/>
                <w:color w:val="auto"/>
              </w:rPr>
            </w:pPr>
          </w:p>
        </w:tc>
      </w:tr>
      <w:tr>
        <w:trPr>
          <w:trHeight w:val="230"/>
        </w:trPr>
        <w:tc>
          <w:tcPr>
            <w:tcW w:w="69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Audit Fees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69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Audit-Related Fees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3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3,425</w:t>
            </w:r>
          </w:p>
        </w:tc>
      </w:tr>
    </w:tbl>
    <w:p>
      <w:pPr>
        <w:spacing w:after="0" w:line="319" w:lineRule="exact"/>
        <w:rPr>
          <w:sz w:val="20"/>
          <w:szCs w:val="20"/>
          <w:color w:val="auto"/>
        </w:rPr>
      </w:pPr>
    </w:p>
    <w:p>
      <w:pPr>
        <w:ind w:left="340" w:hanging="332"/>
        <w:spacing w:after="0" w:line="261"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2023 and 2022 were for professional services rendered for the audits of the Company’s annual consolidated financial statements and quarterly consolidated financial statements.</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were for a Form S-3 filing on May 23, 2022 and comfort letter procedures.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services rendered by PricewaterhouseCoopers LLP in 2023 and 2022 were approved by the Audit Committee, which considered whether the provision of all services was compatible with maintaining PricewaterhouseCoopers LLP’s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policy with respect to pre-approval of certain types of audit and non-audit related services specifically described by the Audit Committee on an annual basis. In general, the Audit Committee has pre-approved the provision of certain audit services and audit-related services, in each case up to an annual amount which varies by the type of services. Individual engagements anticipated to exceed such pre-established thresholds must be separately approved. This policy also sets forth certain services that the Company’s independent public accountant is prohibited from providing to the Company. The policy authorizes the Audit Committee to delegate to one or more of its members pre-approval authority with respect to permitted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services provided and fees charged by PricewaterhouseCoopers LLP to us were pre-approved in accordance with the policy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PricewaterhouseCoopers LLP the audited financial statements for the year ended December 31, 2023. The Audit Committee has discussed with PricewaterhouseCoopers LLP the matters that are required to be discussed by the applicable requirements of the Public Company Accounting Oversight Board (United States) (“PCAOB”) and the SEC. The Audit Committee has received the written disclosures and the letter from PricewaterhouseCoopers LLP required by applicable requirements of the PCAOB regarding PricewaterhouseCoopers LLP’s communications with the Audit Committee concerning independence, and the Audit Committee has discussed with PricewaterhouseCoopers LLP that firm’s independence. The Audit Committee has concluded that PricewaterhouseCoopers LLP’s provision of audit and non-audit services to the company and its affiliates is compatible with PricewaterhouseCoopers LLP’s independence.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described above, the Audit Committee recommended to the Board of Directors that the audited consolidated financial statements be included in our Annual Report on Form 10-K for the year ended December 31, 2023 for filing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Marla Gottschalk,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Montenegro McGrath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Ziegler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60"/>
        <w:spacing w:after="0" w:line="303" w:lineRule="auto"/>
        <w:rPr>
          <w:sz w:val="20"/>
          <w:szCs w:val="20"/>
          <w:color w:val="auto"/>
        </w:rPr>
      </w:pPr>
      <w:r>
        <w:rPr>
          <w:rFonts w:ascii="Times New Roman" w:cs="Times New Roman" w:eastAsia="Times New Roman" w:hAnsi="Times New Roman"/>
          <w:sz w:val="35"/>
          <w:szCs w:val="35"/>
          <w:b w:val="1"/>
          <w:bCs w:val="1"/>
          <w:color w:val="1F497D"/>
        </w:rPr>
        <w:t>PROPOSAL 4: ADVISORY VOTE TO APPROVE THE COMPENSATION OF THE NAMED EXECUTIVE OFFICERS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providing our stockholders the opportunity to cast an advisory (non-binding) vote to approve the compensation of our named executive officers as disclosed in this Proxy Statement. Consistent with the preference expressed by our stockholders at the 2021 annual meeting of stockholders, we are conducting say-on-pay votes on an annual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w:t>
      </w:r>
      <w:r>
        <w:rPr>
          <w:rFonts w:ascii="Times New Roman" w:cs="Times New Roman" w:eastAsia="Times New Roman" w:hAnsi="Times New Roman"/>
          <w:sz w:val="18"/>
          <w:szCs w:val="18"/>
          <w:color w:val="262626"/>
        </w:rPr>
        <w:t>Our Board and CNG Committee believe that our executive compensation program is tied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626"/>
        </w:rPr>
        <w:t>performance, aligns with shareholder interests and merits stockholder support. Accordingly, the Board recommends that stockholders vote in favor of the following resolution: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of the Company’s named executive officers, as disclosed in the Compensation Discussion and Analysis, the compensation tables, and the narrative discussion contained in this Proxy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your vote is advisory, it will not be binding on the Board of Directors or the CNG Committee. However, the Board of Directors and the CNG Committee will carefully review the voting results. To the extent there is any significant negative vote on this proposal, we may consult directly with stockholders to better understand the concerns that influenced the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that stockholders vote FOR the approval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F497D"/>
        </w:rPr>
        <w:t>EXECUTIVE COMPENSATION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information about our executive officers, as of March 1, 2024.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Age</w:t>
            </w:r>
          </w:p>
        </w:tc>
        <w:tc>
          <w:tcPr>
            <w:tcW w:w="484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2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Hefty Tableware</w:t>
            </w: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Reynolds Cooking &amp; Baking</w:t>
            </w: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Hefty Waste and Storage</w:t>
            </w: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Corey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Presto Products</w:t>
            </w: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Stephan Pace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Sales and Chief Customer Officer</w:t>
            </w: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 Mayrhofer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Corporate Controller</w:t>
            </w: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 Estes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175"/>
        </w:trPr>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Rita Fisher</w:t>
            </w:r>
          </w:p>
        </w:tc>
        <w:tc>
          <w:tcPr>
            <w:tcW w:w="1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Information Officer and Executive Vice President, Supply</w:t>
            </w:r>
          </w:p>
        </w:tc>
      </w:tr>
      <w:tr>
        <w:trPr>
          <w:trHeight w:val="239"/>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Chain</w:t>
            </w:r>
          </w:p>
        </w:tc>
      </w:tr>
      <w:tr>
        <w:trPr>
          <w:trHeight w:val="234"/>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McMahon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shd w:val="clear" w:color="auto" w:fill="CCEEFF"/>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Key Accounts Sales</w:t>
            </w: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Valerie Miller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of Human Resources</w:t>
            </w: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Watson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Counsel and Corporate Secretary</w:t>
            </w: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 Lowe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Financial Planning &amp; Analysis</w:t>
            </w: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Swartzberg</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Mitchell has served as the Company’s President and Chief Executive Officer since 2011 and as a member of the Company’s board of directors since October 2019. From 2005 to 2011, Mr. Mitchell served as President of Closure Systems International (part of PEI Group from 2008 to 2019). Mr. Mitchell commenced his career in sales and marketing at Owens Corning. progressed to General Management positions at Avery Dennison and Goodrich followed by executive management positions at PolyOne and Alcoa before joining PEI Group in 2008. Mr. Mitchell received a B.S. in Business from Bowling Green State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Huckins has served as the Company’s Chief Financial Officer since November 2023. Prior to joining the Company in October 2023, Mr. Huckins served as the CFO of SunOpta, Inc. from 2019 to October 2023. Mr. Huckins previously served as CFO of Claire’s Stores Inc. from 2016 to 2019. Prior to Claire’s, Mr. Huckins was with Sears Holdings from 2012 to 2016 where he served in the roles of Vice President – Treasurer and as President – Sears Reinsurance Company, Ltd., a captive reinsurance company operating in Bermuda. Mr. Huckins also served as Vice President – Treasury, Tax, and Investor Relations at RCS Holdings, Inc. from 2010 to 2012. He formerly served as Principal at Pioneer Advisors from 2008 to 2009. From 2001 to 2008, Mr. Huckins served in senior leadership roles at Koch Industries Inc. and affiliated companies, including as President &amp; CEO of Koch Financial Products, LLC, CFO of the Capital Markets Division, Treasurer of Koch Industries Inc., and CFO of KoSa B.V. Mr. Huckins holds a Bachelor of Science in Finance from Arizona State University and earned a Master of Management, with concentrations in Finance and Management Strategy, from Northwestern University, J.L. Kellogg Graduate School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Rachel Bishop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Bishop has served as the Company’s President of Hefty Tableware since 2019. Prior to joining the Company, she served as Chief Strategy Officer and President, Snacks at TreeHouse Foods, Inc. Ms. Bishop was previously Group Vice President of Retail Strategy at the Walgreen Company and began her business career at McKinsey &amp; Company, where she worked with consumer businesses on a broad range of sales, marketing, and operational topics. Ms. Bishop has served as a board member of Sally Beauty Holdings since 2022. Ms. Bishop earned B.S. degrees in Materials Science and Engineering and in Geophysics from Brown University and a Ph.D in Materials Science and Engineering with a minor in Technology Management from Northwestern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Judith Buckner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Buckner has served as the Company’s President of Reynolds Cooking &amp; Baking since November 2022. She previously served as the Company’s President of Presto Products from 2019 to November 2022 and Senior Vice President, Business Transformation of the Company from 2017 to 2019. Ms. Buckner first joined the Company in 2000 as an Engineering Manager and has held various other leadership roles including Director of Manufacturing, Plant Manager, Director of Engineering and New Product Development and Vice President of Operations and Engineering. Her prior experience includes various engineering and leadership roles in product development and operations at Hoechst-Celanese/Invista from 1991 to 2000. Ms. Buckner earned a B.S. in Chemical Engineering from Purdue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Smith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Smith has served as the Company’s President of the Hefty Waste &amp; Storage business since 2020. She previously served as Senior Vice President of Marketing for the Reynolds Cooking &amp; Baking business since 2018, and prior to that was Vice President of Marketing for the Hefty Waste &amp; Storage business from 2015 to 2018. Ms. Smith first joined the Company in 2009. Her prior experience includes holding marketing, sales and category management roles at CPG organizations including Mars, Sara Lee and Sunstar/GUM. Ms. Smith earned a B.S. in Marketing from the University of Illinois and an MBA from the J.L. Kellogg Graduate School of Management at Northwestern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Corey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Corey has served as the Company’s President of Presto Products since November 2022. He previously served as Senior Vice President, International and Canada of the Company from 2019 until November 2022. His prior experience in CPG leadership includes roles at Kraft Heinz, Boehringer Ingelheim Consumer Healthcare, and Johnson &amp; Johnson. Mr. Corey earned a Bachelor in Finance from the University of New Mexico and an MBA in Marketing from the Thunderbird School of Global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Stephan Pace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Pace has served as the Company’s President, Sales and Chief Customer Officer, since 2020. Prior to this role, he served as the Company’s President of Walmart/Sam’s and eCommerce since 2015 and the Company’s Chief Customer Officer and Senior Vice President of Sales beginning in 2010. He served as Vice President of Sales for Pactiv’s Consumer Products Division prior to PEI’s acquisition of Pactiv in 2010. Mr. Pace joined Pactiv in 2001 and held several senior management positions. Prior to joining Pactiv, he served in a variety of sales and marketing roles at Unilever plc and Procter &amp; Gamble Company. Mr. Pace received a B.A. in Economics from Wesleyan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Mayrhofer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Mayrhofer has served as the Company’s Senior Vice President and Corporate Controller since January 1, 2021 and as the Principal Accounting Officer since April 22, 2020. He previously served as Vice President and Controller for the Company from July 15, 2019 to January 1, 2021. Prior to joining the Company, Mr. Mayrhofer served as Vice President and Corporate Controller of Evergreen Packaging from 2017 to July 2019, Vice President and Corporate Controller of Graham Packaging from 2012 to 2017 and, prior to that, held various financial positions with PEI Group from 2009 to 2012, Performance Food Group Company from 2005 to 2009 and Ernst &amp; Young LLP. He holds a Bachelor of Business Administration in Accounting from the University of Richmond and is a Certified Public Accountant.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Estes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Estes joined the Company in January 2021 as its first Chief Administrative Officer, leading Business Transformation, EHS, HR, Legal, Procurement and Operational Excellence. He has 23 years of experience with Rank Group-owned companies, including his most recent role as Chief Human Resources Officer, Rank Group. He previously served as Vice President Human Resources, Rank Group, promoted from his role as, Vice President of Human Resources, Evergreen Packaging. He also served in Human Resources and safety roles at International Paper, Mattel, Inc., and Bruce Hardwood Floors. Mr. Estes earned a BBA in HR Management from Freed-Hardeman University and an MBA from Georgia Southern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Rita Fisher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Fisher has served as the Company’s Chief Information Officer and Executive Vice President, Supply Chain since August 2017. Prior to joining the Company, Ms. Fisher served as Vice President and Head of Global Business Services for Kraft Heinz. During her 22 years at Kraft Heinz, she held many global and regional roles in Information Technology and Supply Chain, including Head of Global IT and Senior Director Supply Chain Transformation. Ms. Fisher started her career at People’s Gas Company as a Senior Business Analyst. Currently, Ms. Fisher is a member of the board of directors of Lamb Weston Holdings, Inc. Ms. Fisher earned a B.S. in Mathematics and Computer Science from the University of Illinois at Chicago and an M.S. in Computer Science from DePaul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McMahon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McMahon has served as Senior Vice President, Key Accounts Sales since April 2015. Prior to that he served as Vice President of the Non Foods/Club Channel from November 2012 to March 2015. He joined Pactiv in 2006 as Director Category Management, and moved to the Company following PEI’s 2010 acquisition of Pactiv. Prior to that he had twenty years of sales experience at Kraft Foods, in roles including Senior Director of Category Planning. Mr. McMahon earned a B.A. in Marketing and Management from Olivet College, Michigan.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Valerie Miller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Miller has served as the Executive Vice President of Human Resources since January 2021 and as Vice President of Human Resources since October 2019. Prior to that, she served as the Senior Director of Human Resources from April 2017 to September 2019, and in various other Human Resources roles with the Company since 2012. Before that, she held various Human Resources leadership positions with Graham Packaging. Ms. Miller earned her B.A. in Business Administration from Carthage College and an MBA from University Wisconsin at Milwaukee.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Watson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Watson has served as Legal Counsel of the Company since February 2015, and as Corporate Secretary since January 31, 2020. Prior to that, he served as General Counsel and in various other legal roles with the Company since July 2009. Prior to that, he held chief legal officer positions with several public and private companies. Mr. Watson earned a B.S. in Business Administration from the University of Illinois and a J.D. from University of Illinois College of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Lowe has served as the Company’s Vice President of Financial Planning &amp; Analysis since January 2021. Prior to that, he served as the Senior Director of Financial Planning &amp; Analysis from January 2019 to December 2020. Mr. Lowe joined the Company after serving as Assistant Corporate Controller and Treasurer of GEC Packaging Technologies (part of PEI Group) from 2016 to 2018, and Financial Controller of Americold Logistics LLC’s international business from 2015 to 2016. From 2006 to 2015, Mr. Lowe was at KPMG both in Australia and USA, where he worked primarily with consumer and industrial businesses providing a range of audit and advisory services. He holds a Bachelor of Commerce and Accounting and Bachelor of Applied Finance from Macquarie University and is a Chartered Accountant.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Swartzberg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Swartzberg has served as Vice President of Investor Relations since April 2020. Prior to joining the Company, Mr. Swartzberg served as Vice President of Investor Relations of Molson Coors from 2018 to 2020, and prior to that held various securities analyst positions with Stifel Nicolaus from 2002 to 2018, ABN AMRO Bank N.V. from 2000 to 2002, and Smith Barney from 1998 to 2000. Mr. Swartzberg earned a B.A. in History and Political Science from Duke University and an MBA from Harvard Business School.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CD&amp;A describes our compensation approach and programs for our named executive officers (“NEOs”), which consist of the following persons for 2023:</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Lance Mitchell, President and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Huckins,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Rachel Bishop, President, Hefty Tableware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Judith Buckner, President, Reynolds Cooking &amp; Baking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Smith, President, Hefty Waste and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Graham, who served as Chief Financial Officer until November 13,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effective November 13, 2023, Scott Huckins succeeded Michael Graham as the Company’s Chief Financial Officer, who previously announced his planned retirement from the Company. Effective upon Mr. Huckins’ appointment as Chief Financial Officer, Michael Graham stepped down from this position and moved into an advisory role to assist with the transition. Michael Graham remains a full-time employee with the Company, with the same compensation and under the same terms and conditions as his employment agreement, until his planned retirement on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relates to the compensation of our NEOs whose compensation is disclosed below, as well as the overall principles underlying our executive compensation policies. Except as otherwise indicated, the information in this section relates to the compensation of our NEOs, and the principles underlying our executive compensation policies, during and for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Objectives and Philosophy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objectives include attracting and retaining top talent, motivating and rewarding the performance of senior executives in support of achievement of strategic, financial and operating performance objectives and ensuring that our total compensation packages are competitive in comparison to those offered by our peers. Our NEOs, as well as our employees generally, participate in compensation and benefits plans and programs that are intended to align our compensation programs with our business objectives, promote good corporate governance and seek to achieve our compensation objectives.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ensure that management’s interests are aligned with those of our stockholders and to motivate and reward individual initiative and effort, our executive compensation program emphasizes a pay-for-performance compensation philosophy so that attainment of enterprise-wide, business unit and individual performance goals are rewarded. Through the use of performance-based plans that emphasize attainment of enterprise-wide and/or business unit goals, we seek to foster teamwork and commitment to performance. Further, the use of components such as equity ownership and long-term equity-based incentive compensation programs is important to ensure that the efforts of management are consistent with the objectives of our stockholders.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CNG Committee also values the opinions of our stockholders, and it reviews and considers the outcome of our annual vote on executive compensation, also known as the “say-on-pay” vote, along with other relevant factors, in evaluating the compensation program for the NEOs. </w:t>
      </w:r>
      <w:r>
        <w:rPr>
          <w:rFonts w:ascii="Times New Roman" w:cs="Times New Roman" w:eastAsia="Times New Roman" w:hAnsi="Times New Roman"/>
          <w:sz w:val="18"/>
          <w:szCs w:val="18"/>
          <w:color w:val="262626"/>
        </w:rPr>
        <w:t>At our</w:t>
      </w:r>
      <w:r>
        <w:rPr>
          <w:rFonts w:ascii="Times New Roman" w:cs="Times New Roman" w:eastAsia="Times New Roman" w:hAnsi="Times New Roman"/>
          <w:sz w:val="18"/>
          <w:szCs w:val="18"/>
          <w:color w:val="auto"/>
        </w:rPr>
        <w:t xml:space="preserve"> 2023 </w:t>
      </w:r>
      <w:r>
        <w:rPr>
          <w:rFonts w:ascii="Times New Roman" w:cs="Times New Roman" w:eastAsia="Times New Roman" w:hAnsi="Times New Roman"/>
          <w:sz w:val="18"/>
          <w:szCs w:val="18"/>
          <w:color w:val="262626"/>
        </w:rPr>
        <w:t>annual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626"/>
        </w:rPr>
        <w:t xml:space="preserve">stockholders showed strong support for our executive compensation program, with approximately 99% of votes cast approving our advisory say-on-pay proposal. The CNG Committee considered the strong level of stockholder support and made no material changes in our executive compensation program as a result of the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62626"/>
        </w:rPr>
        <w:t xml:space="preserve"> say-on-pay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 of Compensation Programs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CNG Committee, based on an evaluation by management, assisted by the Committee’s independent compensation consultant, does not believe that our compensation arrangements, including financial performance measures used to determine short-term and long-term incentive payout amounts, provide our employees with an incentive to engage in business activities or other behavior that would expose us or our stockholders to risks that are reasonably likely to have a material adverse effect on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Independent Compensation Consultant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CNG Committee has responsibility for determining our compensation philosophy, structuring our compensation and benefits programs and determining appropriate payments and awards to our executive officers, including our NEOs. The CNG Committee is also responsible for implementing, monitoring and evaluating our executive compensation philosophy and objectives and overseeing the compensation program for senior executives. The CNG Committee’s responsibilities and authority are described fully in its Charter. Our CNG Committee has engaged Pearl Meyer &amp; Partners, LLC (“Pearl Meyer”), an independent compensation consultant, to advise on compensation matters.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Pearl Meyer provided an analysis of base salary, annual incentive program (“AIP”) compensation and long-term incentive (“LTI”) compensation for senior executives, comparing them to executives at companies in our peer group (the “Benchmark Comparison Group”) and using compensation survey data for similarly sized organizations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Benchmark Comparison Group utilized as a benchmark for executive compensation matters for 2023 included:</w:t>
      </w:r>
    </w:p>
    <w:p>
      <w:pPr>
        <w:spacing w:after="0" w:line="306"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AptarGroup, Inc.</w:t>
            </w:r>
          </w:p>
        </w:tc>
        <w:tc>
          <w:tcPr>
            <w:tcW w:w="16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 Skin Enterprises, Inc.</w:t>
            </w:r>
          </w:p>
        </w:tc>
        <w:tc>
          <w:tcPr>
            <w:tcW w:w="0" w:type="dxa"/>
            <w:vAlign w:val="bottom"/>
          </w:tcPr>
          <w:p>
            <w:pPr>
              <w:spacing w:after="0"/>
              <w:rPr>
                <w:sz w:val="1"/>
                <w:szCs w:val="1"/>
                <w:color w:val="auto"/>
              </w:rPr>
            </w:pPr>
          </w:p>
        </w:tc>
      </w:tr>
      <w:tr>
        <w:trPr>
          <w:trHeight w:val="459"/>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Central Garden &amp; Pet Company</w:t>
            </w:r>
          </w:p>
        </w:tc>
        <w:tc>
          <w:tcPr>
            <w:tcW w:w="16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 Glass, Inc.</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Church &amp; Dwight Co., Inc.</w:t>
            </w:r>
          </w:p>
        </w:tc>
        <w:tc>
          <w:tcPr>
            <w:tcW w:w="16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Sealed Air Corporation</w:t>
            </w:r>
          </w:p>
        </w:tc>
        <w:tc>
          <w:tcPr>
            <w:tcW w:w="0" w:type="dxa"/>
            <w:vAlign w:val="bottom"/>
          </w:tcPr>
          <w:p>
            <w:pPr>
              <w:spacing w:after="0"/>
              <w:rPr>
                <w:sz w:val="1"/>
                <w:szCs w:val="1"/>
                <w:color w:val="auto"/>
              </w:rPr>
            </w:pPr>
          </w:p>
        </w:tc>
      </w:tr>
      <w:tr>
        <w:trPr>
          <w:trHeight w:val="405"/>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Edgewell Personal Care Company</w:t>
            </w:r>
          </w:p>
        </w:tc>
        <w:tc>
          <w:tcPr>
            <w:tcW w:w="16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Silgan Holdings Inc.</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Energizer Holdings, Inc.</w:t>
            </w:r>
          </w:p>
        </w:tc>
        <w:tc>
          <w:tcPr>
            <w:tcW w:w="16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Snap-on Incorporated</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Greif, Inc.</w:t>
            </w:r>
          </w:p>
        </w:tc>
        <w:tc>
          <w:tcPr>
            <w:tcW w:w="162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Sonoco Products Company</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Hasbro, Inc.</w:t>
            </w:r>
          </w:p>
        </w:tc>
        <w:tc>
          <w:tcPr>
            <w:tcW w:w="16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Spectrum Brands Holdings, Inc.</w:t>
            </w:r>
          </w:p>
        </w:tc>
        <w:tc>
          <w:tcPr>
            <w:tcW w:w="0" w:type="dxa"/>
            <w:vAlign w:val="bottom"/>
          </w:tcPr>
          <w:p>
            <w:pPr>
              <w:spacing w:after="0"/>
              <w:rPr>
                <w:sz w:val="1"/>
                <w:szCs w:val="1"/>
                <w:color w:val="auto"/>
              </w:rPr>
            </w:pPr>
          </w:p>
        </w:tc>
      </w:tr>
      <w:tr>
        <w:trPr>
          <w:trHeight w:val="3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Helen of Troy Limited</w:t>
            </w:r>
          </w:p>
        </w:tc>
        <w:tc>
          <w:tcPr>
            <w:tcW w:w="162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 Clorox Company</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Medifast, Inc.</w:t>
            </w:r>
          </w:p>
        </w:tc>
        <w:tc>
          <w:tcPr>
            <w:tcW w:w="416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8"/>
                <w:szCs w:val="18"/>
                <w:color w:val="auto"/>
              </w:rPr>
              <w:t>•  The Scotts Miracle-Gro Company</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4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criteria considered in selecting peer companies for the Benchmark Comparison Group include the following:</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as measured by revenue, market capitalization and enterprise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category, including consumer household, personal and leisure products, household durables, containers and packaging;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sources of talent.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compensation planning, a review was performed of the Benchmark Comparison Group to ensure the group remains a reasonable basis of comparison of industry and size. In preparation for determining 2023 executive compensation matters, Tupperware Brands was removed from our Benchmark Comparison Group due to declining market capitalization and potential restructuring activity, and Sonoco Products Company was added due to its size, industry and competition for sources of talent.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CEO, in collaboration with Pearl Meyer and with input from the CNG Committee, makes recommendations to the CNG Committee for base salary, AIP, LTI and any other elements of our compensation program for each NEO (other than the CEO, whose compensation is determined solely by the CNG Committee). Our CEO also provides recommendations to the CNG Committee on other elements of our compensation program for senior executives, including, for example, the design and metrics under our AIP and LTI programs. While the CNG Committee will consider the CEO’s recommendations with respect to the compensation of the NEOs, the CNG Committee independently evaluates the recommendations and makes all final compensation decisions relating to the NEOs.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case of compensation for employees below the most senior level, the CNG Committee has delegated certain authority to our management to make determinations in accordance with guidelines established by the CNG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Compensation</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CNG Committee, advised by its independent compensation consultant Pearl Meyer, is responsible for overseeing and approving the executive compensation program for the Company’s executive officers, including our named executive officers. To establish the appropriate target total direct compensation for each position, Pearl Meyer provides and the Committee reviews the market levels for base salary, target annual cash, target LTI and total direct compensation based upon our Benchmark Comparison Group and published surveys. The Committee then considers that market data, as well as other factors, in determining the elements of total direct compensation for each position</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for our NEOs, and the primary objectives of each, are summarized in the chart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Element</w:t>
            </w:r>
          </w:p>
        </w:tc>
        <w:tc>
          <w:tcPr>
            <w:tcW w:w="120" w:type="dxa"/>
            <w:vAlign w:val="bottom"/>
          </w:tcPr>
          <w:p>
            <w:pPr>
              <w:spacing w:after="0"/>
              <w:rPr>
                <w:sz w:val="19"/>
                <w:szCs w:val="19"/>
                <w:color w:val="auto"/>
              </w:rPr>
            </w:pPr>
          </w:p>
        </w:tc>
        <w:tc>
          <w:tcPr>
            <w:tcW w:w="2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9"/>
                <w:szCs w:val="19"/>
                <w:color w:val="auto"/>
              </w:rPr>
            </w:pPr>
          </w:p>
        </w:tc>
        <w:tc>
          <w:tcPr>
            <w:tcW w:w="2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380" w:type="dxa"/>
            <w:vAlign w:val="bottom"/>
          </w:tcPr>
          <w:p>
            <w:pPr>
              <w:spacing w:after="0"/>
              <w:rPr>
                <w:sz w:val="19"/>
                <w:szCs w:val="19"/>
                <w:color w:val="auto"/>
              </w:rPr>
            </w:pPr>
          </w:p>
        </w:tc>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Objective</w:t>
            </w:r>
          </w:p>
        </w:tc>
        <w:tc>
          <w:tcPr>
            <w:tcW w:w="0" w:type="dxa"/>
            <w:vAlign w:val="bottom"/>
          </w:tcPr>
          <w:p>
            <w:pPr>
              <w:spacing w:after="0"/>
              <w:rPr>
                <w:sz w:val="1"/>
                <w:szCs w:val="1"/>
                <w:color w:val="auto"/>
              </w:rPr>
            </w:pPr>
          </w:p>
        </w:tc>
      </w:tr>
      <w:tr>
        <w:trPr>
          <w:trHeight w:val="20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Fixed based on level of responsibility,</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Support talent attraction and retention</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experience, tenure and qualifications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Annual Incentive Program</w:t>
            </w:r>
          </w:p>
        </w:tc>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Variable based on the achievement of</w:t>
            </w:r>
          </w:p>
        </w:tc>
        <w:tc>
          <w:tcPr>
            <w:tcW w:w="3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Link pay and performance</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annual financial metrics</w:t>
            </w: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Drive the achievement of short-term</w:t>
            </w:r>
          </w:p>
        </w:tc>
        <w:tc>
          <w:tcPr>
            <w:tcW w:w="0" w:type="dxa"/>
            <w:vAlign w:val="bottom"/>
          </w:tcPr>
          <w:p>
            <w:pPr>
              <w:spacing w:after="0"/>
              <w:rPr>
                <w:sz w:val="1"/>
                <w:szCs w:val="1"/>
                <w:color w:val="auto"/>
              </w:rPr>
            </w:pPr>
          </w:p>
        </w:tc>
      </w:tr>
      <w:tr>
        <w:trPr>
          <w:trHeight w:val="100"/>
        </w:trPr>
        <w:tc>
          <w:tcPr>
            <w:tcW w:w="2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business objectives</w:t>
            </w:r>
          </w:p>
        </w:tc>
        <w:tc>
          <w:tcPr>
            <w:tcW w:w="0" w:type="dxa"/>
            <w:vAlign w:val="bottom"/>
          </w:tcPr>
          <w:p>
            <w:pPr>
              <w:spacing w:after="0"/>
              <w:rPr>
                <w:sz w:val="1"/>
                <w:szCs w:val="1"/>
                <w:color w:val="auto"/>
              </w:rPr>
            </w:pPr>
          </w:p>
        </w:tc>
      </w:tr>
      <w:tr>
        <w:trPr>
          <w:trHeight w:val="33"/>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7" w:lineRule="exact"/>
        <w:rPr>
          <w:sz w:val="20"/>
          <w:szCs w:val="20"/>
          <w:color w:val="auto"/>
        </w:rPr>
      </w:pPr>
    </w:p>
    <w:p>
      <w:pPr>
        <w:ind w:left="20"/>
        <w:spacing w:after="0"/>
        <w:tabs>
          <w:tab w:leader="none" w:pos="2700" w:val="left"/>
        </w:tabs>
        <w:rPr>
          <w:sz w:val="20"/>
          <w:szCs w:val="20"/>
          <w:color w:val="auto"/>
        </w:rPr>
      </w:pPr>
      <w:r>
        <w:rPr>
          <w:rFonts w:ascii="Times New Roman" w:cs="Times New Roman" w:eastAsia="Times New Roman" w:hAnsi="Times New Roman"/>
          <w:sz w:val="16"/>
          <w:szCs w:val="16"/>
          <w:b w:val="1"/>
          <w:bCs w:val="1"/>
          <w:color w:val="auto"/>
        </w:rPr>
        <w:t>LTI Compensation</w:t>
      </w:r>
      <w:r>
        <w:rPr>
          <w:sz w:val="20"/>
          <w:szCs w:val="20"/>
          <w:color w:val="auto"/>
        </w:rPr>
        <w:tab/>
      </w:r>
      <w:r>
        <w:rPr>
          <w:rFonts w:ascii="Times New Roman" w:cs="Times New Roman" w:eastAsia="Times New Roman" w:hAnsi="Times New Roman"/>
          <w:sz w:val="16"/>
          <w:szCs w:val="16"/>
          <w:color w:val="auto"/>
        </w:rPr>
        <w:t>Variable based on the achievement of</w:t>
      </w:r>
    </w:p>
    <w:p>
      <w:pPr>
        <w:spacing w:after="0" w:line="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longer-term goals and stockholder</w:t>
      </w:r>
    </w:p>
    <w:p>
      <w:pPr>
        <w:spacing w:after="0" w:line="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value creation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3080" w:val="left"/>
          <w:tab w:leader="none" w:pos="3300" w:val="left"/>
        </w:tabs>
        <w:rPr>
          <w:sz w:val="20"/>
          <w:szCs w:val="20"/>
          <w:color w:val="auto"/>
        </w:rPr>
      </w:pPr>
      <w:r>
        <w:rPr>
          <w:rFonts w:ascii="Times New Roman" w:cs="Times New Roman" w:eastAsia="Times New Roman" w:hAnsi="Times New Roman"/>
          <w:sz w:val="16"/>
          <w:szCs w:val="16"/>
          <w:color w:val="auto"/>
        </w:rPr>
        <w:t>50% time-based RSUs and 50%</w:t>
      </w:r>
      <w:r>
        <w:rPr>
          <w:sz w:val="20"/>
          <w:szCs w:val="20"/>
          <w:color w:val="auto"/>
        </w:rPr>
        <w:tab/>
      </w:r>
      <w:r>
        <w:rPr>
          <w:rFonts w:ascii="Times New Roman" w:cs="Times New Roman" w:eastAsia="Times New Roman" w:hAnsi="Times New Roman"/>
          <w:sz w:val="16"/>
          <w:szCs w:val="16"/>
          <w:color w:val="auto"/>
        </w:rPr>
        <w:t>•</w:t>
        <w:tab/>
        <w:t>Support talent attraction and</w:t>
      </w:r>
    </w:p>
    <w:p>
      <w:pPr>
        <w:spacing w:after="0" w:line="2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6"/>
          <w:szCs w:val="16"/>
          <w:color w:val="auto"/>
        </w:rPr>
        <w:t>performance share units (“PSUs”)</w:t>
      </w:r>
      <w:r>
        <w:rPr>
          <w:sz w:val="20"/>
          <w:szCs w:val="20"/>
          <w:color w:val="auto"/>
        </w:rPr>
        <w:tab/>
      </w:r>
      <w:r>
        <w:rPr>
          <w:rFonts w:ascii="Times New Roman" w:cs="Times New Roman" w:eastAsia="Times New Roman" w:hAnsi="Times New Roman"/>
          <w:sz w:val="15"/>
          <w:szCs w:val="15"/>
          <w:color w:val="auto"/>
        </w:rPr>
        <w:t>retention</w:t>
      </w:r>
    </w:p>
    <w:p>
      <w:pPr>
        <w:spacing w:after="0" w:line="149" w:lineRule="exact"/>
        <w:rPr>
          <w:sz w:val="20"/>
          <w:szCs w:val="20"/>
          <w:color w:val="auto"/>
        </w:rPr>
      </w:pPr>
    </w:p>
    <w:p>
      <w:pPr>
        <w:ind w:left="3100"/>
        <w:spacing w:after="0"/>
        <w:tabs>
          <w:tab w:leader="none" w:pos="3300" w:val="left"/>
        </w:tabs>
        <w:rPr>
          <w:sz w:val="20"/>
          <w:szCs w:val="20"/>
          <w:color w:val="auto"/>
        </w:rPr>
      </w:pPr>
      <w:r>
        <w:rPr>
          <w:rFonts w:ascii="Times New Roman" w:cs="Times New Roman" w:eastAsia="Times New Roman" w:hAnsi="Times New Roman"/>
          <w:sz w:val="16"/>
          <w:szCs w:val="16"/>
          <w:color w:val="auto"/>
        </w:rPr>
        <w:t>•</w:t>
        <w:tab/>
        <w:t>Link pay and performance</w:t>
      </w:r>
    </w:p>
    <w:p>
      <w:pPr>
        <w:spacing w:after="0" w:line="118" w:lineRule="exact"/>
        <w:rPr>
          <w:sz w:val="20"/>
          <w:szCs w:val="20"/>
          <w:color w:val="auto"/>
        </w:rPr>
      </w:pPr>
    </w:p>
    <w:p>
      <w:pPr>
        <w:sectPr>
          <w:pgSz w:w="11900" w:h="16838" w:orient="portrait"/>
          <w:cols w:equalWidth="0" w:num="2">
            <w:col w:w="5140" w:space="340"/>
            <w:col w:w="57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Drive the achievement of longer-</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term goals</w:t>
            </w:r>
          </w:p>
        </w:tc>
        <w:tc>
          <w:tcPr>
            <w:tcW w:w="0" w:type="dxa"/>
            <w:vAlign w:val="bottom"/>
          </w:tcPr>
          <w:p>
            <w:pPr>
              <w:spacing w:after="0"/>
              <w:rPr>
                <w:sz w:val="1"/>
                <w:szCs w:val="1"/>
                <w:color w:val="auto"/>
              </w:rPr>
            </w:pPr>
          </w:p>
        </w:tc>
      </w:tr>
      <w:tr>
        <w:trPr>
          <w:trHeight w:val="303"/>
        </w:trPr>
        <w:tc>
          <w:tcPr>
            <w:tcW w:w="2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Align with shareholder interests and</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20" w:type="dxa"/>
            <w:vAlign w:val="bottom"/>
          </w:tcPr>
          <w:p>
            <w:pPr>
              <w:ind w:left="580"/>
              <w:spacing w:after="0" w:line="162" w:lineRule="exact"/>
              <w:rPr>
                <w:sz w:val="20"/>
                <w:szCs w:val="20"/>
                <w:color w:val="auto"/>
              </w:rPr>
            </w:pPr>
            <w:r>
              <w:rPr>
                <w:rFonts w:ascii="Times New Roman" w:cs="Times New Roman" w:eastAsia="Times New Roman" w:hAnsi="Times New Roman"/>
                <w:sz w:val="16"/>
                <w:szCs w:val="16"/>
                <w:color w:val="auto"/>
              </w:rPr>
              <w:t>focus on creating value over long-</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term</w:t>
            </w:r>
          </w:p>
        </w:tc>
        <w:tc>
          <w:tcPr>
            <w:tcW w:w="0" w:type="dxa"/>
            <w:vAlign w:val="bottom"/>
          </w:tcPr>
          <w:p>
            <w:pPr>
              <w:spacing w:after="0"/>
              <w:rPr>
                <w:sz w:val="1"/>
                <w:szCs w:val="1"/>
                <w:color w:val="auto"/>
              </w:rPr>
            </w:pPr>
          </w:p>
        </w:tc>
      </w:tr>
      <w:tr>
        <w:trPr>
          <w:trHeight w:val="249"/>
        </w:trPr>
        <w:tc>
          <w:tcPr>
            <w:tcW w:w="25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Compensation and Benefits</w:t>
            </w:r>
          </w:p>
        </w:tc>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health, welfare and</w:t>
            </w:r>
          </w:p>
        </w:tc>
        <w:tc>
          <w:tcPr>
            <w:tcW w:w="3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Group medical benefits</w:t>
            </w:r>
          </w:p>
        </w:tc>
        <w:tc>
          <w:tcPr>
            <w:tcW w:w="3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Support talent attraction and</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retirement benefits</w:t>
            </w:r>
          </w:p>
        </w:tc>
        <w:tc>
          <w:tcPr>
            <w:tcW w:w="316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Life and disability insurance</w:t>
            </w:r>
          </w:p>
        </w:tc>
        <w:tc>
          <w:tcPr>
            <w:tcW w:w="3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retention</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160" w:type="dxa"/>
            <w:vAlign w:val="bottom"/>
            <w:vMerge w:val="continue"/>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5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401(k) plan participation</w:t>
            </w:r>
          </w:p>
        </w:tc>
        <w:tc>
          <w:tcPr>
            <w:tcW w:w="3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Nonqualified deferred compensation</w:t>
            </w:r>
          </w:p>
        </w:tc>
        <w:tc>
          <w:tcPr>
            <w:tcW w:w="3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plan</w:t>
            </w: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4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ability of our NEOs to directly influence our overall performance, and consistent with our philosophy of linking pay to performance, the compensation programs allocate a significant portion of compensation paid to our NEOs to both short-term and long-term performance-based incentive programs. In addition, as an employee’s responsibility and ability to affect our financial results increases, base salary becomes a relatively smaller component of total compensation while long-term and at-risk incentive compensation becomes a larger component of total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Base salaries are set at competitive levels necessary to attract and retain top-performing senior executives, including our NEOs, and are intended to compensate senior executives for their job responsibilities and level of experience. The CNG Committee has a goal to set each of the elements of total compensation at or around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Benchmark Comparison Group (and, for our presidents of our four business units, the overall general industry), adjusted to reflect each executive’s individual performance and contributions. In certain cases, including when an executive is recruited from another company or where it is otherwise appropriate to retain or incentivize an executive, the base salary may exceed the levels indicated in order to attract, and ultimately retain, the executive.</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Mitchell did not receive a base salary adjustment in 2023. Mr. Graham and Mses. Bishop, Smith and Buckner received base salary adjustments of 3%, 3%, 5% and 11%, respectively, in 2023. All base salary adjustments for our NEOs in 2023 were made in an effort to align with our compensation goals.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his appointment as Chief Financial Officer, the CNG Committee established Mr. Huckins’ initial annual base salary at $675,000.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Annual Incentive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2023 annual incentive program (“2023 AIP”) was designed to provide an opportunity for our senior executives, including our NEOs, to earn an annual incentive, paid in cash, based on the achievement of certain financial targets and strategic priorities. An executive’s incentive target is a percentage of his or her actual annual base salary amount.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2023 AIP was designed to motivate our senior executives to achieve annual financial and other business goals based on our strategic, financial, and operating performance objectives. For our senior executives, including our NEOs, 80% of the payout under the 2023 AIP would be determined by 2023 Adjusted EBIT as a percentage of 2022 Adjusted EBIT (“Adjusted EBIT Growth”). The remaining 20% would be determined by the 2023 increase in total net revenues relative to 2022 total net revenues (“Revenue Growth”). The target levels, as well as threshold and maximum levels, for these performance metrics were set by the CNG Committee in the first quarter of 2023. Based on the combined Adjusted EBIT Growth and Revenue Growth results, a participant could earn up to 200% of the target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2023, the CNG Committee established the following payout levels that would be associated with the degree to which each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 Growth and Revenue Growth was attained for 2023:</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 Growth</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212"/>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FY 2023 ($m)</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9"/>
              </w:rPr>
              <w:t>438</w:t>
            </w:r>
          </w:p>
        </w:tc>
        <w:tc>
          <w:tcPr>
            <w:tcW w:w="4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99"/>
              </w:rPr>
              <w:t>472</w:t>
            </w:r>
          </w:p>
        </w:tc>
        <w:tc>
          <w:tcPr>
            <w:tcW w:w="300" w:type="dxa"/>
            <w:vAlign w:val="bottom"/>
            <w:tcBorders>
              <w:top w:val="single" w:sz="8" w:color="CCEEFF"/>
            </w:tcBorders>
            <w:shd w:val="clear" w:color="auto" w:fill="CCEEFF"/>
          </w:tcPr>
          <w:p>
            <w:pPr>
              <w:spacing w:after="0"/>
              <w:rPr>
                <w:sz w:val="18"/>
                <w:szCs w:val="18"/>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of FY 2022</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90 %</w:t>
            </w:r>
          </w:p>
        </w:tc>
        <w:tc>
          <w:tcPr>
            <w:tcW w:w="17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102 %</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110 %</w:t>
            </w: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Payout Level</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25 %</w:t>
            </w:r>
          </w:p>
        </w:tc>
        <w:tc>
          <w:tcPr>
            <w:tcW w:w="17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100 %</w:t>
            </w:r>
          </w:p>
        </w:tc>
        <w:tc>
          <w:tcPr>
            <w:tcW w:w="15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200 %</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Growth</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17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5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207"/>
        </w:trPr>
        <w:tc>
          <w:tcPr>
            <w:tcW w:w="6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FY 2023 ($m)</w:t>
            </w:r>
          </w:p>
        </w:tc>
        <w:tc>
          <w:tcPr>
            <w:tcW w:w="1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4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46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300" w:type="dxa"/>
            <w:vAlign w:val="bottom"/>
          </w:tcPr>
          <w:p>
            <w:pPr>
              <w:spacing w:after="0"/>
              <w:rPr>
                <w:sz w:val="17"/>
                <w:szCs w:val="17"/>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FY 2022</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97.5 %</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102.5 %</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107.5 %</w:t>
            </w:r>
          </w:p>
        </w:tc>
      </w:tr>
      <w:tr>
        <w:trPr>
          <w:trHeight w:val="2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 Payout Level</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25 %</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200 %</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CNG Committee provided that payout levels would be interpolated for results between the threshold and maximum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2023 (with the exception of Mr. Huckins, which occurred in the third quarter of 2023), the CNG Committee also established the target amounts to which the resulting percentage payout level would be applied. The target percentage of actual base salary for the year for each NEO was: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Target % of</w:t>
            </w:r>
          </w:p>
        </w:tc>
        <w:tc>
          <w:tcPr>
            <w:tcW w:w="0" w:type="dxa"/>
            <w:vAlign w:val="bottom"/>
          </w:tcPr>
          <w:p>
            <w:pPr>
              <w:spacing w:after="0"/>
              <w:rPr>
                <w:sz w:val="1"/>
                <w:szCs w:val="1"/>
                <w:color w:val="auto"/>
              </w:rPr>
            </w:pPr>
          </w:p>
        </w:tc>
      </w:tr>
      <w:tr>
        <w:trPr>
          <w:trHeight w:val="243"/>
        </w:trPr>
        <w:tc>
          <w:tcPr>
            <w:tcW w:w="8920" w:type="dxa"/>
            <w:vAlign w:val="bottom"/>
            <w:gridSpan w:val="2"/>
            <w:vMerge w:val="continue"/>
          </w:tcPr>
          <w:p>
            <w:pPr>
              <w:spacing w:after="0"/>
              <w:rPr>
                <w:sz w:val="21"/>
                <w:szCs w:val="21"/>
                <w:color w:val="auto"/>
              </w:rPr>
            </w:pPr>
          </w:p>
        </w:tc>
        <w:tc>
          <w:tcPr>
            <w:tcW w:w="23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1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2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2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2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2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2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CNG Committee determined the degree to which the Adjusted EBIT Growth and Revenue Growth goals were attained, and the resulting payout level relative to the target amount for each metric. Based on the achievement level of the Adjusted EBIT Growth target, the payout for such metric was 200%; and based on the achievement level of the Revenue Growth target, the payout for such metric was 39%. After applying the applicable weightings of these metrics, the total payout level was 168% of target, as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3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Actual ($m / %)</w:t>
            </w:r>
          </w:p>
        </w:tc>
        <w:tc>
          <w:tcPr>
            <w:tcW w:w="1720" w:type="dxa"/>
            <w:vAlign w:val="bottom"/>
            <w:gridSpan w:val="2"/>
          </w:tcPr>
          <w:p>
            <w:pPr>
              <w:jc w:val="center"/>
              <w:ind w:right="3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Attainment</w:t>
            </w:r>
          </w:p>
        </w:tc>
        <w:tc>
          <w:tcPr>
            <w:tcW w:w="9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Payout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2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 Growth (FY 2023 result / % of FY 2022)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 119%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Growth (FY 2023 result / % of FY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 / 98%</w:t>
            </w:r>
          </w:p>
        </w:tc>
        <w:tc>
          <w:tcPr>
            <w:tcW w:w="100" w:type="dxa"/>
            <w:vAlign w:val="bottom"/>
          </w:tcPr>
          <w:p>
            <w:pPr>
              <w:spacing w:after="0"/>
              <w:rPr>
                <w:sz w:val="19"/>
                <w:szCs w:val="19"/>
                <w:color w:val="auto"/>
              </w:rPr>
            </w:pP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82"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EBIT is a non-GAAP financial measure. Refer to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for a reconciliation of this non-GAAP financial measure to the corresponding GAAP measure.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results as applied to the 2023 AIP as described above, the CNG Committee’s approval resulted in the payment of the following amounts to our NEOs under the 2023 AIP: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40" w:type="dxa"/>
            <w:vAlign w:val="bottom"/>
          </w:tcPr>
          <w:p>
            <w:pPr>
              <w:spacing w:after="0"/>
              <w:rPr>
                <w:sz w:val="18"/>
                <w:szCs w:val="18"/>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2023 AIP</w:t>
            </w:r>
          </w:p>
        </w:tc>
        <w:tc>
          <w:tcPr>
            <w:tcW w:w="0" w:type="dxa"/>
            <w:vAlign w:val="bottom"/>
          </w:tcPr>
          <w:p>
            <w:pPr>
              <w:spacing w:after="0"/>
              <w:rPr>
                <w:sz w:val="1"/>
                <w:szCs w:val="1"/>
                <w:color w:val="auto"/>
              </w:rPr>
            </w:pPr>
          </w:p>
        </w:tc>
      </w:tr>
      <w:tr>
        <w:trPr>
          <w:trHeight w:val="243"/>
        </w:trPr>
        <w:tc>
          <w:tcPr>
            <w:tcW w:w="906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1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2,994,600</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Scott Huckins</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589,316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543,725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Huckins’ AIP payout amount was based on his base salary in 2023, which was prorated based on his start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paid to our NEOs pursuant to the 2023 AIP are set forth in the “Non-Equity Incentive Plan Compensation” column of our Summary Compensation Table, because the outcomes with respect to the relevant targets under the objectives were substantially uncertain at the time the targets were established by the CNG Committee and communicated to the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connection with Mr. Huckins’ appointment as Chief Financial Officer, the CNG Committee provided for a cash sign-on bonus of $500,000, which was paid to Mr. Huckins on December 29, 2023, and which is subject to full repayment to us by Mr. Huckins in the event that, within one year following the payment date, he voluntarily terminates his employment or we terminate his employment for cause.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Granted in 2023</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LTI program for 2023 consisted of RSU and PSU awards. The CNG Committee believes that this mix emphasizes performance, further aligning with our stockholders’ interests, and promotes retention. The RSUs vest over a three-year period, with 1/3 vesting each year, beginning on the first anniversary of the date of grant. The PSUs are earned based on the extent to which specified performance metrics established at the date of the grant were achieved. For our senior executives, including our NEOs, 50% of the target number of PSUs that could be earned would be determined by 2023 adjusted earnings per share as a percentage of 2022 adjusted earnings per share (“Adjusted EPS Growth”). The remaining 50% would be determined by the 2023 Free Cash Flow. Participants had the ability to earn 25% of the target number of PSUs for achieving threshold performance and 200% of the target number of PSUs for achieving maximum performance. The number of PSUs earned, if any, would vest on the third anniversary of the date of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time of grant, the CNG Committee established the following percentage of target number of PSUs that could be earned, based on the degree to which each of Adjusted EPS Growth and Free Cash Flow was attained for 2023:</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EPS Growth</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17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21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FY 2023 ($)</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300" w:type="dxa"/>
            <w:vAlign w:val="bottom"/>
            <w:tcBorders>
              <w:top w:val="single" w:sz="8" w:color="CCEEFF"/>
            </w:tcBorders>
            <w:shd w:val="clear" w:color="auto" w:fill="CCEEFF"/>
          </w:tcPr>
          <w:p>
            <w:pPr>
              <w:spacing w:after="0"/>
              <w:rPr>
                <w:sz w:val="18"/>
                <w:szCs w:val="18"/>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of FY 2022</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88 %</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103.5 %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119 %</w:t>
            </w: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PSUs Earned</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25 %</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100 %</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200 %</w:t>
            </w: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0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Threshold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FY 2023 ($m)</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1"/>
              </w:rPr>
              <w:t>328</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99"/>
              </w:rPr>
              <w:t>410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99"/>
              </w:rPr>
              <w:t>492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 PSUs Earned</w:t>
            </w:r>
          </w:p>
        </w:tc>
        <w:tc>
          <w:tcPr>
            <w:tcW w:w="1000" w:type="dxa"/>
            <w:vAlign w:val="bottom"/>
          </w:tcPr>
          <w:p>
            <w:pPr>
              <w:spacing w:after="0"/>
              <w:rPr>
                <w:sz w:val="18"/>
                <w:szCs w:val="18"/>
                <w:color w:val="auto"/>
              </w:rPr>
            </w:pPr>
          </w:p>
        </w:tc>
        <w:tc>
          <w:tcPr>
            <w:tcW w:w="70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25 %</w:t>
            </w:r>
          </w:p>
        </w:tc>
        <w:tc>
          <w:tcPr>
            <w:tcW w:w="15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100 %</w:t>
            </w:r>
          </w:p>
        </w:tc>
        <w:tc>
          <w:tcPr>
            <w:tcW w:w="160" w:type="dxa"/>
            <w:vAlign w:val="bottom"/>
          </w:tcPr>
          <w:p>
            <w:pPr>
              <w:spacing w:after="0"/>
              <w:rPr>
                <w:sz w:val="18"/>
                <w:szCs w:val="18"/>
                <w:color w:val="auto"/>
              </w:rPr>
            </w:pPr>
          </w:p>
        </w:tc>
        <w:tc>
          <w:tcPr>
            <w:tcW w:w="156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532"/>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number of RSUs and the target number of PSUs granted to our NEOs in 2023 were as follows: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gridSpan w:val="4"/>
          </w:tcPr>
          <w:p>
            <w:pPr>
              <w:jc w:val="center"/>
              <w:ind w:right="940"/>
              <w:spacing w:after="0" w:line="202" w:lineRule="exact"/>
              <w:rPr>
                <w:sz w:val="20"/>
                <w:szCs w:val="20"/>
                <w:color w:val="auto"/>
              </w:rPr>
            </w:pPr>
            <w:r>
              <w:rPr>
                <w:rFonts w:ascii="Times New Roman" w:cs="Times New Roman" w:eastAsia="Times New Roman" w:hAnsi="Times New Roman"/>
                <w:sz w:val="18"/>
                <w:szCs w:val="18"/>
                <w:b w:val="1"/>
                <w:bCs w:val="1"/>
                <w:color w:val="auto"/>
                <w:w w:val="90"/>
              </w:rPr>
              <w:t>LTI</w:t>
            </w:r>
          </w:p>
        </w:tc>
        <w:tc>
          <w:tcPr>
            <w:tcW w:w="1560" w:type="dxa"/>
            <w:vAlign w:val="bottom"/>
            <w:gridSpan w:val="3"/>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0"/>
              </w:rPr>
              <w:t>LTI</w:t>
            </w:r>
          </w:p>
        </w:tc>
        <w:tc>
          <w:tcPr>
            <w:tcW w:w="0" w:type="dxa"/>
            <w:vAlign w:val="bottom"/>
          </w:tcPr>
          <w:p>
            <w:pPr>
              <w:spacing w:after="0"/>
              <w:rPr>
                <w:sz w:val="1"/>
                <w:szCs w:val="1"/>
                <w:color w:val="auto"/>
              </w:rPr>
            </w:pPr>
          </w:p>
        </w:tc>
      </w:tr>
      <w:tr>
        <w:trPr>
          <w:trHeight w:val="243"/>
        </w:trPr>
        <w:tc>
          <w:tcPr>
            <w:tcW w:w="628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0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RSUs (#)</w:t>
            </w: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PSUs (#)</w:t>
            </w:r>
          </w:p>
        </w:tc>
        <w:tc>
          <w:tcPr>
            <w:tcW w:w="0" w:type="dxa"/>
            <w:vAlign w:val="bottom"/>
          </w:tcPr>
          <w:p>
            <w:pPr>
              <w:spacing w:after="0"/>
              <w:rPr>
                <w:sz w:val="1"/>
                <w:szCs w:val="1"/>
                <w:color w:val="auto"/>
              </w:rPr>
            </w:pPr>
          </w:p>
        </w:tc>
      </w:tr>
      <w:tr>
        <w:trPr>
          <w:trHeight w:val="223"/>
        </w:trPr>
        <w:tc>
          <w:tcPr>
            <w:tcW w:w="6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65,017</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11,325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CNG Committee determined the degree to which the Adjusted EPS Growth and Free Cash Flow goals were attained, and the resulting percentage of target number of PSUs that were earned for each metric. Based on the achievement level of the Adjusted EPS Growth target, the percentage earned for such metric was 150%; and based on the achievement level of the Free Cash Flow target, the percentage earned for such metric was 200%. After applying the applicable weightings of these metrics, the percentage earned was 175% of target,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Attainment</w:t>
            </w:r>
          </w:p>
        </w:tc>
        <w:tc>
          <w:tcPr>
            <w:tcW w:w="380" w:type="dxa"/>
            <w:vAlign w:val="bottom"/>
          </w:tcPr>
          <w:p>
            <w:pPr>
              <w:spacing w:after="0"/>
              <w:rPr>
                <w:sz w:val="17"/>
                <w:szCs w:val="17"/>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3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8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3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Earned</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vMerge w:val="continue"/>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EPS Growth (FY 2023 result / % of FY 2022)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 111%</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Free Cash Flow (FY 2023 result, in millions)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82"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EPS and Free Cash Flow are non-GAAP financial measures. Refer to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for a reconciliation of these non-GAAP financial measures to the corresponding GAAP measure.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results as applied to the 2023 PSUs as described above, the CNG Committee’s approval resulted in the following number of PSUs being earned by each NEO: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2023 PSUs Earned</w:t>
            </w:r>
          </w:p>
        </w:tc>
      </w:tr>
      <w:tr>
        <w:trPr>
          <w:trHeight w:val="223"/>
        </w:trPr>
        <w:tc>
          <w:tcPr>
            <w:tcW w:w="9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1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113,780</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120" w:type="dxa"/>
            <w:vAlign w:val="bottom"/>
            <w:shd w:val="clear" w:color="auto" w:fill="CCEEFF"/>
          </w:tcPr>
          <w:p>
            <w:pPr>
              <w:spacing w:after="0"/>
              <w:rPr>
                <w:sz w:val="19"/>
                <w:szCs w:val="19"/>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120" w:type="dxa"/>
            <w:vAlign w:val="bottom"/>
          </w:tcPr>
          <w:p>
            <w:pPr>
              <w:spacing w:after="0"/>
              <w:rPr>
                <w:sz w:val="19"/>
                <w:szCs w:val="19"/>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w:t>
            </w:r>
          </w:p>
        </w:tc>
        <w:tc>
          <w:tcPr>
            <w:tcW w:w="120" w:type="dxa"/>
            <w:vAlign w:val="bottom"/>
            <w:shd w:val="clear" w:color="auto" w:fill="CCEEFF"/>
          </w:tcPr>
          <w:p>
            <w:pPr>
              <w:spacing w:after="0"/>
              <w:rPr>
                <w:sz w:val="19"/>
                <w:szCs w:val="19"/>
                <w:color w:val="auto"/>
              </w:rPr>
            </w:pPr>
          </w:p>
        </w:tc>
      </w:tr>
      <w:tr>
        <w:trPr>
          <w:trHeight w:val="234"/>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32,610</w:t>
            </w:r>
          </w:p>
        </w:tc>
        <w:tc>
          <w:tcPr>
            <w:tcW w:w="120" w:type="dxa"/>
            <w:vAlign w:val="bottom"/>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earned PSUs will vest on February 1, 2026, the third anniversary of the date of grant.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Compensation—Retirement and Welfare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Retirement and welfare benefit programs are a necessary element of the total compensation package to ensure a competitive position in attracting and retaining a committed workforce. Participation in these programs is not tied to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specific contribution levels to these programs are adjusted annually to maintain a competitive position while considering costs.</w:t>
      </w:r>
    </w:p>
    <w:p>
      <w:pPr>
        <w:spacing w:after="0" w:line="225" w:lineRule="exact"/>
        <w:rPr>
          <w:sz w:val="20"/>
          <w:szCs w:val="20"/>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Savings Plan. All non-union employees in the United States, including our NEOs, are eligible to participate in a tax-qualified retirement savings plan under Section 401(k) of the Internal Revenue Code of 1986, as amended (the “Code”). We make a 2% non-elective contribution and matching contributions of 100% of the first 6% of an employee’s elective deferral contribution.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Welfare Plans. Our executives are also eligible to participate in our broad-based health and welfare plans (including medical, dental, vision, life insurance and disability plans) upon the same terms and conditions as other employees.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for Pactiv Evergreen (formerly known as the Pactiv Evergreen Pension Plan). Certain employees, including Mses. Buckner and Smith, have frozen benefits under the Pension Plan for Pactiv Evergreen.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who are at a designated salary grade or above, including all NEOs, may defer a portion of their salary and bonus each year into a nonqualified deferred compensation plan, which is a tax-deferred plan. We also make contributions to this plan mirroring percentage contributions made to the 401(k) plan. This program is intended to promote retention by providing a long-term savings opportunity on a tax-efficient basis. The amounts deferred are our unsecured obligations, receive no preferential standing, and are subject to the same risks as any of our other unsecured obligations.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the NEOs with limited perquisites and other personal benefits, including reimbursement of relocation costs. Additionally, we purchase tickets to various cultural, charitable, civic, entertainment and sporting events for business development and relationship building purposes, and to maintain involvement in communities in which we operate and our employees live. Occasionally, our employees, including the NEOs, make personal use of tickets that would not otherwise be used for business purposes. The CNG Committee periodically reviews the levels of perquisites and other personal benefits provided to our NEOs. The CNG Committee intends to maintain only those perquisites and other benefits that it determines to be necessary components of total compensation and that are not inconsistent with stockholder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NEOs (the “Employment Agreements”). The Employment Agreements provide for an initial base salary and an annual cash target incentive percentage, which may be adjusted from time to time by the CNG Committee. Other key elements of these agreements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157480</wp:posOffset>
            </wp:positionV>
            <wp:extent cx="8255" cy="3505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350583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157480</wp:posOffset>
            </wp:positionV>
            <wp:extent cx="8890" cy="3505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350583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Restrictive</w:t>
            </w:r>
          </w:p>
        </w:tc>
        <w:tc>
          <w:tcPr>
            <w:tcW w:w="0" w:type="dxa"/>
            <w:vAlign w:val="bottom"/>
          </w:tcPr>
          <w:p>
            <w:pPr>
              <w:spacing w:after="0"/>
              <w:rPr>
                <w:sz w:val="1"/>
                <w:szCs w:val="1"/>
                <w:color w:val="auto"/>
              </w:rPr>
            </w:pPr>
          </w:p>
        </w:tc>
      </w:tr>
      <w:tr>
        <w:trPr>
          <w:trHeight w:val="124"/>
        </w:trPr>
        <w:tc>
          <w:tcPr>
            <w:tcW w:w="1760" w:type="dxa"/>
            <w:vAlign w:val="bottom"/>
            <w:gridSpan w:val="3"/>
            <w:vMerge w:val="restart"/>
          </w:tcPr>
          <w:p>
            <w:pPr>
              <w:jc w:val="center"/>
              <w:ind w:right="60"/>
              <w:spacing w:after="0" w:line="17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3700" w:type="dxa"/>
            <w:vAlign w:val="bottom"/>
          </w:tcPr>
          <w:p>
            <w:pPr>
              <w:spacing w:after="0"/>
              <w:rPr>
                <w:sz w:val="10"/>
                <w:szCs w:val="10"/>
                <w:color w:val="auto"/>
              </w:rPr>
            </w:pPr>
          </w:p>
        </w:tc>
        <w:tc>
          <w:tcPr>
            <w:tcW w:w="700" w:type="dxa"/>
            <w:vAlign w:val="bottom"/>
            <w:vMerge w:val="restart"/>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Severance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7"/>
              </w:rPr>
              <w:t>(1)</w:t>
            </w:r>
          </w:p>
        </w:tc>
        <w:tc>
          <w:tcPr>
            <w:tcW w:w="3700" w:type="dxa"/>
            <w:vAlign w:val="bottom"/>
          </w:tcPr>
          <w:p>
            <w:pPr>
              <w:spacing w:after="0"/>
              <w:rPr>
                <w:sz w:val="10"/>
                <w:szCs w:val="10"/>
                <w:color w:val="auto"/>
              </w:rPr>
            </w:pPr>
          </w:p>
        </w:tc>
        <w:tc>
          <w:tcPr>
            <w:tcW w:w="720" w:type="dxa"/>
            <w:vAlign w:val="bottom"/>
            <w:vMerge w:val="restart"/>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7"/>
              </w:rPr>
              <w:t>Covenants</w:t>
            </w:r>
          </w:p>
        </w:tc>
        <w:tc>
          <w:tcPr>
            <w:tcW w:w="1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b w:val="1"/>
                <w:bCs w:val="1"/>
                <w:color w:val="auto"/>
                <w:w w:val="77"/>
              </w:rPr>
              <w:t>(2)</w:t>
            </w:r>
          </w:p>
        </w:tc>
        <w:tc>
          <w:tcPr>
            <w:tcW w:w="4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760" w:type="dxa"/>
            <w:vAlign w:val="bottom"/>
            <w:gridSpan w:val="3"/>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Borders>
              <w:bottom w:val="single" w:sz="8" w:color="auto"/>
            </w:tcBorders>
            <w:vMerge w:val="continue"/>
          </w:tcPr>
          <w:p>
            <w:pPr>
              <w:spacing w:after="0" w:line="20" w:lineRule="exact"/>
              <w:rPr>
                <w:sz w:val="1"/>
                <w:szCs w:val="1"/>
                <w:color w:val="auto"/>
              </w:rPr>
            </w:pPr>
          </w:p>
        </w:tc>
        <w:tc>
          <w:tcPr>
            <w:tcW w:w="3700" w:type="dxa"/>
            <w:vAlign w:val="bottom"/>
            <w:vMerge w:val="restart"/>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760" w:type="dxa"/>
            <w:vAlign w:val="bottom"/>
            <w:gridSpan w:val="3"/>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720" w:type="dxa"/>
            <w:vAlign w:val="bottom"/>
            <w:tcBorders>
              <w:bottom w:val="single" w:sz="8" w:color="auto"/>
            </w:tcBorders>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Lance Mitchell</w:t>
            </w:r>
          </w:p>
        </w:tc>
        <w:tc>
          <w:tcPr>
            <w:tcW w:w="82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12 months base salary plus a prorated target annual incentive</w:t>
            </w:r>
          </w:p>
        </w:tc>
        <w:tc>
          <w:tcPr>
            <w:tcW w:w="126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6"/>
              </w:rPr>
              <w:t>Yes</w:t>
            </w: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20" w:type="dxa"/>
            <w:vAlign w:val="bottom"/>
            <w:gridSpan w:val="4"/>
            <w:shd w:val="clear" w:color="auto" w:fill="CCEEFF"/>
          </w:tcPr>
          <w:p>
            <w:pPr>
              <w:ind w:left="280"/>
              <w:spacing w:after="0" w:line="203" w:lineRule="exact"/>
              <w:rPr>
                <w:sz w:val="20"/>
                <w:szCs w:val="20"/>
                <w:color w:val="auto"/>
              </w:rPr>
            </w:pPr>
            <w:r>
              <w:rPr>
                <w:rFonts w:ascii="Times New Roman" w:cs="Times New Roman" w:eastAsia="Times New Roman" w:hAnsi="Times New Roman"/>
                <w:sz w:val="16"/>
                <w:szCs w:val="16"/>
                <w:color w:val="auto"/>
              </w:rPr>
              <w:t>•  24 months base salary plus a prorated target annual incentive if following a Sale of Business</w:t>
            </w:r>
            <w:r>
              <w:rPr>
                <w:rFonts w:ascii="Times New Roman" w:cs="Times New Roman" w:eastAsia="Times New Roman" w:hAnsi="Times New Roman"/>
                <w:sz w:val="21"/>
                <w:szCs w:val="21"/>
                <w:color w:val="auto"/>
                <w:vertAlign w:val="superscript"/>
              </w:rPr>
              <w:t>(3)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12 months COBRA premium assistance</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Scott Huckins</w:t>
            </w:r>
          </w:p>
        </w:tc>
        <w:tc>
          <w:tcPr>
            <w:tcW w:w="822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  12 months base salary</w:t>
            </w: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6"/>
              </w:rPr>
              <w:t>Yes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20" w:type="dxa"/>
            <w:vAlign w:val="bottom"/>
            <w:gridSpan w:val="4"/>
          </w:tcPr>
          <w:p>
            <w:pPr>
              <w:ind w:left="280"/>
              <w:spacing w:after="0" w:line="203" w:lineRule="exact"/>
              <w:rPr>
                <w:sz w:val="20"/>
                <w:szCs w:val="20"/>
                <w:color w:val="auto"/>
              </w:rPr>
            </w:pPr>
            <w:r>
              <w:rPr>
                <w:rFonts w:ascii="Times New Roman" w:cs="Times New Roman" w:eastAsia="Times New Roman" w:hAnsi="Times New Roman"/>
                <w:sz w:val="16"/>
                <w:szCs w:val="16"/>
                <w:color w:val="auto"/>
              </w:rPr>
              <w:t>•  24 months base salary plus a prorated target annual incentive if following a Sale of Business</w:t>
            </w:r>
            <w:r>
              <w:rPr>
                <w:rFonts w:ascii="Times New Roman" w:cs="Times New Roman" w:eastAsia="Times New Roman" w:hAnsi="Times New Roman"/>
                <w:sz w:val="21"/>
                <w:szCs w:val="21"/>
                <w:color w:val="auto"/>
                <w:vertAlign w:val="superscript"/>
              </w:rPr>
              <w:t>(3)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  12 months COBRA premium assistance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Rachel Bishop</w:t>
            </w:r>
          </w:p>
        </w:tc>
        <w:tc>
          <w:tcPr>
            <w:tcW w:w="82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12 months base salary</w:t>
            </w:r>
          </w:p>
        </w:tc>
        <w:tc>
          <w:tcPr>
            <w:tcW w:w="126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6"/>
              </w:rPr>
              <w:t>Yes</w:t>
            </w: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20" w:type="dxa"/>
            <w:vAlign w:val="bottom"/>
            <w:gridSpan w:val="4"/>
            <w:shd w:val="clear" w:color="auto" w:fill="CCEEFF"/>
          </w:tcPr>
          <w:p>
            <w:pPr>
              <w:ind w:left="280"/>
              <w:spacing w:after="0" w:line="203" w:lineRule="exact"/>
              <w:rPr>
                <w:sz w:val="20"/>
                <w:szCs w:val="20"/>
                <w:color w:val="auto"/>
              </w:rPr>
            </w:pPr>
            <w:r>
              <w:rPr>
                <w:rFonts w:ascii="Times New Roman" w:cs="Times New Roman" w:eastAsia="Times New Roman" w:hAnsi="Times New Roman"/>
                <w:sz w:val="16"/>
                <w:szCs w:val="16"/>
                <w:color w:val="auto"/>
              </w:rPr>
              <w:t>•  24 months base salary plus a prorated target annual incentive if following a Sale of Business</w:t>
            </w:r>
            <w:r>
              <w:rPr>
                <w:rFonts w:ascii="Times New Roman" w:cs="Times New Roman" w:eastAsia="Times New Roman" w:hAnsi="Times New Roman"/>
                <w:sz w:val="21"/>
                <w:szCs w:val="21"/>
                <w:color w:val="auto"/>
                <w:vertAlign w:val="superscript"/>
              </w:rPr>
              <w:t>(3)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12 months COBRA premium assistance</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Judith Buckner</w:t>
            </w:r>
          </w:p>
        </w:tc>
        <w:tc>
          <w:tcPr>
            <w:tcW w:w="822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  12 months base salary</w:t>
            </w: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6"/>
              </w:rPr>
              <w:t>Yes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20" w:type="dxa"/>
            <w:vAlign w:val="bottom"/>
            <w:gridSpan w:val="4"/>
          </w:tcPr>
          <w:p>
            <w:pPr>
              <w:ind w:left="280"/>
              <w:spacing w:after="0" w:line="203" w:lineRule="exact"/>
              <w:rPr>
                <w:sz w:val="20"/>
                <w:szCs w:val="20"/>
                <w:color w:val="auto"/>
              </w:rPr>
            </w:pPr>
            <w:r>
              <w:rPr>
                <w:rFonts w:ascii="Times New Roman" w:cs="Times New Roman" w:eastAsia="Times New Roman" w:hAnsi="Times New Roman"/>
                <w:sz w:val="16"/>
                <w:szCs w:val="16"/>
                <w:color w:val="auto"/>
              </w:rPr>
              <w:t>•  24 months base salary plus a prorated target annual incentive if following a Sale of Business</w:t>
            </w:r>
            <w:r>
              <w:rPr>
                <w:rFonts w:ascii="Times New Roman" w:cs="Times New Roman" w:eastAsia="Times New Roman" w:hAnsi="Times New Roman"/>
                <w:sz w:val="21"/>
                <w:szCs w:val="21"/>
                <w:color w:val="auto"/>
                <w:vertAlign w:val="superscript"/>
              </w:rPr>
              <w:t>(3)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  12 months COBRA premium assistance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Lisa Smith</w:t>
            </w:r>
          </w:p>
        </w:tc>
        <w:tc>
          <w:tcPr>
            <w:tcW w:w="82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12 months base salary</w:t>
            </w:r>
          </w:p>
        </w:tc>
        <w:tc>
          <w:tcPr>
            <w:tcW w:w="126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color w:val="auto"/>
                <w:w w:val="96"/>
              </w:rPr>
              <w:t>Yes</w:t>
            </w: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20" w:type="dxa"/>
            <w:vAlign w:val="bottom"/>
            <w:gridSpan w:val="4"/>
            <w:shd w:val="clear" w:color="auto" w:fill="CCEEFF"/>
          </w:tcPr>
          <w:p>
            <w:pPr>
              <w:ind w:left="280"/>
              <w:spacing w:after="0" w:line="203" w:lineRule="exact"/>
              <w:rPr>
                <w:sz w:val="20"/>
                <w:szCs w:val="20"/>
                <w:color w:val="auto"/>
              </w:rPr>
            </w:pPr>
            <w:r>
              <w:rPr>
                <w:rFonts w:ascii="Times New Roman" w:cs="Times New Roman" w:eastAsia="Times New Roman" w:hAnsi="Times New Roman"/>
                <w:sz w:val="16"/>
                <w:szCs w:val="16"/>
                <w:color w:val="auto"/>
              </w:rPr>
              <w:t>•  24 months base salary plus a prorated target annual incentive if following a Sale of Business</w:t>
            </w:r>
            <w:r>
              <w:rPr>
                <w:rFonts w:ascii="Times New Roman" w:cs="Times New Roman" w:eastAsia="Times New Roman" w:hAnsi="Times New Roman"/>
                <w:sz w:val="21"/>
                <w:szCs w:val="21"/>
                <w:color w:val="auto"/>
                <w:vertAlign w:val="superscript"/>
              </w:rPr>
              <w:t>(3)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12 months COBRA premium assistance</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w w:val="97"/>
              </w:rPr>
              <w:t>Michael Graham</w:t>
            </w:r>
            <w:r>
              <w:rPr>
                <w:rFonts w:ascii="Times New Roman" w:cs="Times New Roman" w:eastAsia="Times New Roman" w:hAnsi="Times New Roman"/>
                <w:sz w:val="21"/>
                <w:szCs w:val="21"/>
                <w:b w:val="1"/>
                <w:bCs w:val="1"/>
                <w:i w:val="1"/>
                <w:iCs w:val="1"/>
                <w:color w:val="auto"/>
                <w:w w:val="97"/>
                <w:vertAlign w:val="superscript"/>
              </w:rPr>
              <w:t>(4)</w:t>
            </w:r>
          </w:p>
        </w:tc>
        <w:tc>
          <w:tcPr>
            <w:tcW w:w="822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  12 months base salary</w:t>
            </w: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6"/>
              </w:rPr>
              <w:t>Yes</w:t>
            </w:r>
          </w:p>
        </w:tc>
        <w:tc>
          <w:tcPr>
            <w:tcW w:w="0" w:type="dxa"/>
            <w:vAlign w:val="bottom"/>
          </w:tcPr>
          <w:p>
            <w:pPr>
              <w:spacing w:after="0"/>
              <w:rPr>
                <w:sz w:val="1"/>
                <w:szCs w:val="1"/>
                <w:color w:val="auto"/>
              </w:rPr>
            </w:pPr>
          </w:p>
        </w:tc>
      </w:tr>
    </w:tbl>
    <w:p>
      <w:pPr>
        <w:ind w:left="2260" w:hanging="212"/>
        <w:spacing w:after="0" w:line="204" w:lineRule="auto"/>
        <w:tabs>
          <w:tab w:leader="none" w:pos="22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 months base salary plus a prorated target annual incentive if following a Sale of Business</w:t>
      </w:r>
      <w:r>
        <w:rPr>
          <w:rFonts w:ascii="Times New Roman" w:cs="Times New Roman" w:eastAsia="Times New Roman" w:hAnsi="Times New Roman"/>
          <w:sz w:val="21"/>
          <w:szCs w:val="21"/>
          <w:color w:val="auto"/>
          <w:vertAlign w:val="superscript"/>
        </w:rPr>
        <w:t>(3)</w:t>
      </w:r>
    </w:p>
    <w:p>
      <w:pPr>
        <w:ind w:left="2260" w:hanging="212"/>
        <w:spacing w:after="0"/>
        <w:tabs>
          <w:tab w:leader="none" w:pos="22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months COBRA premium assistance</w:t>
      </w:r>
    </w:p>
    <w:p>
      <w:pPr>
        <w:spacing w:after="0" w:line="347" w:lineRule="exact"/>
        <w:rPr>
          <w:rFonts w:ascii="Times New Roman" w:cs="Times New Roman" w:eastAsia="Times New Roman" w:hAnsi="Times New Roman"/>
          <w:sz w:val="16"/>
          <w:szCs w:val="16"/>
          <w:color w:val="auto"/>
        </w:rPr>
      </w:pPr>
    </w:p>
    <w:p>
      <w:pPr>
        <w:jc w:val="both"/>
        <w:ind w:left="340" w:hanging="332"/>
        <w:spacing w:after="0" w:line="257"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COBRA premium assistance are provided if the employee is terminated without cause. Upon termination of employment, equity awards will be treated based on individual equity agreements. See the “Potential Payments upon Termination or Change in Control - Equity Awards” section below for further discussion.</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5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include non-competition and non-solicitation covenants during employment and for one year following termination of employment for any reason.</w:t>
      </w:r>
    </w:p>
    <w:p>
      <w:pPr>
        <w:ind w:left="340" w:right="20" w:hanging="332"/>
        <w:spacing w:after="0" w:line="250" w:lineRule="auto"/>
        <w:tabs>
          <w:tab w:leader="none" w:pos="4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severance is provided if within 12 months following a Sale of Business, the employee is terminated without cause or resigns following a material reduction in his or her remuneration or scope of duties.</w:t>
      </w:r>
    </w:p>
    <w:p>
      <w:pPr>
        <w:ind w:left="340" w:right="20" w:hanging="332"/>
        <w:spacing w:after="0" w:line="260" w:lineRule="auto"/>
        <w:tabs>
          <w:tab w:leader="none" w:pos="4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Mr. Graham’s planned retirement on March 31, 2024, he will no longer be entitled to any severance benefits under his Employment Agreement, but the restrictive covenants will still apply to him for the period indicated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Equity Incentive Plan is to motivate and reward our employees, directors, consultants and advisors to perform at the highest level and to further our best interests and those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CNG Committee administers the Equity Incentive Plan. To the extent not inconsistent with applicable law, our CNG Committee may delegate to one or more of our officers some or all of the authority under the Equity Incentive Plan, including the authority to grant all types of awards authorized under the Equity Incentive Plan, except for grants to executive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all employees, directors, consultants or other advisors of the Company or any of its affiliates are eligible to receive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Repricing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provided in the adjustment provision of the Equity Incentive Plan, no action will directly or indirectly, through cancellation and regrant or any other method, reduce, or have the effect of reducing, the exercise price of any option or SAR established at the time of grant thereof without approval of our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Pay Cap</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adjustment provision of the Equity Incentive Plan, an individual who is a non-employee director may not receive awards, in cash or otherwise, for any calendar year that total more than $750,000 in the aggregate.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directors are prohibited from (i)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 and (ii) pledging Company securities in any circumstance, including by purchasing Company securities on margin or holding Company securities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October 2, 2023, our Board of Directors adopted an Amended and Restated Compensation Recoupment Policy (the “Clawback Policy”) in accordance with Nasdaq’s listing standards. The Clawback Policy applies to all incentive-based compensation, which is any compensation that is granted, earned, or vested based wholly or in part upon the attainment of a financial reporting measure, received by our executive officers, including our named executive officers.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Clawback Policy applies in the case of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Clawback Policy provides that promptly following such an accounting restatement, the amount of erroneously awarded compensation will be determined,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each such executive officer with a written notice of such amount and a demand for repayment or return. If such repayment or return is not made within a reasonable time, the Clawback Policy provides that the Company will recover the erroneously awarded compensation in a reasonable and prompt manner using any lawful method, subject to limited exceptions as permitted by Nasdaq.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adopted Stock Ownership Guidelines applicable to our executive officers that became effective on July 1, 2023. Under the Guidelines, the following officers are expected to own shares of our common stock with a value at least equal to the following:</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5x annual 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Unit Presidents and Chief Financial Officer: 3x annual base salary;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officers: 2x annual base salary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owned directly and indirectly, as well as full-value equity awards (such as RSUs or earned PSUs) with only a time-based vesting condition, count toward the ownership level under the Guidelines. Unearned PSUs and stock options (if any were to be granted by the Company) do not count toward the ownership level under the Guidelines.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applicable ownership level is to be achieved within the later of July 1, 2028 (five years after the effective date of the Guidelines) or five years following when the officer becomes subject to the Guidelines. Prior to the first applicable Compliance Date, until an executive officer has satisfied the applicable level of ownership, he or she is required to retain not less than 50% of the net shares received (shares received after any shares are withheld to satisfy the applicable withholding taxes) from the vesting or settlement of any equity award granted after the effective date of the Guidelines. As of and following the first applicable Compliance Date, if the applicable level of ownership has not been achieved, or if it has been achieved but an executive officer falls below the applicable level of ownership, he or she will be required to retain 100% of the net shares received from the vesting or settlement of any equity award granted until the applicable level of ownership is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Considerations of Our Executive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162(m) of the Code generally limits the tax deductibility of annual compensation paid by public companies for certain executive officers to $1 million. Although our CNG Committee is mindful of the benefits of tax deductibility when determining executive compensation, the CNG Committee may approve compensation that will not be fully-deductible in order to ensure competitive levels of total compensation for its executive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Our Stock-Based Compensation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payments, including grants under each of our equity compensation plans, in accordance with the requirements of Financial Accounting Standards Board (“FASB”) Accounting Standards Codification (“ASC”) Topic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NOMINATING AND CORPORATE GOVERNANCE COMMITTEE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Nominating and Corporate Governance Committee has reviewed and discussed the Compensation Discussion and Analysis with management. Based upon this review and discussion, the Compensation, Nominating and Corporate Governance Committee recommended to the Board of Directors that the Compensation Discussion and Analysis be included in this Proxy Statement and incorporated by reference in the Company’s Annual Report on Form 10-K for the year ended December 31, 2023.</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COMPENSATION, NOMINATING AND CORPORATE GOVERNANCE COMMITTEE</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Cole, Chair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Helen Golding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Noll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to our NEOs during our fiscal years ended December 31, 2023, 2022 and 2021.</w:t>
      </w: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8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1"/>
                <w:szCs w:val="11"/>
                <w:color w:val="auto"/>
              </w:rPr>
            </w:pPr>
          </w:p>
        </w:tc>
        <w:tc>
          <w:tcPr>
            <w:tcW w:w="1000" w:type="dxa"/>
            <w:vAlign w:val="bottom"/>
            <w:gridSpan w:val="2"/>
            <w:vMerge w:val="restart"/>
          </w:tcPr>
          <w:p>
            <w:pPr>
              <w:ind w:left="180"/>
              <w:spacing w:after="0" w:line="161" w:lineRule="exact"/>
              <w:rPr>
                <w:sz w:val="20"/>
                <w:szCs w:val="20"/>
                <w:color w:val="auto"/>
              </w:rPr>
            </w:pPr>
            <w:r>
              <w:rPr>
                <w:rFonts w:ascii="Times New Roman" w:cs="Times New Roman" w:eastAsia="Times New Roman" w:hAnsi="Times New Roman"/>
                <w:sz w:val="14"/>
                <w:szCs w:val="14"/>
                <w:b w:val="1"/>
                <w:bCs w:val="1"/>
                <w:color w:val="auto"/>
              </w:rPr>
              <w:t>Bonus</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1060" w:type="dxa"/>
            <w:vAlign w:val="bottom"/>
            <w:gridSpan w:val="2"/>
            <w:vMerge w:val="continue"/>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80" w:type="dxa"/>
            <w:vAlign w:val="bottom"/>
            <w:gridSpan w:val="2"/>
            <w:vMerge w:val="continue"/>
          </w:tcPr>
          <w:p>
            <w:pPr>
              <w:spacing w:after="0"/>
              <w:rPr>
                <w:sz w:val="11"/>
                <w:szCs w:val="11"/>
                <w:color w:val="auto"/>
              </w:rPr>
            </w:pPr>
          </w:p>
        </w:tc>
        <w:tc>
          <w:tcPr>
            <w:tcW w:w="1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²</w:t>
            </w:r>
            <w:r>
              <w:rPr>
                <w:rFonts w:ascii="MS PGothic" w:cs="MS PGothic" w:eastAsia="MS PGothic" w:hAnsi="MS PGothic"/>
                <w:sz w:val="14"/>
                <w:szCs w:val="14"/>
                <w:color w:val="auto"/>
              </w:rPr>
              <w:t>⁾</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³</w:t>
            </w:r>
            <w:r>
              <w:rPr>
                <w:rFonts w:ascii="MS PGothic" w:cs="MS PGothic" w:eastAsia="MS PGothic" w:hAnsi="MS PGothic"/>
                <w:sz w:val="14"/>
                <w:szCs w:val="14"/>
                <w:color w:val="auto"/>
              </w:rPr>
              <w:t>⁾</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r>
              <w:rPr>
                <w:rFonts w:ascii="MS PGothic" w:cs="MS PGothic" w:eastAsia="MS PGothic" w:hAnsi="MS PGothic"/>
                <w:sz w:val="14"/>
                <w:szCs w:val="14"/>
                <w:color w:val="auto"/>
                <w:highlight w:val="black"/>
              </w:rPr>
              <w:t>⁽⁴⁾</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MS PGothic" w:cs="MS PGothic" w:eastAsia="MS PGothic" w:hAnsi="MS PGothic"/>
                <w:sz w:val="14"/>
                <w:szCs w:val="14"/>
                <w:color w:val="auto"/>
                <w:highlight w:val="black"/>
              </w:rPr>
              <w:t>⁽⁵⁾</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Lance Mitchell</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1,550,000</w:t>
            </w: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3,875,014</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2,994,600</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301,404</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8,721,018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President and Chief</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1,550,000</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3,875,000</w:t>
            </w:r>
          </w:p>
        </w:tc>
        <w:tc>
          <w:tcPr>
            <w:tcW w:w="12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1,158,625</w:t>
            </w:r>
          </w:p>
        </w:tc>
        <w:tc>
          <w:tcPr>
            <w:tcW w:w="12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221,536</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6,805,161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Officer</w:t>
            </w: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1,550,000</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3,487,508</w:t>
            </w: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713,000</w:t>
            </w: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189,869</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5,940,377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Scott Huckins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128,906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1,500,013</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162,422</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8,675</w:t>
            </w:r>
          </w:p>
        </w:tc>
        <w:tc>
          <w:tcPr>
            <w:tcW w:w="120" w:type="dxa"/>
            <w:vAlign w:val="bottom"/>
          </w:tcPr>
          <w:p>
            <w:pPr>
              <w:spacing w:after="0"/>
              <w:rPr>
                <w:sz w:val="16"/>
                <w:szCs w:val="16"/>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2,300,016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Rachel Bishop</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539,667</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730,338</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589,316</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84,545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1,943,866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President, Hefty Tableware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518,750</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708,750</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219,172</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58,204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1,504,876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447,863</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562,516</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116,444</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74,443</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1,201,266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Judith Buckner</w:t>
            </w:r>
            <w:r>
              <w:rPr>
                <w:rFonts w:ascii="MS PGothic" w:cs="MS PGothic" w:eastAsia="MS PGothic" w:hAnsi="MS PGothic"/>
                <w:sz w:val="14"/>
                <w:szCs w:val="14"/>
                <w:color w:val="auto"/>
                <w:highlight w:val="black"/>
              </w:rPr>
              <w:t>⁽⁶⁾</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525,000</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708,764</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573,300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14,167</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77,032</w:t>
            </w:r>
          </w:p>
        </w:tc>
        <w:tc>
          <w:tcPr>
            <w:tcW w:w="120" w:type="dxa"/>
            <w:vAlign w:val="bottom"/>
          </w:tcPr>
          <w:p>
            <w:pPr>
              <w:spacing w:after="0"/>
              <w:rPr>
                <w:sz w:val="16"/>
                <w:szCs w:val="16"/>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1,898,263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President, Reynolds</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477,083</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641,242</w:t>
            </w:r>
          </w:p>
        </w:tc>
        <w:tc>
          <w:tcPr>
            <w:tcW w:w="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201,568</w:t>
            </w:r>
          </w:p>
        </w:tc>
        <w:tc>
          <w:tcPr>
            <w:tcW w:w="120" w:type="dxa"/>
            <w:vAlign w:val="bottom"/>
          </w:tcPr>
          <w:p>
            <w:pPr>
              <w:spacing w:after="0"/>
              <w:rPr>
                <w:sz w:val="12"/>
                <w:szCs w:val="12"/>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57,276</w:t>
            </w:r>
          </w:p>
        </w:tc>
        <w:tc>
          <w:tcPr>
            <w:tcW w:w="120" w:type="dxa"/>
            <w:vAlign w:val="bottom"/>
          </w:tcPr>
          <w:p>
            <w:pPr>
              <w:spacing w:after="0"/>
              <w:rPr>
                <w:sz w:val="12"/>
                <w:szCs w:val="12"/>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1,377,169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Cooking &amp; Baking</w:t>
            </w: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Lisa Smith</w:t>
            </w:r>
            <w:r>
              <w:rPr>
                <w:rFonts w:ascii="MS PGothic" w:cs="MS PGothic" w:eastAsia="MS PGothic" w:hAnsi="MS PGothic"/>
                <w:sz w:val="14"/>
                <w:szCs w:val="14"/>
                <w:color w:val="auto"/>
                <w:highlight w:val="black"/>
              </w:rPr>
              <w:t>⁽⁶⁾</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497,917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675,000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543,725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69,299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1,786,364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6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President, Hefty Waste and</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467,917</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641,242</w:t>
            </w:r>
          </w:p>
        </w:tc>
        <w:tc>
          <w:tcPr>
            <w:tcW w:w="12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197,695</w:t>
            </w:r>
          </w:p>
        </w:tc>
        <w:tc>
          <w:tcPr>
            <w:tcW w:w="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51,986</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1,359,070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Storage</w:t>
            </w:r>
          </w:p>
        </w:tc>
        <w:tc>
          <w:tcPr>
            <w:tcW w:w="6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Michael Graham</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847,358</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1,110,616</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854,137</w:t>
            </w:r>
          </w:p>
        </w:tc>
        <w:tc>
          <w:tcPr>
            <w:tcW w:w="12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119,310</w:t>
            </w:r>
          </w:p>
        </w:tc>
        <w:tc>
          <w:tcPr>
            <w:tcW w:w="120" w:type="dxa"/>
            <w:vAlign w:val="bottom"/>
          </w:tcPr>
          <w:p>
            <w:pPr>
              <w:spacing w:after="0"/>
              <w:rPr>
                <w:sz w:val="14"/>
                <w:szCs w:val="1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2,931,421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6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Former Chief Financial</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822,678</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1,110,606</w:t>
            </w:r>
          </w:p>
        </w:tc>
        <w:tc>
          <w:tcPr>
            <w:tcW w:w="12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320,844</w:t>
            </w:r>
          </w:p>
        </w:tc>
        <w:tc>
          <w:tcPr>
            <w:tcW w:w="120" w:type="dxa"/>
            <w:vAlign w:val="bottom"/>
          </w:tcPr>
          <w:p>
            <w:pPr>
              <w:spacing w:after="0"/>
              <w:rPr>
                <w:sz w:val="13"/>
                <w:szCs w:val="13"/>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92,907</w:t>
            </w:r>
          </w:p>
        </w:tc>
        <w:tc>
          <w:tcPr>
            <w:tcW w:w="120" w:type="dxa"/>
            <w:vAlign w:val="bottom"/>
          </w:tcPr>
          <w:p>
            <w:pPr>
              <w:spacing w:after="0"/>
              <w:rPr>
                <w:sz w:val="13"/>
                <w:szCs w:val="13"/>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2,347,035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822,678</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1,028,356</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197,443</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128,572</w:t>
            </w:r>
          </w:p>
        </w:tc>
        <w:tc>
          <w:tcPr>
            <w:tcW w:w="120" w:type="dxa"/>
            <w:vAlign w:val="bottom"/>
          </w:tcPr>
          <w:p>
            <w:pPr>
              <w:spacing w:after="0"/>
              <w:rPr>
                <w:sz w:val="16"/>
                <w:szCs w:val="16"/>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2,177,049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-2478405</wp:posOffset>
            </wp:positionV>
            <wp:extent cx="94615" cy="74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-2478405</wp:posOffset>
            </wp:positionV>
            <wp:extent cx="94615" cy="749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-2487295</wp:posOffset>
            </wp:positionV>
            <wp:extent cx="94615" cy="749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327" w:lineRule="exact"/>
        <w:rPr>
          <w:sz w:val="20"/>
          <w:szCs w:val="20"/>
          <w:color w:val="auto"/>
        </w:rPr>
      </w:pPr>
    </w:p>
    <w:p>
      <w:pPr>
        <w:ind w:left="340" w:hanging="332"/>
        <w:spacing w:after="0" w:line="280" w:lineRule="auto"/>
        <w:tabs>
          <w:tab w:leader="none" w:pos="39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cash sign-on bonus of $500,000 paid to Mr. Huckins on December 29, 2023, which bonus is subject to full repayment to us by Mr. Huckins in the event that, within one year following the payment date, he voluntarily terminates his employment or we terminate his employment for cause.</w:t>
      </w:r>
    </w:p>
    <w:p>
      <w:pPr>
        <w:spacing w:after="0" w:line="191" w:lineRule="exact"/>
        <w:rPr>
          <w:rFonts w:ascii="Times New Roman" w:cs="Times New Roman" w:eastAsia="Times New Roman" w:hAnsi="Times New Roman"/>
          <w:sz w:val="16"/>
          <w:szCs w:val="16"/>
          <w:color w:val="auto"/>
        </w:rPr>
      </w:pPr>
    </w:p>
    <w:p>
      <w:pPr>
        <w:jc w:val="both"/>
        <w:ind w:left="340" w:hanging="332"/>
        <w:spacing w:after="0" w:line="269" w:lineRule="auto"/>
        <w:tabs>
          <w:tab w:leader="none" w:pos="46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RSU and PSU awards granted during 2023, 2022 and 2021, computed in accordance with FASB ASC Topic 718, which for RSUs was equal to the number of RSUs in the grant, multiplied by the closing price of a share of our common stock on the date of grant, and for PSUs was equal to the closing price of a share of our common stock on the date of grant, multiplied by the number of shares that would be earned based on the probable outcome of the applicable performance conditions.</w:t>
      </w:r>
    </w:p>
    <w:p>
      <w:pPr>
        <w:spacing w:after="0" w:line="12" w:lineRule="exact"/>
        <w:rPr>
          <w:sz w:val="20"/>
          <w:szCs w:val="20"/>
          <w:color w:val="auto"/>
        </w:rPr>
      </w:pPr>
    </w:p>
    <w:p>
      <w:pPr>
        <w:ind w:left="340"/>
        <w:spacing w:after="0" w:line="280" w:lineRule="auto"/>
        <w:rPr>
          <w:sz w:val="20"/>
          <w:szCs w:val="20"/>
          <w:color w:val="auto"/>
        </w:rPr>
      </w:pPr>
      <w:r>
        <w:rPr>
          <w:rFonts w:ascii="Times New Roman" w:cs="Times New Roman" w:eastAsia="Times New Roman" w:hAnsi="Times New Roman"/>
          <w:sz w:val="16"/>
          <w:szCs w:val="16"/>
          <w:color w:val="auto"/>
        </w:rPr>
        <w:t>The following tables present the grant date fair value of the RSUs included in the stock awards column above, as well as the grant date fair value of the PSUs and the grant date fair value of the PSUs assuming that the highest level of performance conditions would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20" w:type="dxa"/>
            <w:vAlign w:val="bottom"/>
            <w:gridSpan w:val="3"/>
            <w:vMerge w:val="restart"/>
          </w:tcPr>
          <w:p>
            <w:pPr>
              <w:jc w:val="right"/>
              <w:ind w:right="1528"/>
              <w:spacing w:after="0"/>
              <w:rPr>
                <w:sz w:val="20"/>
                <w:szCs w:val="20"/>
                <w:color w:val="auto"/>
              </w:rPr>
            </w:pPr>
            <w:r>
              <w:rPr>
                <w:rFonts w:ascii="Times New Roman" w:cs="Times New Roman" w:eastAsia="Times New Roman" w:hAnsi="Times New Roman"/>
                <w:sz w:val="14"/>
                <w:szCs w:val="14"/>
                <w:b w:val="1"/>
                <w:bCs w:val="1"/>
                <w:color w:val="auto"/>
              </w:rPr>
              <w:t>2023 Annual PSUs</w:t>
            </w:r>
          </w:p>
        </w:tc>
        <w:tc>
          <w:tcPr>
            <w:tcW w:w="300" w:type="dxa"/>
            <w:vAlign w:val="bottom"/>
            <w:vMerge w:val="restart"/>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20" w:type="dxa"/>
            <w:vAlign w:val="bottom"/>
            <w:tcBorders>
              <w:bottom w:val="single" w:sz="8" w:color="auto"/>
            </w:tcBorders>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RSUs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1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300" w:type="dxa"/>
            <w:vAlign w:val="bottom"/>
          </w:tcPr>
          <w:p>
            <w:pPr>
              <w:spacing w:after="0"/>
              <w:rPr>
                <w:sz w:val="11"/>
                <w:szCs w:val="11"/>
                <w:color w:val="auto"/>
              </w:rPr>
            </w:pP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Value (Based on</w:t>
            </w:r>
          </w:p>
        </w:tc>
        <w:tc>
          <w:tcPr>
            <w:tcW w:w="24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Value (Based on</w:t>
            </w: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Probable Outcome)</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Lance Mitchell</w:t>
            </w: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1,937,507</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3,875,014</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Huckins</w:t>
            </w: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Rachel Bishop</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365,169</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730,338</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Judith Buckner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354,382</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708,764</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Lisa Smith</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337,485</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674,970</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Graham</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555,293</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1,110,586</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gridSpan w:val="3"/>
            <w:vMerge w:val="restart"/>
          </w:tcPr>
          <w:p>
            <w:pPr>
              <w:jc w:val="right"/>
              <w:ind w:right="1528"/>
              <w:spacing w:after="0"/>
              <w:rPr>
                <w:sz w:val="20"/>
                <w:szCs w:val="20"/>
                <w:color w:val="auto"/>
              </w:rPr>
            </w:pPr>
            <w:r>
              <w:rPr>
                <w:rFonts w:ascii="Times New Roman" w:cs="Times New Roman" w:eastAsia="Times New Roman" w:hAnsi="Times New Roman"/>
                <w:sz w:val="14"/>
                <w:szCs w:val="14"/>
                <w:b w:val="1"/>
                <w:bCs w:val="1"/>
                <w:color w:val="auto"/>
              </w:rPr>
              <w:t>2022 Annual PSUs</w:t>
            </w:r>
          </w:p>
        </w:tc>
        <w:tc>
          <w:tcPr>
            <w:tcW w:w="300" w:type="dxa"/>
            <w:vAlign w:val="bottom"/>
            <w:vMerge w:val="restart"/>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bottom w:val="single" w:sz="8" w:color="auto"/>
            </w:tcBorders>
            <w:gridSpan w:val="3"/>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RSUs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300" w:type="dxa"/>
            <w:vAlign w:val="bottom"/>
          </w:tcPr>
          <w:p>
            <w:pPr>
              <w:spacing w:after="0"/>
              <w:rPr>
                <w:sz w:val="11"/>
                <w:szCs w:val="11"/>
                <w:color w:val="auto"/>
              </w:rPr>
            </w:pP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 (Based on</w:t>
            </w:r>
          </w:p>
        </w:tc>
        <w:tc>
          <w:tcPr>
            <w:tcW w:w="2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(Based on</w:t>
            </w: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Probable Outcome)</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Lance Mitchell</w:t>
            </w:r>
          </w:p>
        </w:tc>
        <w:tc>
          <w:tcPr>
            <w:tcW w:w="2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1,937,500</w:t>
            </w:r>
          </w:p>
        </w:tc>
        <w:tc>
          <w:tcPr>
            <w:tcW w:w="3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3,875,000</w:t>
            </w:r>
          </w:p>
        </w:tc>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80" w:type="dxa"/>
            <w:vAlign w:val="bottom"/>
            <w:gridSpan w:val="2"/>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Rachel Bishop</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354,375</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708,750</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80" w:type="dxa"/>
            <w:vAlign w:val="bottom"/>
            <w:gridSpan w:val="2"/>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Judith Buckner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320,606</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641,212</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80" w:type="dxa"/>
            <w:vAlign w:val="bottom"/>
            <w:gridSpan w:val="2"/>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Lisa Smith</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320,606</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641,212</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80" w:type="dxa"/>
            <w:vAlign w:val="bottom"/>
            <w:gridSpan w:val="2"/>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Graham</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555,303</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1,110,606</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gridSpan w:val="3"/>
            <w:vMerge w:val="restart"/>
          </w:tcPr>
          <w:p>
            <w:pPr>
              <w:jc w:val="right"/>
              <w:ind w:right="1528"/>
              <w:spacing w:after="0"/>
              <w:rPr>
                <w:sz w:val="20"/>
                <w:szCs w:val="20"/>
                <w:color w:val="auto"/>
              </w:rPr>
            </w:pPr>
            <w:r>
              <w:rPr>
                <w:rFonts w:ascii="Times New Roman" w:cs="Times New Roman" w:eastAsia="Times New Roman" w:hAnsi="Times New Roman"/>
                <w:sz w:val="14"/>
                <w:szCs w:val="14"/>
                <w:b w:val="1"/>
                <w:bCs w:val="1"/>
                <w:color w:val="auto"/>
              </w:rPr>
              <w:t>2021 Annual PSUs</w:t>
            </w:r>
          </w:p>
        </w:tc>
        <w:tc>
          <w:tcPr>
            <w:tcW w:w="300" w:type="dxa"/>
            <w:vAlign w:val="bottom"/>
            <w:vMerge w:val="restart"/>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20" w:type="dxa"/>
            <w:vAlign w:val="bottom"/>
            <w:tcBorders>
              <w:bottom w:val="single" w:sz="8" w:color="auto"/>
            </w:tcBorders>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RSUs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1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300" w:type="dxa"/>
            <w:vAlign w:val="bottom"/>
          </w:tcPr>
          <w:p>
            <w:pPr>
              <w:spacing w:after="0"/>
              <w:rPr>
                <w:sz w:val="11"/>
                <w:szCs w:val="11"/>
                <w:color w:val="auto"/>
              </w:rPr>
            </w:pP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 (Based on</w:t>
            </w:r>
          </w:p>
        </w:tc>
        <w:tc>
          <w:tcPr>
            <w:tcW w:w="2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(Based on</w:t>
            </w: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Probable Outcome)</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Lance Mitchell</w:t>
            </w:r>
          </w:p>
        </w:tc>
        <w:tc>
          <w:tcPr>
            <w:tcW w:w="2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1,743,754</w:t>
            </w:r>
          </w:p>
        </w:tc>
        <w:tc>
          <w:tcPr>
            <w:tcW w:w="3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3,487,508</w:t>
            </w:r>
          </w:p>
        </w:tc>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1,743,754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80" w:type="dxa"/>
            <w:vAlign w:val="bottom"/>
            <w:gridSpan w:val="2"/>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Rachel Bishop</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281,258</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562,516</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80" w:type="dxa"/>
            <w:vAlign w:val="bottom"/>
            <w:gridSpan w:val="2"/>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Graham</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514,163</w:t>
            </w: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1,028,326</w:t>
            </w: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NEO’s payouts under the AIP for the applicable year.</w:t>
      </w:r>
    </w:p>
    <w:p>
      <w:pPr>
        <w:spacing w:after="0" w:line="248" w:lineRule="exact"/>
        <w:rPr>
          <w:rFonts w:ascii="Times New Roman" w:cs="Times New Roman" w:eastAsia="Times New Roman" w:hAnsi="Times New Roman"/>
          <w:sz w:val="16"/>
          <w:szCs w:val="16"/>
          <w:color w:val="auto"/>
        </w:rPr>
      </w:pPr>
    </w:p>
    <w:p>
      <w:pPr>
        <w:jc w:val="both"/>
        <w:ind w:left="340" w:hanging="332"/>
        <w:spacing w:after="0" w:line="269" w:lineRule="auto"/>
        <w:tabs>
          <w:tab w:leader="none" w:pos="36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change in the actuarial present value of the accumulated benefit under the legacy entitlements under the Pension Plan for Pactiv Evergreen for each of Ms. Buckner and Ms. Smith (the only two NEOs who are participants in such plan), from December 31, 2022 to December 31, 2023 for the 2023 amounts and from December 31, 2021 to December 31, 2022 for the 2022 amounts. In 2022, there was a decrease in the value of plan benefits for Ms. Buckner ($82,550), so this value is reported as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2"/>
        <w:spacing w:after="0" w:line="274" w:lineRule="auto"/>
        <w:tabs>
          <w:tab w:leader="none" w:pos="40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for 2023 include employer contributions to the 401(k) Retirement Plan and the Nonqualified Deferred Compensation Plan, the amount of dividend equivalents paid on unvested RSUs, group term life insurance and wellness credits as follows:</w:t>
      </w:r>
    </w:p>
    <w:p>
      <w:pPr>
        <w:jc w:val="center"/>
        <w:ind w:right="1560"/>
        <w:spacing w:after="0" w:line="229" w:lineRule="auto"/>
        <w:rPr>
          <w:sz w:val="20"/>
          <w:szCs w:val="20"/>
          <w:color w:val="auto"/>
        </w:rPr>
      </w:pPr>
      <w:r>
        <w:rPr>
          <w:rFonts w:ascii="Times New Roman" w:cs="Times New Roman" w:eastAsia="Times New Roman" w:hAnsi="Times New Roman"/>
          <w:sz w:val="14"/>
          <w:szCs w:val="14"/>
          <w:b w:val="1"/>
          <w:bCs w:val="1"/>
          <w:color w:val="auto"/>
        </w:rPr>
        <w:t>Company</w:t>
      </w:r>
    </w:p>
    <w:p>
      <w:pPr>
        <w:jc w:val="center"/>
        <w:ind w:right="1560"/>
        <w:spacing w:after="0" w:line="221" w:lineRule="auto"/>
        <w:rPr>
          <w:sz w:val="20"/>
          <w:szCs w:val="20"/>
          <w:color w:val="auto"/>
        </w:rPr>
      </w:pPr>
      <w:r>
        <w:rPr>
          <w:rFonts w:ascii="Times New Roman" w:cs="Times New Roman" w:eastAsia="Times New Roman" w:hAnsi="Times New Roman"/>
          <w:sz w:val="14"/>
          <w:szCs w:val="14"/>
          <w:b w:val="1"/>
          <w:bCs w:val="1"/>
          <w:color w:val="auto"/>
        </w:rPr>
        <w:t>Contributions To</w:t>
      </w:r>
    </w:p>
    <w:tbl>
      <w:tblPr>
        <w:tblLayout w:type="fixed"/>
        <w:tblInd w:w="0" w:type="dxa"/>
        <w:tblCellMar>
          <w:top w:w="0" w:type="dxa"/>
          <w:left w:w="0" w:type="dxa"/>
          <w:bottom w:w="0" w:type="dxa"/>
          <w:right w:w="0" w:type="dxa"/>
        </w:tblCellMar>
      </w:tblPr>
      <w:tr>
        <w:trPr>
          <w:trHeight w:val="129"/>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7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Group Term Life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All Other</w:t>
            </w:r>
          </w:p>
        </w:tc>
        <w:tc>
          <w:tcPr>
            <w:tcW w:w="0" w:type="dxa"/>
            <w:vAlign w:val="bottom"/>
          </w:tcPr>
          <w:p>
            <w:pPr>
              <w:spacing w:after="0"/>
              <w:rPr>
                <w:sz w:val="1"/>
                <w:szCs w:val="1"/>
                <w:color w:val="auto"/>
              </w:rPr>
            </w:pPr>
          </w:p>
        </w:tc>
      </w:tr>
      <w:tr>
        <w:trPr>
          <w:trHeight w:val="148"/>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401(k)</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Wellness Credits ($)</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4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 ($)</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Equivalents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Insurance ($)</w:t>
            </w:r>
          </w:p>
        </w:tc>
        <w:tc>
          <w:tcPr>
            <w:tcW w:w="1360" w:type="dxa"/>
            <w:vAlign w:val="bottom"/>
            <w:gridSpan w:val="2"/>
            <w:vMerge w:val="continue"/>
          </w:tcPr>
          <w:p>
            <w:pPr>
              <w:spacing w:after="0"/>
              <w:rPr>
                <w:sz w:val="17"/>
                <w:szCs w:val="17"/>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0" w:type="dxa"/>
            <w:vAlign w:val="bottom"/>
          </w:tcPr>
          <w:p>
            <w:pPr>
              <w:spacing w:after="0"/>
              <w:rPr>
                <w:sz w:val="1"/>
                <w:szCs w:val="1"/>
                <w:color w:val="auto"/>
              </w:rPr>
            </w:pPr>
          </w:p>
        </w:tc>
      </w:tr>
      <w:tr>
        <w:trPr>
          <w:trHeight w:val="202"/>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Lance Mitchell</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301,404</w:t>
            </w:r>
          </w:p>
        </w:tc>
        <w:tc>
          <w:tcPr>
            <w:tcW w:w="0" w:type="dxa"/>
            <w:vAlign w:val="bottom"/>
          </w:tcPr>
          <w:p>
            <w:pPr>
              <w:spacing w:after="0"/>
              <w:rPr>
                <w:sz w:val="1"/>
                <w:szCs w:val="1"/>
                <w:color w:val="auto"/>
              </w:rPr>
            </w:pPr>
          </w:p>
        </w:tc>
      </w:tr>
      <w:tr>
        <w:trPr>
          <w:trHeight w:val="19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Scott Huckins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100" w:type="dxa"/>
            <w:vAlign w:val="bottom"/>
          </w:tcPr>
          <w:p>
            <w:pPr>
              <w:spacing w:after="0"/>
              <w:rPr>
                <w:sz w:val="16"/>
                <w:szCs w:val="16"/>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0" w:type="dxa"/>
            <w:vAlign w:val="bottom"/>
          </w:tcPr>
          <w:p>
            <w:pPr>
              <w:spacing w:after="0"/>
              <w:rPr>
                <w:sz w:val="1"/>
                <w:szCs w:val="1"/>
                <w:color w:val="auto"/>
              </w:rPr>
            </w:pPr>
          </w:p>
        </w:tc>
      </w:tr>
      <w:tr>
        <w:trPr>
          <w:trHeight w:val="21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Rachel Bishop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84,545</w:t>
            </w:r>
          </w:p>
        </w:tc>
        <w:tc>
          <w:tcPr>
            <w:tcW w:w="0" w:type="dxa"/>
            <w:vAlign w:val="bottom"/>
          </w:tcPr>
          <w:p>
            <w:pPr>
              <w:spacing w:after="0"/>
              <w:rPr>
                <w:sz w:val="1"/>
                <w:szCs w:val="1"/>
                <w:color w:val="auto"/>
              </w:rPr>
            </w:pPr>
          </w:p>
        </w:tc>
      </w:tr>
      <w:tr>
        <w:trPr>
          <w:trHeight w:val="19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Judith Buckner</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25,320</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77,032</w:t>
            </w:r>
          </w:p>
        </w:tc>
        <w:tc>
          <w:tcPr>
            <w:tcW w:w="0" w:type="dxa"/>
            <w:vAlign w:val="bottom"/>
          </w:tcPr>
          <w:p>
            <w:pPr>
              <w:spacing w:after="0"/>
              <w:rPr>
                <w:sz w:val="1"/>
                <w:szCs w:val="1"/>
                <w:color w:val="auto"/>
              </w:rPr>
            </w:pPr>
          </w:p>
        </w:tc>
      </w:tr>
      <w:tr>
        <w:trPr>
          <w:trHeight w:val="21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Lisa Smith</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69,299</w:t>
            </w:r>
          </w:p>
        </w:tc>
        <w:tc>
          <w:tcPr>
            <w:tcW w:w="0" w:type="dxa"/>
            <w:vAlign w:val="bottom"/>
          </w:tcPr>
          <w:p>
            <w:pPr>
              <w:spacing w:after="0"/>
              <w:rPr>
                <w:sz w:val="1"/>
                <w:szCs w:val="1"/>
                <w:color w:val="auto"/>
              </w:rPr>
            </w:pPr>
          </w:p>
        </w:tc>
      </w:tr>
      <w:tr>
        <w:trPr>
          <w:trHeight w:val="18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Graham</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119,310</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(6)</w:t>
        <w:tab/>
        <w:t>As permitted by SEC rules, because 2022 was Ms. Buckner’s and Ms. Smith’s first year as NEOs, the compensation paid to them in 2021 is not included in this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to our NEOs during 2023.</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5"/>
          </w:tcPr>
          <w:p>
            <w:pPr>
              <w:jc w:val="center"/>
              <w:ind w:left="588"/>
              <w:spacing w:after="0" w:line="146"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6"/>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40"/>
              <w:spacing w:after="0" w:line="161" w:lineRule="exact"/>
              <w:rPr>
                <w:sz w:val="20"/>
                <w:szCs w:val="20"/>
                <w:color w:val="auto"/>
              </w:rPr>
            </w:pPr>
            <w:r>
              <w:rPr>
                <w:rFonts w:ascii="Times New Roman" w:cs="Times New Roman" w:eastAsia="Times New Roman" w:hAnsi="Times New Roman"/>
                <w:sz w:val="14"/>
                <w:szCs w:val="14"/>
                <w:b w:val="1"/>
                <w:bCs w:val="1"/>
                <w:color w:val="auto"/>
              </w:rPr>
              <w:t>Plan Awards</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37"/>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CNG</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1060" w:type="dxa"/>
            <w:vAlign w:val="bottom"/>
            <w:gridSpan w:val="2"/>
            <w:vMerge w:val="continue"/>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0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960" w:type="dxa"/>
            <w:vAlign w:val="bottom"/>
            <w:gridSpan w:val="2"/>
            <w:vMerge w:val="continue"/>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080" w:type="dxa"/>
            <w:vAlign w:val="bottom"/>
            <w:gridSpan w:val="2"/>
            <w:vMerge w:val="continue"/>
          </w:tcPr>
          <w:p>
            <w:pPr>
              <w:spacing w:after="0"/>
              <w:rPr>
                <w:sz w:val="17"/>
                <w:szCs w:val="17"/>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98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Awards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²</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3"/>
        </w:trPr>
        <w:tc>
          <w:tcPr>
            <w:tcW w:w="84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Lance</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Mitchell</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2023 AIP</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445,625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1,782,500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3,565,000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RSUs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1,937,507</w:t>
            </w: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PSUs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65,017</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130,034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1,937,507</w:t>
            </w:r>
          </w:p>
        </w:tc>
        <w:tc>
          <w:tcPr>
            <w:tcW w:w="0" w:type="dxa"/>
            <w:vAlign w:val="bottom"/>
          </w:tcPr>
          <w:p>
            <w:pPr>
              <w:spacing w:after="0"/>
              <w:rPr>
                <w:sz w:val="1"/>
                <w:szCs w:val="1"/>
                <w:color w:val="auto"/>
              </w:rPr>
            </w:pPr>
          </w:p>
        </w:tc>
      </w:tr>
      <w:tr>
        <w:trPr>
          <w:trHeight w:val="145"/>
        </w:trPr>
        <w:tc>
          <w:tcPr>
            <w:tcW w:w="9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Scott</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Huckins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2023 AIP</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193,359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4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i w:val="1"/>
                <w:iCs w:val="1"/>
                <w:color w:val="auto"/>
              </w:rPr>
              <w:t>RSUs</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³</w:t>
            </w:r>
            <w:r>
              <w:rPr>
                <w:rFonts w:ascii="MS PGothic" w:cs="MS PGothic" w:eastAsia="MS PGothic" w:hAnsi="MS PGothic"/>
                <w:sz w:val="14"/>
                <w:szCs w:val="14"/>
                <w:i w:val="1"/>
                <w:i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9/5/2023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1,500,013</w:t>
            </w:r>
          </w:p>
        </w:tc>
        <w:tc>
          <w:tcPr>
            <w:tcW w:w="0" w:type="dxa"/>
            <w:vAlign w:val="bottom"/>
          </w:tcPr>
          <w:p>
            <w:pPr>
              <w:spacing w:after="0"/>
              <w:rPr>
                <w:sz w:val="1"/>
                <w:szCs w:val="1"/>
                <w:color w:val="auto"/>
              </w:rPr>
            </w:pPr>
          </w:p>
        </w:tc>
      </w:tr>
      <w:tr>
        <w:trPr>
          <w:trHeight w:val="139"/>
        </w:trPr>
        <w:tc>
          <w:tcPr>
            <w:tcW w:w="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Rachel</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Bishop</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2023 AIP</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701,567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RSUs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365,169</w:t>
            </w:r>
          </w:p>
        </w:tc>
        <w:tc>
          <w:tcPr>
            <w:tcW w:w="0" w:type="dxa"/>
            <w:vAlign w:val="bottom"/>
          </w:tcPr>
          <w:p>
            <w:pPr>
              <w:spacing w:after="0"/>
              <w:rPr>
                <w:sz w:val="1"/>
                <w:szCs w:val="1"/>
                <w:color w:val="auto"/>
              </w:rPr>
            </w:pPr>
          </w:p>
        </w:tc>
      </w:tr>
      <w:tr>
        <w:trPr>
          <w:trHeight w:val="209"/>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PSUs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365,169</w:t>
            </w:r>
          </w:p>
        </w:tc>
        <w:tc>
          <w:tcPr>
            <w:tcW w:w="0" w:type="dxa"/>
            <w:vAlign w:val="bottom"/>
          </w:tcPr>
          <w:p>
            <w:pPr>
              <w:spacing w:after="0"/>
              <w:rPr>
                <w:sz w:val="1"/>
                <w:szCs w:val="1"/>
                <w:color w:val="auto"/>
              </w:rPr>
            </w:pPr>
          </w:p>
        </w:tc>
      </w:tr>
      <w:tr>
        <w:trPr>
          <w:trHeight w:val="139"/>
        </w:trPr>
        <w:tc>
          <w:tcPr>
            <w:tcW w:w="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Judith</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Buckner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2023 AIP</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RSUs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354,382</w:t>
            </w:r>
          </w:p>
        </w:tc>
        <w:tc>
          <w:tcPr>
            <w:tcW w:w="0" w:type="dxa"/>
            <w:vAlign w:val="bottom"/>
          </w:tcPr>
          <w:p>
            <w:pPr>
              <w:spacing w:after="0"/>
              <w:rPr>
                <w:sz w:val="1"/>
                <w:szCs w:val="1"/>
                <w:color w:val="auto"/>
              </w:rPr>
            </w:pPr>
          </w:p>
        </w:tc>
      </w:tr>
      <w:tr>
        <w:trPr>
          <w:trHeight w:val="209"/>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PSUs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354,382</w:t>
            </w:r>
          </w:p>
        </w:tc>
        <w:tc>
          <w:tcPr>
            <w:tcW w:w="0" w:type="dxa"/>
            <w:vAlign w:val="bottom"/>
          </w:tcPr>
          <w:p>
            <w:pPr>
              <w:spacing w:after="0"/>
              <w:rPr>
                <w:sz w:val="1"/>
                <w:szCs w:val="1"/>
                <w:color w:val="auto"/>
              </w:rPr>
            </w:pPr>
          </w:p>
        </w:tc>
      </w:tr>
      <w:tr>
        <w:trPr>
          <w:trHeight w:val="19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Lisa Smith</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2023 AIP</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RSUs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337,515</w:t>
            </w:r>
          </w:p>
        </w:tc>
        <w:tc>
          <w:tcPr>
            <w:tcW w:w="0" w:type="dxa"/>
            <w:vAlign w:val="bottom"/>
          </w:tcPr>
          <w:p>
            <w:pPr>
              <w:spacing w:after="0"/>
              <w:rPr>
                <w:sz w:val="1"/>
                <w:szCs w:val="1"/>
                <w:color w:val="auto"/>
              </w:rPr>
            </w:pPr>
          </w:p>
        </w:tc>
      </w:tr>
      <w:tr>
        <w:trPr>
          <w:trHeight w:val="209"/>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PSUs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337,485</w:t>
            </w:r>
          </w:p>
        </w:tc>
        <w:tc>
          <w:tcPr>
            <w:tcW w:w="0" w:type="dxa"/>
            <w:vAlign w:val="bottom"/>
          </w:tcPr>
          <w:p>
            <w:pPr>
              <w:spacing w:after="0"/>
              <w:rPr>
                <w:sz w:val="1"/>
                <w:szCs w:val="1"/>
                <w:color w:val="auto"/>
              </w:rPr>
            </w:pPr>
          </w:p>
        </w:tc>
      </w:tr>
      <w:tr>
        <w:trPr>
          <w:trHeight w:val="139"/>
        </w:trPr>
        <w:tc>
          <w:tcPr>
            <w:tcW w:w="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Michael</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Graham</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2023 AIP</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127,104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1,016,830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RSUs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555,323</w:t>
            </w:r>
          </w:p>
        </w:tc>
        <w:tc>
          <w:tcPr>
            <w:tcW w:w="0" w:type="dxa"/>
            <w:vAlign w:val="bottom"/>
          </w:tcPr>
          <w:p>
            <w:pPr>
              <w:spacing w:after="0"/>
              <w:rPr>
                <w:sz w:val="1"/>
                <w:szCs w:val="1"/>
                <w:color w:val="auto"/>
              </w:rPr>
            </w:pPr>
          </w:p>
        </w:tc>
      </w:tr>
      <w:tr>
        <w:trPr>
          <w:trHeight w:val="209"/>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PSUs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-4199255</wp:posOffset>
            </wp:positionV>
            <wp:extent cx="94615" cy="749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-3522345</wp:posOffset>
            </wp:positionV>
            <wp:extent cx="94615" cy="749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340" w:hanging="332"/>
        <w:spacing w:after="0" w:line="263"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in this column represent the potential cash payout amounts under the 2023 AIP. The actual cash payout amounts under the 2023 AIP are disclosed in the Summary Compensation Table in the “Non-Equity Incentive Plan Compensation” column. For Mr. Huckins, the potential cash payout amounts are based on his prorated salary for 2023.</w:t>
      </w:r>
    </w:p>
    <w:p>
      <w:pPr>
        <w:spacing w:after="0" w:line="218"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grant date fair value of the awards determined in accordance with FASB ASC Topic 718. Amounts related to PSUs represent the value at the grant date based upon the probable outcome of the performance conditions</w:t>
      </w:r>
      <w:r>
        <w:rPr>
          <w:rFonts w:ascii="Times New Roman" w:cs="Times New Roman" w:eastAsia="Times New Roman" w:hAnsi="Times New Roman"/>
          <w:sz w:val="16"/>
          <w:szCs w:val="16"/>
          <w:i w:val="1"/>
          <w:iCs w:val="1"/>
          <w:color w:val="auto"/>
        </w:rPr>
        <w:t>.</w:t>
      </w:r>
    </w:p>
    <w:p>
      <w:pPr>
        <w:spacing w:after="0" w:line="17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Huckins’ RSUs were granted on December 1, 2023 in connection with his appointment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equity awards that have been granted to our named executive officers and that were outstanding as of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2"/>
          </w:tcPr>
          <w:p>
            <w:pPr>
              <w:jc w:val="center"/>
              <w:ind w:left="14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2"/>
          </w:tcPr>
          <w:p>
            <w:pPr>
              <w:jc w:val="center"/>
              <w:ind w:left="142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6"/>
                <w:szCs w:val="16"/>
                <w:color w:val="auto"/>
              </w:rPr>
            </w:pPr>
          </w:p>
        </w:tc>
        <w:tc>
          <w:tcPr>
            <w:tcW w:w="2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 Value of Shares or Units</w:t>
            </w: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Shares or Units of</w:t>
            </w:r>
          </w:p>
        </w:tc>
        <w:tc>
          <w:tcPr>
            <w:tcW w:w="5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of Stock That Have Not Vested</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Stock That Have Not Vested (#)</w:t>
            </w:r>
          </w:p>
        </w:tc>
        <w:tc>
          <w:tcPr>
            <w:tcW w:w="2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⁰⁾</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Lance Mitchell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42,955</w:t>
            </w:r>
          </w:p>
        </w:tc>
        <w:tc>
          <w:tcPr>
            <w:tcW w:w="260" w:type="dxa"/>
            <w:vAlign w:val="bottom"/>
          </w:tcPr>
          <w:p>
            <w:pPr>
              <w:spacing w:after="0"/>
              <w:rPr>
                <w:sz w:val="19"/>
                <w:szCs w:val="19"/>
                <w:color w:val="auto"/>
              </w:rPr>
            </w:pPr>
          </w:p>
        </w:tc>
        <w:tc>
          <w:tcPr>
            <w:tcW w:w="520" w:type="dxa"/>
            <w:vAlign w:val="bottom"/>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1,152,912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178,797</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4,798,911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Scott Huckins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12/1/2023</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56,647</w:t>
            </w:r>
          </w:p>
        </w:tc>
        <w:tc>
          <w:tcPr>
            <w:tcW w:w="260" w:type="dxa"/>
            <w:vAlign w:val="bottom"/>
          </w:tcPr>
          <w:p>
            <w:pPr>
              <w:spacing w:after="0"/>
              <w:rPr>
                <w:sz w:val="19"/>
                <w:szCs w:val="19"/>
                <w:color w:val="auto"/>
              </w:rPr>
            </w:pPr>
          </w:p>
        </w:tc>
        <w:tc>
          <w:tcPr>
            <w:tcW w:w="520" w:type="dxa"/>
            <w:vAlign w:val="bottom"/>
          </w:tcPr>
          <w:p>
            <w:pPr>
              <w:jc w:val="right"/>
              <w:ind w:right="110"/>
              <w:spacing w:after="0" w:line="181" w:lineRule="exact"/>
              <w:rPr>
                <w:sz w:val="20"/>
                <w:szCs w:val="20"/>
                <w:color w:val="auto"/>
              </w:rPr>
            </w:pPr>
            <w:r>
              <w:rPr>
                <w:rFonts w:ascii="MS PGothic" w:cs="MS PGothic" w:eastAsia="MS PGothic" w:hAnsi="MS PGothic"/>
                <w:sz w:val="18"/>
                <w:szCs w:val="18"/>
                <w:color w:val="auto"/>
              </w:rPr>
              <w:t>⁽⁴⁾</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1,520,405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Rachel Bishop</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260" w:type="dxa"/>
            <w:vAlign w:val="bottom"/>
          </w:tcPr>
          <w:p>
            <w:pPr>
              <w:spacing w:after="0"/>
              <w:rPr>
                <w:sz w:val="19"/>
                <w:szCs w:val="19"/>
                <w:color w:val="auto"/>
              </w:rPr>
            </w:pPr>
          </w:p>
        </w:tc>
        <w:tc>
          <w:tcPr>
            <w:tcW w:w="520" w:type="dxa"/>
            <w:vAlign w:val="bottom"/>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33,699</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0"/>
              <w:spacing w:after="0" w:line="181" w:lineRule="exact"/>
              <w:rPr>
                <w:sz w:val="20"/>
                <w:szCs w:val="20"/>
                <w:color w:val="auto"/>
              </w:rPr>
            </w:pPr>
            <w:r>
              <w:rPr>
                <w:rFonts w:ascii="MS PGothic" w:cs="MS PGothic" w:eastAsia="MS PGothic" w:hAnsi="MS PGothic"/>
                <w:sz w:val="18"/>
                <w:szCs w:val="18"/>
                <w:color w:val="auto"/>
              </w:rPr>
              <w:t>⁽⁵⁾</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904,481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Judith Buckner</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260" w:type="dxa"/>
            <w:vAlign w:val="bottom"/>
          </w:tcPr>
          <w:p>
            <w:pPr>
              <w:spacing w:after="0"/>
              <w:rPr>
                <w:sz w:val="19"/>
                <w:szCs w:val="19"/>
                <w:color w:val="auto"/>
              </w:rPr>
            </w:pPr>
          </w:p>
        </w:tc>
        <w:tc>
          <w:tcPr>
            <w:tcW w:w="520" w:type="dxa"/>
            <w:vAlign w:val="bottom"/>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190,779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32,703</w:t>
            </w:r>
          </w:p>
        </w:tc>
        <w:tc>
          <w:tcPr>
            <w:tcW w:w="260" w:type="dxa"/>
            <w:vAlign w:val="bottom"/>
          </w:tcPr>
          <w:p>
            <w:pPr>
              <w:spacing w:after="0"/>
              <w:rPr>
                <w:sz w:val="19"/>
                <w:szCs w:val="19"/>
                <w:color w:val="auto"/>
              </w:rPr>
            </w:pPr>
          </w:p>
        </w:tc>
        <w:tc>
          <w:tcPr>
            <w:tcW w:w="520" w:type="dxa"/>
            <w:vAlign w:val="bottom"/>
          </w:tcPr>
          <w:p>
            <w:pPr>
              <w:jc w:val="right"/>
              <w:ind w:right="110"/>
              <w:spacing w:after="0" w:line="181" w:lineRule="exact"/>
              <w:rPr>
                <w:sz w:val="20"/>
                <w:szCs w:val="20"/>
                <w:color w:val="auto"/>
              </w:rPr>
            </w:pPr>
            <w:r>
              <w:rPr>
                <w:rFonts w:ascii="MS PGothic" w:cs="MS PGothic" w:eastAsia="MS PGothic" w:hAnsi="MS PGothic"/>
                <w:sz w:val="18"/>
                <w:szCs w:val="18"/>
                <w:color w:val="auto"/>
              </w:rPr>
              <w:t>⁽⁶⁾</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877,749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Lisa Smith</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72,173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260" w:type="dxa"/>
            <w:vAlign w:val="bottom"/>
          </w:tcPr>
          <w:p>
            <w:pPr>
              <w:spacing w:after="0"/>
              <w:rPr>
                <w:sz w:val="19"/>
                <w:szCs w:val="19"/>
                <w:color w:val="auto"/>
              </w:rPr>
            </w:pPr>
          </w:p>
        </w:tc>
        <w:tc>
          <w:tcPr>
            <w:tcW w:w="520" w:type="dxa"/>
            <w:vAlign w:val="bottom"/>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31,145</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0"/>
              <w:spacing w:after="0" w:line="181" w:lineRule="exact"/>
              <w:rPr>
                <w:sz w:val="20"/>
                <w:szCs w:val="20"/>
                <w:color w:val="auto"/>
              </w:rPr>
            </w:pPr>
            <w:r>
              <w:rPr>
                <w:rFonts w:ascii="MS PGothic" w:cs="MS PGothic" w:eastAsia="MS PGothic" w:hAnsi="MS PGothic"/>
                <w:sz w:val="18"/>
                <w:szCs w:val="18"/>
                <w:color w:val="auto"/>
              </w:rPr>
              <w:t>⁽⁷⁾</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835,932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Graham</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260" w:type="dxa"/>
            <w:vAlign w:val="bottom"/>
          </w:tcPr>
          <w:p>
            <w:pPr>
              <w:spacing w:after="0"/>
              <w:rPr>
                <w:sz w:val="19"/>
                <w:szCs w:val="19"/>
                <w:color w:val="auto"/>
              </w:rPr>
            </w:pPr>
          </w:p>
        </w:tc>
        <w:tc>
          <w:tcPr>
            <w:tcW w:w="520" w:type="dxa"/>
            <w:vAlign w:val="bottom"/>
          </w:tcPr>
          <w:p>
            <w:pPr>
              <w:jc w:val="right"/>
              <w:ind w:right="1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0"/>
              <w:spacing w:after="0" w:line="181" w:lineRule="exact"/>
              <w:rPr>
                <w:sz w:val="20"/>
                <w:szCs w:val="20"/>
                <w:color w:val="auto"/>
              </w:rPr>
            </w:pPr>
            <w:r>
              <w:rPr>
                <w:rFonts w:ascii="MS PGothic" w:cs="MS PGothic" w:eastAsia="MS PGothic" w:hAnsi="MS PGothic"/>
                <w:sz w:val="18"/>
                <w:szCs w:val="18"/>
                <w:color w:val="auto"/>
              </w:rPr>
              <w:t>⁽⁸⁾</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330,427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2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51,245</w:t>
            </w:r>
          </w:p>
        </w:tc>
        <w:tc>
          <w:tcPr>
            <w:tcW w:w="260" w:type="dxa"/>
            <w:vAlign w:val="bottom"/>
          </w:tcPr>
          <w:p>
            <w:pPr>
              <w:spacing w:after="0"/>
              <w:rPr>
                <w:sz w:val="24"/>
                <w:szCs w:val="24"/>
                <w:color w:val="auto"/>
              </w:rPr>
            </w:pPr>
          </w:p>
        </w:tc>
        <w:tc>
          <w:tcPr>
            <w:tcW w:w="520" w:type="dxa"/>
            <w:vAlign w:val="bottom"/>
          </w:tcPr>
          <w:p>
            <w:pPr>
              <w:jc w:val="right"/>
              <w:ind w:right="110"/>
              <w:spacing w:after="0" w:line="181" w:lineRule="exact"/>
              <w:rPr>
                <w:sz w:val="20"/>
                <w:szCs w:val="20"/>
                <w:color w:val="auto"/>
              </w:rPr>
            </w:pPr>
            <w:r>
              <w:rPr>
                <w:rFonts w:ascii="MS PGothic" w:cs="MS PGothic" w:eastAsia="MS PGothic" w:hAnsi="MS PGothic"/>
                <w:sz w:val="18"/>
                <w:szCs w:val="18"/>
                <w:color w:val="auto"/>
              </w:rPr>
              <w:t>⁽⁹⁾</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1,375,416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6380480</wp:posOffset>
            </wp:positionH>
            <wp:positionV relativeFrom="paragraph">
              <wp:posOffset>-2505710</wp:posOffset>
            </wp:positionV>
            <wp:extent cx="128905" cy="749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74930"/>
                    </a:xfrm>
                    <a:prstGeom prst="rect">
                      <a:avLst/>
                    </a:prstGeom>
                    <a:noFill/>
                  </pic:spPr>
                </pic:pic>
              </a:graphicData>
            </a:graphic>
          </wp:anchor>
        </w:drawing>
      </w:r>
    </w:p>
    <w:p>
      <w:pPr>
        <w:spacing w:after="0" w:line="230"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that vested on February 1, 2024.</w:t>
      </w:r>
    </w:p>
    <w:p>
      <w:pPr>
        <w:spacing w:after="0" w:line="24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that vest one-half on each of February 1, 2024 and 2025, subject to continued service on each vesting date.</w:t>
      </w:r>
    </w:p>
    <w:p>
      <w:pPr>
        <w:spacing w:after="0" w:line="248"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65,017 RSUs that will vest one-third on each of the first three anniversaries of the grant date, subject to continued service on each vesting date, and 113,780 PSUs that were earned based on 2023 performance and will vest on February 1, 2026, subject to continued service.</w:t>
      </w:r>
    </w:p>
    <w:p>
      <w:pPr>
        <w:spacing w:after="0" w:line="17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that vest one-third on each of the first three anniversaries of the grant date, subject to continued service on each vesting date.</w:t>
      </w:r>
    </w:p>
    <w:p>
      <w:pPr>
        <w:spacing w:after="0" w:line="261"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12,254 RSUs that will vest one-third on each of the first three anniversaries of the grant date, subject to continued service on each vesting date, and 21,445 PSUs that were earned based on 2023 performance and will vest on February 1, 2026, subject to continued service.</w:t>
      </w:r>
    </w:p>
    <w:p>
      <w:pPr>
        <w:spacing w:after="0" w:line="191"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11,892 RSUs that will vest one-third on each of the first three anniversaries of its respective grant date, subject to continued service on each vesting date, and 20,811 PSUs that were earned based on 2023 performance and will vest on February 1, 2026, subject to continued service.</w:t>
      </w:r>
    </w:p>
    <w:p>
      <w:pPr>
        <w:spacing w:after="0" w:line="177"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11,326 RSUs that will vest one-third on each of the first three anniversaries of its respective grant date, subject to continued service on each vesting date, and 19,819 PSUs that were earned based on 2023 performance and will vest on February 1, 2026, subject to continued service.</w:t>
      </w:r>
    </w:p>
    <w:p>
      <w:pPr>
        <w:spacing w:after="0" w:line="17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that will vest one-half on each of February 1, 2024 and 2025, as Mr. Graham qualifies for Enhanced Retirement (as defined and described under “Potential Payments upon Termination or Change in Control - Equity Awards” below) and will retire over a year after the grant date of these RSUs.</w:t>
      </w:r>
    </w:p>
    <w:p>
      <w:pPr>
        <w:spacing w:after="0" w:line="205" w:lineRule="exact"/>
        <w:rPr>
          <w:rFonts w:ascii="Times New Roman" w:cs="Times New Roman" w:eastAsia="Times New Roman" w:hAnsi="Times New Roman"/>
          <w:sz w:val="16"/>
          <w:szCs w:val="16"/>
          <w:color w:val="auto"/>
        </w:rPr>
      </w:pPr>
    </w:p>
    <w:p>
      <w:pPr>
        <w:jc w:val="both"/>
        <w:ind w:left="340" w:right="20" w:hanging="332"/>
        <w:spacing w:after="0" w:line="272"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18,635 RSUs that will vest one-third on each of the first three anniversaries of its respective grant date and 32,610 PSUs that were earned based on 2023 performance and will vest on February 1, 2026, as Mr. Graham qualifies for Enhanced Retirement (as defined and described under “Potential Payments upon Termination or Change in Control - Equity Awards” below) and will retire over a year after the grant date of these RSUs and PSUs.</w:t>
      </w:r>
    </w:p>
    <w:p>
      <w:pPr>
        <w:spacing w:after="0" w:line="19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is calculated by multiplying the number of shares by $26.84, the closing sale price per share of our common stock on the Nasdaq Global Select Market on December 29, 2023, the last trading day of 2023.</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RSUs held by our named executive officers that vested in 2023. None of our named executive officers holds any stock options, and therefore no stock options were exercised in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3020" w:type="dxa"/>
            <w:vAlign w:val="bottom"/>
            <w:gridSpan w:val="2"/>
            <w:vMerge w:val="restart"/>
          </w:tcPr>
          <w:p>
            <w:pPr>
              <w:ind w:left="380"/>
              <w:spacing w:after="0" w:line="207" w:lineRule="exact"/>
              <w:rPr>
                <w:sz w:val="20"/>
                <w:szCs w:val="20"/>
                <w:color w:val="auto"/>
              </w:rPr>
            </w:pPr>
            <w:r>
              <w:rPr>
                <w:rFonts w:ascii="Times New Roman" w:cs="Times New Roman" w:eastAsia="Times New Roman" w:hAnsi="Times New Roman"/>
                <w:sz w:val="18"/>
                <w:szCs w:val="18"/>
                <w:b w:val="1"/>
                <w:bCs w:val="1"/>
                <w:color w:val="auto"/>
              </w:rPr>
              <w:t>Value Realized on Vesting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²</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center"/>
              <w:ind w:left="530"/>
              <w:spacing w:after="0" w:line="207" w:lineRule="exact"/>
              <w:rPr>
                <w:sz w:val="20"/>
                <w:szCs w:val="20"/>
                <w:color w:val="auto"/>
              </w:rPr>
            </w:pPr>
            <w:r>
              <w:rPr>
                <w:rFonts w:ascii="Times New Roman" w:cs="Times New Roman" w:eastAsia="Times New Roman" w:hAnsi="Times New Roman"/>
                <w:sz w:val="18"/>
                <w:szCs w:val="18"/>
                <w:b w:val="1"/>
                <w:bCs w:val="1"/>
                <w:color w:val="auto"/>
                <w:w w:val="97"/>
              </w:rPr>
              <w:t>on Vesting</w:t>
            </w:r>
            <w:r>
              <w:rPr>
                <w:rFonts w:ascii="MS PGothic" w:cs="MS PGothic" w:eastAsia="MS PGothic" w:hAnsi="MS PGothic"/>
                <w:sz w:val="18"/>
                <w:szCs w:val="18"/>
                <w:color w:val="auto"/>
                <w:w w:val="97"/>
              </w:rPr>
              <w:t>⁽</w:t>
            </w:r>
            <w:r>
              <w:rPr>
                <w:rFonts w:ascii="Times New Roman" w:cs="Times New Roman" w:eastAsia="Times New Roman" w:hAnsi="Times New Roman"/>
                <w:sz w:val="18"/>
                <w:szCs w:val="18"/>
                <w:b w:val="1"/>
                <w:bCs w:val="1"/>
                <w:color w:val="auto"/>
                <w:w w:val="97"/>
              </w:rPr>
              <w:t>¹</w:t>
            </w:r>
            <w:r>
              <w:rPr>
                <w:rFonts w:ascii="MS PGothic" w:cs="MS PGothic" w:eastAsia="MS PGothic" w:hAnsi="MS PGothic"/>
                <w:sz w:val="18"/>
                <w:szCs w:val="18"/>
                <w:color w:val="auto"/>
                <w:w w:val="97"/>
              </w:rPr>
              <w:t>⁾</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2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71,355</w:t>
            </w:r>
          </w:p>
        </w:tc>
        <w:tc>
          <w:tcPr>
            <w:tcW w:w="38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2,104,574</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174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1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38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335,822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1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3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1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38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17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38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-1177290</wp:posOffset>
            </wp:positionV>
            <wp:extent cx="106045" cy="869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6713855</wp:posOffset>
            </wp:positionH>
            <wp:positionV relativeFrom="paragraph">
              <wp:posOffset>-1168400</wp:posOffset>
            </wp:positionV>
            <wp:extent cx="106045" cy="869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that vested on February 1, 2023, February 4, 2023 and March 5, 2023, before shares were withheld for taxes.</w:t>
      </w:r>
    </w:p>
    <w:p>
      <w:pPr>
        <w:spacing w:after="0" w:line="22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realized is calculated by multiplying the closing price of our common stock on the date of vesting by the number of RSUs that vested on that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PENSION BENEFITS</w:t>
      </w:r>
    </w:p>
    <w:p>
      <w:pPr>
        <w:spacing w:after="0" w:line="2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plan that provides for payments or other benefits at, following, or in connection with retirement.</w:t>
      </w: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center"/>
              <w:ind w:right="360"/>
              <w:spacing w:after="0" w:line="190"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6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b w:val="1"/>
                <w:bCs w:val="1"/>
                <w:color w:val="auto"/>
                <w:w w:val="97"/>
              </w:rPr>
              <w:t>Present Value of</w:t>
            </w:r>
          </w:p>
        </w:tc>
        <w:tc>
          <w:tcPr>
            <w:tcW w:w="1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Payments During</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Years Credited</w:t>
            </w:r>
          </w:p>
        </w:tc>
        <w:tc>
          <w:tcPr>
            <w:tcW w:w="186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Plan Name</w:t>
            </w:r>
          </w:p>
        </w:tc>
        <w:tc>
          <w:tcPr>
            <w:tcW w:w="184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w:t>
            </w:r>
          </w:p>
        </w:tc>
        <w:tc>
          <w:tcPr>
            <w:tcW w:w="186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rPr>
              <w:t>Benefit</w:t>
            </w:r>
          </w:p>
        </w:tc>
        <w:tc>
          <w:tcPr>
            <w:tcW w:w="16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Last Fiscal Year</w:t>
            </w:r>
          </w:p>
        </w:tc>
        <w:tc>
          <w:tcPr>
            <w:tcW w:w="0" w:type="dxa"/>
            <w:vAlign w:val="bottom"/>
          </w:tcPr>
          <w:p>
            <w:pPr>
              <w:spacing w:after="0"/>
              <w:rPr>
                <w:sz w:val="1"/>
                <w:szCs w:val="1"/>
                <w:color w:val="auto"/>
              </w:rPr>
            </w:pPr>
          </w:p>
        </w:tc>
      </w:tr>
      <w:tr>
        <w:trPr>
          <w:trHeight w:val="230"/>
        </w:trPr>
        <w:tc>
          <w:tcPr>
            <w:tcW w:w="2180" w:type="dxa"/>
            <w:vAlign w:val="bottom"/>
            <w:gridSpan w:val="2"/>
            <w:vMerge w:val="continue"/>
          </w:tcPr>
          <w:p>
            <w:pPr>
              <w:spacing w:after="0"/>
              <w:rPr>
                <w:sz w:val="19"/>
                <w:szCs w:val="19"/>
                <w:color w:val="auto"/>
              </w:rPr>
            </w:pPr>
          </w:p>
        </w:tc>
        <w:tc>
          <w:tcPr>
            <w:tcW w:w="3720" w:type="dxa"/>
            <w:vAlign w:val="bottom"/>
            <w:gridSpan w:val="2"/>
            <w:vMerge w:val="continue"/>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18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37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37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37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Pension Plan for Pactiv Evergreen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178,760</w:t>
            </w:r>
          </w:p>
        </w:tc>
        <w:tc>
          <w:tcPr>
            <w:tcW w:w="3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37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Pension Plan for Pactiv Evergreen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37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Buckner and Ms. Smith have legacy entitlements under the Pension Plan for Pactiv Evergreen (formerly known as the Pactiv Evergreen Pension Plan), an ERISA-qualified defined benefit plan maintained by PEI Group.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 value of accumulated benefit amount in the table above is calculated using the Pri-2012 aggregate mortality table with MP2021 as adjusted to reflect endemic COVID-19, and a discount rate of 5.03%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NONQUALIFIED DEFERRED COMPENSATION</w:t>
      </w:r>
    </w:p>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2023, we maintained a non-qualified deferred compensation plan that allowed participants to defer portions of their compensation. The purpose of this plan is to allow such persons to defer receipt of such compensation, and therefore the tax obligations arising from such compensation, to a date elected by the participant. The following table sets forth information with respect to each NEO’s participation in such plan.</w:t>
      </w: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Executive</w:t>
            </w:r>
          </w:p>
        </w:tc>
        <w:tc>
          <w:tcPr>
            <w:tcW w:w="176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140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78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76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4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8"/>
                <w:szCs w:val="18"/>
                <w:b w:val="1"/>
                <w:bCs w:val="1"/>
                <w:color w:val="auto"/>
              </w:rPr>
              <w:t>Earnings in</w:t>
            </w:r>
          </w:p>
        </w:tc>
        <w:tc>
          <w:tcPr>
            <w:tcW w:w="17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Withdrawals/</w:t>
            </w:r>
          </w:p>
        </w:tc>
        <w:tc>
          <w:tcPr>
            <w:tcW w:w="13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84"/>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 Last FY</w:t>
            </w:r>
          </w:p>
        </w:tc>
        <w:tc>
          <w:tcPr>
            <w:tcW w:w="17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 Last FY</w:t>
            </w:r>
          </w:p>
        </w:tc>
        <w:tc>
          <w:tcPr>
            <w:tcW w:w="140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Last FY</w:t>
            </w:r>
          </w:p>
        </w:tc>
        <w:tc>
          <w:tcPr>
            <w:tcW w:w="17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Distributions</w:t>
            </w:r>
          </w:p>
        </w:tc>
        <w:tc>
          <w:tcPr>
            <w:tcW w:w="13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Last FYE 2023</w:t>
            </w:r>
          </w:p>
        </w:tc>
        <w:tc>
          <w:tcPr>
            <w:tcW w:w="0" w:type="dxa"/>
            <w:vAlign w:val="bottom"/>
          </w:tcPr>
          <w:p>
            <w:pPr>
              <w:spacing w:after="0"/>
              <w:rPr>
                <w:sz w:val="1"/>
                <w:szCs w:val="1"/>
                <w:color w:val="auto"/>
              </w:rPr>
            </w:pPr>
          </w:p>
        </w:tc>
      </w:tr>
      <w:tr>
        <w:trPr>
          <w:trHeight w:val="229"/>
        </w:trPr>
        <w:tc>
          <w:tcPr>
            <w:tcW w:w="3200" w:type="dxa"/>
            <w:vAlign w:val="bottom"/>
            <w:gridSpan w:val="2"/>
            <w:vMerge w:val="continue"/>
          </w:tcPr>
          <w:p>
            <w:pPr>
              <w:spacing w:after="0"/>
              <w:rPr>
                <w:sz w:val="19"/>
                <w:szCs w:val="19"/>
                <w:color w:val="auto"/>
              </w:rPr>
            </w:pPr>
          </w:p>
        </w:tc>
        <w:tc>
          <w:tcPr>
            <w:tcW w:w="15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200" w:type="dxa"/>
            <w:vAlign w:val="bottom"/>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b w:val="1"/>
                <w:bCs w:val="1"/>
                <w:color w:val="auto"/>
                <w:w w:val="92"/>
                <w:vertAlign w:val="superscript"/>
              </w:rPr>
              <w:t>(2)</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9"/>
                <w:szCs w:val="19"/>
                <w:color w:val="auto"/>
              </w:rPr>
            </w:pPr>
          </w:p>
        </w:tc>
        <w:tc>
          <w:tcPr>
            <w:tcW w:w="12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2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272,676</w:t>
            </w:r>
          </w:p>
        </w:tc>
        <w:tc>
          <w:tcPr>
            <w:tcW w:w="2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138,600</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579,431</w:t>
            </w:r>
          </w:p>
        </w:tc>
        <w:tc>
          <w:tcPr>
            <w:tcW w:w="2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3,298,848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216,426</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55,398</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31,725</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56,536</w:t>
            </w:r>
          </w:p>
        </w:tc>
        <w:tc>
          <w:tcPr>
            <w:tcW w:w="20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90,042</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596,539</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58,692</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482,053</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(526,546)</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The amounts shown in this column are reported in the Summary Compensation Table, as follows: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Reported in</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 Reported</w:t>
            </w:r>
          </w:p>
        </w:tc>
        <w:tc>
          <w:tcPr>
            <w:tcW w:w="180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the Non-Equity</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0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0" w:type="dxa"/>
            <w:vAlign w:val="bottom"/>
          </w:tcPr>
          <w:p>
            <w:pPr>
              <w:spacing w:after="0"/>
              <w:rPr>
                <w:sz w:val="1"/>
                <w:szCs w:val="1"/>
                <w:color w:val="auto"/>
              </w:rPr>
            </w:pPr>
          </w:p>
        </w:tc>
      </w:tr>
      <w:tr>
        <w:trPr>
          <w:trHeight w:val="176"/>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 the Salary</w:t>
            </w:r>
          </w:p>
        </w:tc>
        <w:tc>
          <w:tcPr>
            <w:tcW w:w="18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43"/>
        </w:trPr>
        <w:tc>
          <w:tcPr>
            <w:tcW w:w="7480" w:type="dxa"/>
            <w:vAlign w:val="bottom"/>
            <w:gridSpan w:val="2"/>
            <w:vMerge w:val="continue"/>
          </w:tcPr>
          <w:p>
            <w:pPr>
              <w:spacing w:after="0"/>
              <w:rPr>
                <w:sz w:val="21"/>
                <w:szCs w:val="21"/>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 xml:space="preserve">Column for 2023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Column for 2023 ($)</w:t>
            </w:r>
          </w:p>
        </w:tc>
        <w:tc>
          <w:tcPr>
            <w:tcW w:w="0" w:type="dxa"/>
            <w:vAlign w:val="bottom"/>
          </w:tcPr>
          <w:p>
            <w:pPr>
              <w:spacing w:after="0"/>
              <w:rPr>
                <w:sz w:val="1"/>
                <w:szCs w:val="1"/>
                <w:color w:val="auto"/>
              </w:rPr>
            </w:pP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2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36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179,676</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3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54,771</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169,471</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are reported in the Summary Compensation Table as part of the amounts in the “All Other Compensation” column for 2023.</w:t>
      </w:r>
    </w:p>
    <w:p>
      <w:pPr>
        <w:spacing w:after="0" w:line="22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amounts shown in this column, the following amounts are or were previously reported in the Summary Compensation Table: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Aggregate Amount Reported in</w:t>
            </w:r>
          </w:p>
        </w:tc>
        <w:tc>
          <w:tcPr>
            <w:tcW w:w="0" w:type="dxa"/>
            <w:vAlign w:val="bottom"/>
          </w:tcPr>
          <w:p>
            <w:pPr>
              <w:spacing w:after="0"/>
              <w:rPr>
                <w:sz w:val="1"/>
                <w:szCs w:val="1"/>
                <w:color w:val="auto"/>
              </w:rPr>
            </w:pPr>
          </w:p>
        </w:tc>
      </w:tr>
      <w:tr>
        <w:trPr>
          <w:trHeight w:val="184"/>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Summary Compensation Table of this</w:t>
            </w:r>
          </w:p>
        </w:tc>
        <w:tc>
          <w:tcPr>
            <w:tcW w:w="0" w:type="dxa"/>
            <w:vAlign w:val="bottom"/>
          </w:tcPr>
          <w:p>
            <w:pPr>
              <w:spacing w:after="0"/>
              <w:rPr>
                <w:sz w:val="1"/>
                <w:szCs w:val="1"/>
                <w:color w:val="auto"/>
              </w:rPr>
            </w:pPr>
          </w:p>
        </w:tc>
      </w:tr>
      <w:tr>
        <w:trPr>
          <w:trHeight w:val="230"/>
        </w:trPr>
        <w:tc>
          <w:tcPr>
            <w:tcW w:w="7980" w:type="dxa"/>
            <w:vAlign w:val="bottom"/>
            <w:gridSpan w:val="2"/>
            <w:vMerge w:val="continue"/>
          </w:tcPr>
          <w:p>
            <w:pPr>
              <w:spacing w:after="0"/>
              <w:rPr>
                <w:sz w:val="19"/>
                <w:szCs w:val="19"/>
                <w:color w:val="auto"/>
              </w:rPr>
            </w:pP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Prior Proxy Statements ($)</w:t>
            </w:r>
          </w:p>
        </w:tc>
        <w:tc>
          <w:tcPr>
            <w:tcW w:w="0" w:type="dxa"/>
            <w:vAlign w:val="bottom"/>
          </w:tcPr>
          <w:p>
            <w:pPr>
              <w:spacing w:after="0"/>
              <w:rPr>
                <w:sz w:val="1"/>
                <w:szCs w:val="1"/>
                <w:color w:val="auto"/>
              </w:rPr>
            </w:pPr>
          </w:p>
        </w:tc>
      </w:tr>
      <w:tr>
        <w:trPr>
          <w:trHeight w:val="223"/>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18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2,308,141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3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Agreements with the NEOs provide for severance in the event of certain types of termination:</w:t>
      </w:r>
    </w:p>
    <w:p>
      <w:pPr>
        <w:spacing w:after="0" w:line="225" w:lineRule="exact"/>
        <w:rPr>
          <w:sz w:val="20"/>
          <w:szCs w:val="20"/>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terminated without Cause (defined below) prior to a Sale of Business (defined below), the executive would be entitled to receive one times his or her base salary, paid in equal installments over 12 months following the date of termination;</w:t>
      </w:r>
    </w:p>
    <w:p>
      <w:pPr>
        <w:spacing w:after="0" w:line="16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Mr. Mitchell would also be entitled to his annual bonus at target prorated through the date of termination; and</w:t>
      </w:r>
    </w:p>
    <w:p>
      <w:pPr>
        <w:spacing w:after="0" w:line="22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Sale of Business occurs and within 12 months following the closing of such Sale of Business either the executive is terminated without Cause, or executive’s position is materially reduced in remuneration or scope of duties (“Good Reason”) and the executive terminates his or her employment, then the executive would be entitled to receive (i) two times his or her base salary plus (ii) his or her annual bonus at target prorated through the date of termination, paid in equal installments over 24 months following the Date of Termination.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Employment Agreements provide that if the executive breaches any of the provisions of the Restrictive Covenant Agreement to which he or she is a party, the executive’s right to receive further payments of severance amounts will be terminated.</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 addition, if the executive is terminated without Cause, then the executive and his or her eligible dependents will continue to be covered by the Company’s health plan for 12 months from the date of termination.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 of Business” is defined in the Employment Agreements as the sale or other disposition of (x) more than 50% of the shares or other equity interests of the Company or the Company’s direct or indirect parent to a non-affiliated party (which, for all executives other than Mr. Mitchell, shall not include a sale or an offering by Packaging Finance Limited of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Company’s regularly prepared financial statements), provided that a disposition as a result of lender foreclosure on assets or pursuant to a bankruptcy or judicially administered reorganization shall not constitute a Sale of Business. The Employment Agreements also provide that the executive’s position shall not be materially reduced by reason of the Company being smaller or having less operations as a result of the Sale of Business so long as the executive’s duties and responsibilities are generally consistent with his or her duties and responsibilities prior to the Sale of Business.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“Cause” is defined in the Employment Agreements as in the good faith determination of the CEO or Board of Directors that the executive has engaged in conduct consisting of (i) dishonesty or other serious misconduct related to his or her duties as an employee of the Company, or (ii) willful and continual failure (unless due to incapacity resulting from physical or mental illness) to perform the duties of the executive’s employment after written demand for substantial performance is delivered to the executive by the Company specifically identifying the manner in which the executive has not substantially performed such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RSU award agreements applicable to the NEOs for RSUs granted prior to 2022 provide that in the event of a termination of service due to the participant’s death or Retirement (as defined below), a pro rata portion of the RSUs with respect to the applicable vesting period will vest following such termination of service based on a fraction, the numerator of which is the number of full calendar months the participant had been employed in the applicable vesting period through the date of termination, and the denominator of which is 12;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must have been employed by the Company for at least twelve (12) months following the grant date of the RSUs.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PSU award agreements applicable to the NEOs for PSUs granted prior to 2022 provide that in the event of a termination of service due to the participant’s death or Retirement, any unvested PSUs shall vest effective as of the date of such termination of service based on the likely level of achievement of the performance condition, as determined in the sole discretion of the CNG Committee, prorated based on a fraction, the numerator of which is the number of full calendar months the participant has been employed from the grant date through the date of such termination of service, and the denominator of which is 36;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must have been employed by the Company for at least twelve (12) months following the grant date of the PSUs.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with RSUs and PSUs granted to the NEOs in 2022, the award agreements provide for an additional termination scenario of “Enhanced Retirement,” as defined and further discussed below. The RSU and PSU award agreements for RSUs and PSUs granted prior to 2022 were not amended to provide for an Enhanced Retirement termination scenario, and therefore only include a regular Retirement termination scenario.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RSU award agreements applicable to the NEOs for RSUs granted beginning in 2022 provide that in the event of a termination of service due to the participant’s death following the first anniversary of the grant date, then a pro rata portion of the RSUs will vest on the termination date, determined as follows: (a) if the termination occurs between the first and second anniversaries of the grant date, the sum of (i) the number of RSUs that would have vested in the second vesting period, multiplied by a fraction equal to the full calendar months the participant has been employed from the grant date through the date of termination (the “Service Months”), over 24, plus (ii) the number of RSUs that would have vested in the third vesting period, multiplied by a fraction equal to the number of Service Months over 36; and (b) if the termination occurs between the second and third anniversaries of the grant date, the number of RSUs that would have vested in the third vesting period, multiplied by a fraction equal to the number of Service Months over 36.</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of a participant’s Retirement after the first anniversary of the grant date, a pro rata portion of the RSUs with respect to the applicable vesting period in which termination occurs will vest on the first scheduled vesting date following termination, based on the number of full calendar months the participant has been employed in the applicable vesting period through the date of termination, over 12. In the event of a participant’s Enhanced Retirement</w:t>
      </w:r>
    </w:p>
    <w:p>
      <w:pPr>
        <w:spacing w:after="0" w:line="1" w:lineRule="exact"/>
        <w:rPr>
          <w:sz w:val="20"/>
          <w:szCs w:val="20"/>
          <w:color w:val="auto"/>
        </w:rPr>
      </w:pPr>
    </w:p>
    <w:p>
      <w:pPr>
        <w:jc w:val="both"/>
        <w:ind w:firstLine="8"/>
        <w:spacing w:after="0" w:line="252" w:lineRule="auto"/>
        <w:tabs>
          <w:tab w:leader="none" w:pos="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six month anniversary of the grant date but prior to the first anniversary of the grant date, a pro rata portion of the RSUs will vest on each scheduled vesting date as follows (i) on the first vesting date following termination, the number of RSUs that would have vested in the first vesting period, multiplied by a fraction equal to the number of Service Months over 12, (ii) on the second vesting date following termination, the number of RSUs that would have vested in the second vesting period, multiplied by a fraction equal to the number of Service Months over 24, and (iii) on the final vesting date, the number of RSUs that would have vested in the third vesting period, multiplied by a fraction equal to the number of Service Months over 36; and (b) on or after the first anniversary of the grant date, the RSUs will remain outstanding and will vest on each regularly scheduled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PSU award agreements applicable to the NEOs for PSUs granted beginning in 2022 provide that in the event of a termination of service due to the participant’s death following the first anniversary of the grant date, a pro rata portion will vest on the termination date, based on the number of PSUs that the CNG Committee determines would have vested based on the likely level of achievement of the performance conditions, multiplied by a fraction equal to the number of Service Months over 36. In the event of a participant’s Retirement that occurs after the first anniversary of the grant date, the PSUs will remain outstanding and a pro rata portion will vest on the scheduled vesting date, based on the number of achieved PSUs, multiplied by a fraction equal to the number of Service Months over 36. In the event of a participant’s Enhanced Retirement (a) after the six months anniversary of the grant date but prior to the first anniversary of the grant date, the PSUs will remain outstanding and a pro rata portion will vest on the scheduled vesting date, based on the number of achieved PSUs, multiplied by a fraction equal to the number of Service Months over 36; and (b) after the first anniversary of the grant date, the PSUs will remain outstanding and all achieved PSUs will vest on the scheduled vesting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these award agreements:</w:t>
      </w:r>
    </w:p>
    <w:p>
      <w:pPr>
        <w:spacing w:after="0" w:line="225" w:lineRule="exact"/>
        <w:rPr>
          <w:sz w:val="20"/>
          <w:szCs w:val="20"/>
          <w:color w:val="auto"/>
        </w:rPr>
      </w:pPr>
    </w:p>
    <w:p>
      <w:pPr>
        <w:jc w:val="both"/>
        <w:ind w:left="660" w:hanging="328"/>
        <w:spacing w:after="0" w:line="266" w:lineRule="auto"/>
        <w:tabs>
          <w:tab w:leader="none" w:pos="6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a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Retirement” means: (A) the participant has a voluntary termination of service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 (B) the participant enters into an extended restrictive covenant agreement; (C) the participant is not eligible to receive, and does not receive, any severance payments or benefits; and (D) the participant provides the Company with at least six months’ advance written notice of the participant’s retirement.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extended vesting provisions are further subject to the participant’s continuous compliance with applicable non-competition and other restrictive covenant agreements.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Equity Incentive Plan provides that in the event of a Change in Control (defined below), outstanding equity awards shall immediately vest and settle. The PSU award agreements applicable to the NEOs provide that the number of unvested PSUs that will vest effective as of the date of such Change in Control will be based on the likely level of achievement of the performance conditions or, with respect to PSUs for which the performance period was completed, based on the actual level of achievement of the performance conditions, in each case as determined in the sole discretion of the CNG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Incentive Plan defines “Change in Control” generally as the occurrence of any one or more of the following events:</w:t>
      </w:r>
    </w:p>
    <w:p>
      <w:pPr>
        <w:spacing w:after="0" w:line="225" w:lineRule="exact"/>
        <w:rPr>
          <w:sz w:val="20"/>
          <w:szCs w:val="20"/>
          <w:color w:val="auto"/>
        </w:rPr>
      </w:pPr>
    </w:p>
    <w:p>
      <w:pPr>
        <w:jc w:val="both"/>
        <w:ind w:left="340" w:hanging="8"/>
        <w:spacing w:after="0" w:line="261" w:lineRule="auto"/>
        <w:tabs>
          <w:tab w:leader="none" w:pos="6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issued and outstanding immediately after such acquisition;</w:t>
      </w:r>
    </w:p>
    <w:p>
      <w:pPr>
        <w:spacing w:after="0" w:line="179" w:lineRule="exact"/>
        <w:rPr>
          <w:rFonts w:ascii="Times New Roman" w:cs="Times New Roman" w:eastAsia="Times New Roman" w:hAnsi="Times New Roman"/>
          <w:sz w:val="18"/>
          <w:szCs w:val="18"/>
          <w:color w:val="auto"/>
        </w:rPr>
      </w:pPr>
    </w:p>
    <w:p>
      <w:pPr>
        <w:ind w:left="340" w:hanging="8"/>
        <w:spacing w:after="0" w:line="282" w:lineRule="auto"/>
        <w:tabs>
          <w:tab w:leader="none" w:pos="7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a period of 24 consecutive months, individuals who at the beginning of such period constituted the Board cease for any reason to constitute a majority of members of the Board, with certain exceptions;</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8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amalgamation or consolidation of the Company or any of its subsidiaries with any other corporation or entity, other than a merger, amalgamation or consolidation which would result in the voting securities of the Company issued and outstanding immediately prior to such merger, amalgamation or consolidation continuing to represent (either by remaining issued and outstanding or being converted into voting securities of the surviving entity or, if applicable, the ultimate parent thereof) at least 50% of the combined voting power and total fair market value of the securities of the Company or such surviving entity or parent issued and outstanding immediately after such merger, amalgamation or consolidation; or</w:t>
      </w:r>
    </w:p>
    <w:p>
      <w:pPr>
        <w:spacing w:after="0" w:line="187" w:lineRule="exact"/>
        <w:rPr>
          <w:rFonts w:ascii="Times New Roman" w:cs="Times New Roman" w:eastAsia="Times New Roman" w:hAnsi="Times New Roman"/>
          <w:sz w:val="18"/>
          <w:szCs w:val="18"/>
          <w:color w:val="auto"/>
        </w:rPr>
      </w:pPr>
    </w:p>
    <w:p>
      <w:pPr>
        <w:ind w:left="340" w:hanging="8"/>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sale, lease, exchange or other transfer to any person (other than an affiliate of the Company), in one transaction or a series of related transactions within a 12-month period, of all or substantially all of the assets of the Company and its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Table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reflects the estimated value of compensation and benefits payable to each of our NEOs upon the occurrence of certain events. The amounts in the table are based on a hypothetical termination of employment or change in control date on December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Mr. Graham stepped down from his position as Chief Financial Officer and moved into an advisory role to assist with Mr. Huckins’ transition on November 13, 2023. Mr. Graham has remained a full-time employee, with the same compensation and under the same terms and conditions as his Employment Agreement, until his retirement, which is planned for March 31, 2024. Mr. Graham is eligible for Enhanced Retirement, and will receive the following in connection with his retirement:</w:t>
      </w:r>
    </w:p>
    <w:p>
      <w:pPr>
        <w:spacing w:after="0" w:line="112" w:lineRule="exact"/>
        <w:rPr>
          <w:sz w:val="20"/>
          <w:szCs w:val="20"/>
          <w:color w:val="auto"/>
        </w:rPr>
      </w:pPr>
    </w:p>
    <w:p>
      <w:pPr>
        <w:jc w:val="both"/>
        <w:ind w:left="660" w:hanging="328"/>
        <w:spacing w:after="0" w:line="239"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The 6,155 outstanding RSUs granted on February 1, 2022 will remain outstanding and vest on their regularly scheduled vesting date of February 1, 2025. The value of these RSUs (based on the closing price for our common stock on December 29, 2023, the last trading day of 2023) was $165,200.</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The 12,423 outstanding RSUs granted on February 1, 2023 will remain outstanding and vest on their regularly scheduled vesting dates of February 1, 2025 and February 1, 2026, as Mr. Graham stayed employed until after the one year anniversary of the grant date. The value of these RSUs (based on the closing price for our common stock on December 29, 2023, the last trading day of 2023) was $333,433.</w:t>
      </w:r>
    </w:p>
    <w:p>
      <w:pPr>
        <w:spacing w:after="0" w:line="132"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The 32,610 earned PSUs granted on February 1, 2023 will remain outstanding and vest on their regularly scheduled vesting date of February 1, 2026, as Mr. Graham stayed employed until after the one year anniversary of the grant date. The value of these PSUs (based on the closing price for our common stock on December 29, 2023, the last trading day of 2023) was $875,252.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Mr. Graham also received a payout of $854,137 in connection with the 2023 AIP.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4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460"/>
              <w:spacing w:after="0" w:line="184" w:lineRule="exact"/>
              <w:rPr>
                <w:sz w:val="20"/>
                <w:szCs w:val="20"/>
                <w:color w:val="auto"/>
              </w:rPr>
            </w:pPr>
            <w:r>
              <w:rPr>
                <w:rFonts w:ascii="Times New Roman" w:cs="Times New Roman" w:eastAsia="Times New Roman" w:hAnsi="Times New Roman"/>
                <w:sz w:val="18"/>
                <w:szCs w:val="18"/>
                <w:b w:val="1"/>
                <w:bCs w:val="1"/>
                <w:color w:val="auto"/>
              </w:rPr>
              <w:t>Cause</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or for Good</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4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Reason</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4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Within 12</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7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7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Termination Due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Cause Prior</w:t>
            </w:r>
          </w:p>
        </w:tc>
        <w:tc>
          <w:tcPr>
            <w:tcW w:w="220" w:type="dxa"/>
            <w:vAlign w:val="bottom"/>
          </w:tcPr>
          <w:p>
            <w:pPr>
              <w:spacing w:after="0"/>
              <w:rPr>
                <w:sz w:val="15"/>
                <w:szCs w:val="15"/>
                <w:color w:val="auto"/>
              </w:rPr>
            </w:pPr>
          </w:p>
        </w:tc>
        <w:tc>
          <w:tcPr>
            <w:tcW w:w="1720" w:type="dxa"/>
            <w:vAlign w:val="bottom"/>
            <w:gridSpan w:val="4"/>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Following a Sale</w:t>
            </w:r>
          </w:p>
        </w:tc>
        <w:tc>
          <w:tcPr>
            <w:tcW w:w="1780" w:type="dxa"/>
            <w:vAlign w:val="bottom"/>
            <w:gridSpan w:val="3"/>
            <w:vMerge w:val="continue"/>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 a Sale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400"/>
              <w:spacing w:after="0" w:line="189"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1780" w:type="dxa"/>
            <w:vAlign w:val="bottom"/>
            <w:gridSpan w:val="3"/>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rPr>
              <w:t>Due to Death</w:t>
            </w:r>
          </w:p>
        </w:tc>
        <w:tc>
          <w:tcPr>
            <w:tcW w:w="1740" w:type="dxa"/>
            <w:vAlign w:val="bottom"/>
            <w:gridSpan w:val="3"/>
          </w:tcPr>
          <w:p>
            <w:pPr>
              <w:jc w:val="center"/>
              <w:ind w:right="400"/>
              <w:spacing w:after="0" w:line="189" w:lineRule="exact"/>
              <w:rPr>
                <w:sz w:val="20"/>
                <w:szCs w:val="20"/>
                <w:color w:val="auto"/>
              </w:rPr>
            </w:pPr>
            <w:r>
              <w:rPr>
                <w:rFonts w:ascii="Times New Roman" w:cs="Times New Roman" w:eastAsia="Times New Roman" w:hAnsi="Times New Roman"/>
                <w:sz w:val="18"/>
                <w:szCs w:val="18"/>
                <w:b w:val="1"/>
                <w:bCs w:val="1"/>
                <w:color w:val="auto"/>
              </w:rPr>
              <w:t>to Enhanced</w:t>
            </w: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7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or Retirement</w:t>
            </w:r>
          </w:p>
        </w:tc>
        <w:tc>
          <w:tcPr>
            <w:tcW w:w="1740" w:type="dxa"/>
            <w:vAlign w:val="bottom"/>
            <w:gridSpan w:val="3"/>
          </w:tcPr>
          <w:p>
            <w:pPr>
              <w:jc w:val="center"/>
              <w:ind w:right="400"/>
              <w:spacing w:after="0" w:line="207" w:lineRule="exact"/>
              <w:rPr>
                <w:sz w:val="20"/>
                <w:szCs w:val="20"/>
                <w:color w:val="auto"/>
              </w:rPr>
            </w:pPr>
            <w:r>
              <w:rPr>
                <w:rFonts w:ascii="Times New Roman" w:cs="Times New Roman" w:eastAsia="Times New Roman" w:hAnsi="Times New Roman"/>
                <w:sz w:val="18"/>
                <w:szCs w:val="18"/>
                <w:b w:val="1"/>
                <w:bCs w:val="1"/>
                <w:color w:val="auto"/>
              </w:rPr>
              <w:t>Retirement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³</w:t>
            </w:r>
            <w:r>
              <w:rPr>
                <w:rFonts w:ascii="MS PGothic" w:cs="MS PGothic" w:eastAsia="MS PGothic" w:hAnsi="MS PGothic"/>
                <w:sz w:val="18"/>
                <w:szCs w:val="18"/>
                <w:color w:val="auto"/>
              </w:rPr>
              <w:t>⁾</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0" w:type="dxa"/>
            <w:vAlign w:val="bottom"/>
          </w:tcPr>
          <w:p>
            <w:pPr>
              <w:spacing w:after="0"/>
              <w:rPr>
                <w:sz w:val="1"/>
                <w:szCs w:val="1"/>
                <w:color w:val="auto"/>
              </w:rPr>
            </w:pPr>
          </w:p>
        </w:tc>
      </w:tr>
      <w:tr>
        <w:trPr>
          <w:trHeight w:val="238"/>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Name/Benefits</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Lance Mitchell</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bonus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1,782,500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1,782,500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Health benefits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RSUs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1,393,935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2,646,719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PSUs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3,343,278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4,893,278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1,393,935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3,579,838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Scott Huckins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6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Annual bonus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506,250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benefits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RSUs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PSUs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1,872,437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Rachel Bishop</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541,000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bonus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351,650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Health benefits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RSUs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244,727</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478,396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PSUs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1,449,886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Judith Buckner</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6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Annual bonus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341,250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benefits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RSUs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PSUs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5794375</wp:posOffset>
            </wp:positionH>
            <wp:positionV relativeFrom="paragraph">
              <wp:posOffset>-4491990</wp:posOffset>
            </wp:positionV>
            <wp:extent cx="106045" cy="869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Potential Payments Table (cont.)</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420"/>
              <w:spacing w:after="0" w:line="184" w:lineRule="exact"/>
              <w:rPr>
                <w:sz w:val="20"/>
                <w:szCs w:val="20"/>
                <w:color w:val="auto"/>
              </w:rPr>
            </w:pPr>
            <w:r>
              <w:rPr>
                <w:rFonts w:ascii="Times New Roman" w:cs="Times New Roman" w:eastAsia="Times New Roman" w:hAnsi="Times New Roman"/>
                <w:sz w:val="18"/>
                <w:szCs w:val="18"/>
                <w:b w:val="1"/>
                <w:bCs w:val="1"/>
                <w:color w:val="auto"/>
              </w:rPr>
              <w:t>Cause</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rPr>
              <w:t>or for Good</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Reason</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Within 12</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rPr>
              <w:t>Months</w:t>
            </w:r>
          </w:p>
        </w:tc>
        <w:tc>
          <w:tcPr>
            <w:tcW w:w="17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7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Termination Due</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Cause Prior</w:t>
            </w:r>
          </w:p>
        </w:tc>
        <w:tc>
          <w:tcPr>
            <w:tcW w:w="200" w:type="dxa"/>
            <w:vAlign w:val="bottom"/>
          </w:tcPr>
          <w:p>
            <w:pPr>
              <w:spacing w:after="0"/>
              <w:rPr>
                <w:sz w:val="15"/>
                <w:szCs w:val="15"/>
                <w:color w:val="auto"/>
              </w:rPr>
            </w:pPr>
          </w:p>
        </w:tc>
        <w:tc>
          <w:tcPr>
            <w:tcW w:w="170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Following a Sale</w:t>
            </w:r>
          </w:p>
        </w:tc>
        <w:tc>
          <w:tcPr>
            <w:tcW w:w="174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 a Sale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9" w:lineRule="exact"/>
              <w:rPr>
                <w:sz w:val="20"/>
                <w:szCs w:val="20"/>
                <w:color w:val="auto"/>
              </w:rPr>
            </w:pPr>
            <w:r>
              <w:rPr>
                <w:rFonts w:ascii="Times New Roman" w:cs="Times New Roman" w:eastAsia="Times New Roman" w:hAnsi="Times New Roman"/>
                <w:sz w:val="18"/>
                <w:szCs w:val="18"/>
                <w:b w:val="1"/>
                <w:bCs w:val="1"/>
                <w:color w:val="auto"/>
              </w:rPr>
              <w:t>of</w:t>
            </w:r>
          </w:p>
        </w:tc>
        <w:tc>
          <w:tcPr>
            <w:tcW w:w="1740" w:type="dxa"/>
            <w:vAlign w:val="bottom"/>
            <w:gridSpan w:val="3"/>
          </w:tcPr>
          <w:p>
            <w:pPr>
              <w:jc w:val="center"/>
              <w:ind w:right="4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Due to Death</w:t>
            </w:r>
          </w:p>
        </w:tc>
        <w:tc>
          <w:tcPr>
            <w:tcW w:w="1720" w:type="dxa"/>
            <w:vAlign w:val="bottom"/>
            <w:gridSpan w:val="3"/>
          </w:tcPr>
          <w:p>
            <w:pPr>
              <w:jc w:val="center"/>
              <w:ind w:right="380"/>
              <w:spacing w:after="0" w:line="189" w:lineRule="exact"/>
              <w:rPr>
                <w:sz w:val="20"/>
                <w:szCs w:val="20"/>
                <w:color w:val="auto"/>
              </w:rPr>
            </w:pPr>
            <w:r>
              <w:rPr>
                <w:rFonts w:ascii="Times New Roman" w:cs="Times New Roman" w:eastAsia="Times New Roman" w:hAnsi="Times New Roman"/>
                <w:sz w:val="18"/>
                <w:szCs w:val="18"/>
                <w:b w:val="1"/>
                <w:bCs w:val="1"/>
                <w:color w:val="auto"/>
              </w:rPr>
              <w:t>to Enhanced</w:t>
            </w: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7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or Retirement</w:t>
            </w:r>
          </w:p>
        </w:tc>
        <w:tc>
          <w:tcPr>
            <w:tcW w:w="1720" w:type="dxa"/>
            <w:vAlign w:val="bottom"/>
            <w:gridSpan w:val="3"/>
          </w:tcPr>
          <w:p>
            <w:pPr>
              <w:jc w:val="center"/>
              <w:ind w:right="380"/>
              <w:spacing w:after="0" w:line="207" w:lineRule="exact"/>
              <w:rPr>
                <w:sz w:val="20"/>
                <w:szCs w:val="20"/>
                <w:color w:val="auto"/>
              </w:rPr>
            </w:pPr>
            <w:r>
              <w:rPr>
                <w:rFonts w:ascii="Times New Roman" w:cs="Times New Roman" w:eastAsia="Times New Roman" w:hAnsi="Times New Roman"/>
                <w:sz w:val="18"/>
                <w:szCs w:val="18"/>
                <w:b w:val="1"/>
                <w:bCs w:val="1"/>
                <w:color w:val="auto"/>
              </w:rPr>
              <w:t>Retirement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³</w:t>
            </w:r>
            <w:r>
              <w:rPr>
                <w:rFonts w:ascii="MS PGothic" w:cs="MS PGothic" w:eastAsia="MS PGothic" w:hAnsi="MS PGothic"/>
                <w:sz w:val="18"/>
                <w:szCs w:val="18"/>
                <w:color w:val="auto"/>
              </w:rPr>
              <w:t>⁾</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0" w:type="dxa"/>
            <w:vAlign w:val="bottom"/>
          </w:tcPr>
          <w:p>
            <w:pPr>
              <w:spacing w:after="0"/>
              <w:rPr>
                <w:sz w:val="1"/>
                <w:szCs w:val="1"/>
                <w:color w:val="auto"/>
              </w:rPr>
            </w:pPr>
          </w:p>
        </w:tc>
      </w:tr>
      <w:tr>
        <w:trPr>
          <w:trHeight w:val="238"/>
        </w:trPr>
        <w:tc>
          <w:tcPr>
            <w:tcW w:w="3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Name/Benefits</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Lisa Smith</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bonus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Health benefits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RSUs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433,224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Value of PSUs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511,262</w:t>
            </w: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1,336,262</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218,531</w:t>
            </w: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595,767</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1,098,883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-1320165</wp:posOffset>
            </wp:positionV>
            <wp:extent cx="106045" cy="869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04" w:lineRule="exact"/>
        <w:rPr>
          <w:sz w:val="20"/>
          <w:szCs w:val="20"/>
          <w:color w:val="auto"/>
        </w:rPr>
      </w:pPr>
    </w:p>
    <w:p>
      <w:pPr>
        <w:ind w:left="340" w:right="20" w:hanging="332"/>
        <w:spacing w:after="0" w:line="280"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RSUs and PSUs is determined by multiplying the number of unvested units for which vesting would be accelerated or that would continue to vest following the specified event by $26.84, the closing price for our common stock on December 29, 2023, the last trading day of 2023.</w:t>
      </w:r>
    </w:p>
    <w:p>
      <w:pPr>
        <w:spacing w:after="0" w:line="56"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NEOs held PSUs that were granted in 2023 with a one-year performance period of 2023. Following 2023, the CNG Committee determined the number of PSUs that were earned by each NEO. That number of earned PSUs was utilized to determine the value of PSUs reflected in this table.</w:t>
      </w:r>
    </w:p>
    <w:p>
      <w:pPr>
        <w:spacing w:after="0" w:line="42"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RSUs and PSUs in this column consist of the value of the RSUs and PSUs granted in 2022 and 2023 that would vest or continue to vest upon an Enhanced Retirement, plus the value of the RSUs granted in 2021 that would vest or continue to vest upon a Retirement, since an Enhanced Retirement under the 2022 and 2023 RSUs would qualify as a Retirement under the 2021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reasonable estimate of the ratio of the annual total compensation of Lance Mitchell, our Chief Executive Officer (our “CEO”), to the annual total compensation of the median of our other employees, together with an explanation of our methodology in calculating the same.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employee was $65,556;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reported in the Summary Compensation Table included in this Proxy Statement, was $8,721,018.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2023, we reasonably estimate that the ratio of our CEO’s annual total compensation to the annual total compensation of our median employee was 133:1. Our pay ratio estimate has been calculated in a manner consistent with Item 402(u) of Regulation 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2023 pay ratio analysis, we determined that we could use the same median employee that we identified for our 2021 pay ratio analysis, as permitted by SEC rules. There has been no change in either our employee population or our employee compensation arrangements that we believe would significantly impact our 2023 pay ratio disclosure.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our median employee, we determined that employee’s total compensation, including any perquisites and other benefits, in the same manner that we determine the total compensation of our named executive officers for purposes of the Summary Compensation Table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refer to the CD&amp;A in its entirety for a full discussion on how the CNG Committee makes its decisions on executive compensation and our pay-for-performance compensation philosophy. The following table sets forth additional compensation information regarding our principal executive officer, Lance Mitchell (“PEO” or “CEO”), and our other NEOs (averaged), along with total shareholder return (“TSR”), net income and Adjusted EBIT performance results for our 2023, 2022, 2021 and 2020 fiscal years: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2460" w:type="dxa"/>
            <w:vAlign w:val="bottom"/>
            <w:gridSpan w:val="4"/>
          </w:tcPr>
          <w:p>
            <w:pPr>
              <w:jc w:val="right"/>
              <w:ind w:right="854"/>
              <w:spacing w:after="0" w:line="108" w:lineRule="exact"/>
              <w:rPr>
                <w:sz w:val="20"/>
                <w:szCs w:val="20"/>
                <w:color w:val="auto"/>
              </w:rPr>
            </w:pPr>
            <w:r>
              <w:rPr>
                <w:rFonts w:ascii="Times New Roman" w:cs="Times New Roman" w:eastAsia="Times New Roman" w:hAnsi="Times New Roman"/>
                <w:sz w:val="12"/>
                <w:szCs w:val="12"/>
                <w:b w:val="1"/>
                <w:bCs w:val="1"/>
                <w:color w:val="auto"/>
              </w:rPr>
              <w:t>Based On:</w:t>
            </w:r>
          </w:p>
        </w:tc>
        <w:tc>
          <w:tcPr>
            <w:tcW w:w="80" w:type="dxa"/>
            <w:vAlign w:val="bottom"/>
          </w:tcPr>
          <w:p>
            <w:pPr>
              <w:spacing w:after="0"/>
              <w:rPr>
                <w:sz w:val="9"/>
                <w:szCs w:val="9"/>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EBIT</w:t>
            </w:r>
            <w:r>
              <w:rPr>
                <w:rFonts w:ascii="Times New Roman" w:cs="Times New Roman" w:eastAsia="Times New Roman" w:hAnsi="Times New Roman"/>
                <w:sz w:val="18"/>
                <w:szCs w:val="18"/>
                <w:b w:val="1"/>
                <w:bCs w:val="1"/>
                <w:color w:val="auto"/>
                <w:vertAlign w:val="superscript"/>
              </w:rPr>
              <w:t>(6)</w:t>
            </w:r>
          </w:p>
        </w:tc>
        <w:tc>
          <w:tcPr>
            <w:tcW w:w="0" w:type="dxa"/>
            <w:vAlign w:val="bottom"/>
          </w:tcPr>
          <w:p>
            <w:pPr>
              <w:spacing w:after="0"/>
              <w:rPr>
                <w:sz w:val="1"/>
                <w:szCs w:val="1"/>
                <w:color w:val="auto"/>
              </w:rPr>
            </w:pPr>
          </w:p>
        </w:tc>
      </w:tr>
      <w:tr>
        <w:trPr>
          <w:trHeight w:val="108"/>
        </w:trPr>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3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1400" w:type="dxa"/>
            <w:vAlign w:val="bottom"/>
            <w:gridSpan w:val="2"/>
            <w:vMerge w:val="continue"/>
          </w:tcPr>
          <w:p>
            <w:pPr>
              <w:spacing w:after="0"/>
              <w:rPr>
                <w:sz w:val="9"/>
                <w:szCs w:val="9"/>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40" w:type="dxa"/>
            <w:vAlign w:val="bottom"/>
            <w:gridSpan w:val="2"/>
            <w:vMerge w:val="continue"/>
          </w:tcPr>
          <w:p>
            <w:pPr>
              <w:spacing w:after="0"/>
              <w:rPr>
                <w:sz w:val="8"/>
                <w:szCs w:val="8"/>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Table Total for PEO</w:t>
            </w:r>
          </w:p>
        </w:tc>
        <w:tc>
          <w:tcPr>
            <w:tcW w:w="1280" w:type="dxa"/>
            <w:vAlign w:val="bottom"/>
          </w:tcPr>
          <w:p>
            <w:pPr>
              <w:jc w:val="right"/>
              <w:ind w:right="315"/>
              <w:spacing w:after="0" w:line="95" w:lineRule="exact"/>
              <w:rPr>
                <w:sz w:val="20"/>
                <w:szCs w:val="20"/>
                <w:color w:val="auto"/>
              </w:rPr>
            </w:pPr>
            <w:r>
              <w:rPr>
                <w:rFonts w:ascii="Times New Roman" w:cs="Times New Roman" w:eastAsia="Times New Roman" w:hAnsi="Times New Roman"/>
                <w:sz w:val="9"/>
                <w:szCs w:val="9"/>
                <w:b w:val="1"/>
                <w:bCs w:val="1"/>
                <w:color w:val="auto"/>
              </w:rPr>
              <w:t>(1)(2)</w:t>
            </w:r>
          </w:p>
        </w:tc>
        <w:tc>
          <w:tcPr>
            <w:tcW w:w="100" w:type="dxa"/>
            <w:vAlign w:val="bottom"/>
          </w:tcPr>
          <w:p>
            <w:pPr>
              <w:spacing w:after="0"/>
              <w:rPr>
                <w:sz w:val="8"/>
                <w:szCs w:val="8"/>
                <w:color w:val="auto"/>
              </w:rPr>
            </w:pPr>
          </w:p>
        </w:tc>
        <w:tc>
          <w:tcPr>
            <w:tcW w:w="140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Table Total for Non-</w:t>
            </w:r>
          </w:p>
        </w:tc>
        <w:tc>
          <w:tcPr>
            <w:tcW w:w="140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w:t>
            </w:r>
          </w:p>
        </w:tc>
        <w:tc>
          <w:tcPr>
            <w:tcW w:w="11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380" w:type="dxa"/>
            <w:vAlign w:val="bottom"/>
            <w:gridSpan w:val="2"/>
          </w:tcPr>
          <w:p>
            <w:pPr>
              <w:ind w:left="380"/>
              <w:spacing w:after="0" w:line="81" w:lineRule="exact"/>
              <w:rPr>
                <w:sz w:val="20"/>
                <w:szCs w:val="20"/>
                <w:color w:val="auto"/>
              </w:rPr>
            </w:pPr>
            <w:r>
              <w:rPr>
                <w:rFonts w:ascii="Times New Roman" w:cs="Times New Roman" w:eastAsia="Times New Roman" w:hAnsi="Times New Roman"/>
                <w:sz w:val="9"/>
                <w:szCs w:val="9"/>
                <w:b w:val="1"/>
                <w:bCs w:val="1"/>
                <w:color w:val="auto"/>
              </w:rPr>
              <w:t>PEO</w:t>
            </w:r>
          </w:p>
        </w:tc>
        <w:tc>
          <w:tcPr>
            <w:tcW w:w="1300" w:type="dxa"/>
            <w:vAlign w:val="bottom"/>
          </w:tcPr>
          <w:p>
            <w:pPr>
              <w:jc w:val="right"/>
              <w:ind w:right="176"/>
              <w:spacing w:after="0" w:line="81" w:lineRule="exact"/>
              <w:rPr>
                <w:sz w:val="20"/>
                <w:szCs w:val="20"/>
                <w:color w:val="auto"/>
              </w:rPr>
            </w:pPr>
            <w:r>
              <w:rPr>
                <w:rFonts w:ascii="Times New Roman" w:cs="Times New Roman" w:eastAsia="Times New Roman" w:hAnsi="Times New Roman"/>
                <w:sz w:val="9"/>
                <w:szCs w:val="9"/>
                <w:b w:val="1"/>
                <w:bCs w:val="1"/>
                <w:color w:val="auto"/>
              </w:rPr>
              <w:t>(3)</w:t>
            </w:r>
          </w:p>
        </w:tc>
        <w:tc>
          <w:tcPr>
            <w:tcW w:w="100" w:type="dxa"/>
            <w:vAlign w:val="bottom"/>
          </w:tcPr>
          <w:p>
            <w:pPr>
              <w:spacing w:after="0"/>
              <w:rPr>
                <w:sz w:val="7"/>
                <w:szCs w:val="7"/>
                <w:color w:val="auto"/>
              </w:rPr>
            </w:pPr>
          </w:p>
        </w:tc>
        <w:tc>
          <w:tcPr>
            <w:tcW w:w="140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Non-PEO NEOs</w:t>
            </w:r>
            <w:r>
              <w:rPr>
                <w:rFonts w:ascii="Times New Roman" w:cs="Times New Roman" w:eastAsia="Times New Roman" w:hAnsi="Times New Roman"/>
                <w:sz w:val="9"/>
                <w:szCs w:val="9"/>
                <w:b w:val="1"/>
                <w:bCs w:val="1"/>
                <w:color w:val="auto"/>
                <w:vertAlign w:val="superscript"/>
              </w:rPr>
              <w:t>(1)(2)</w:t>
            </w:r>
          </w:p>
        </w:tc>
        <w:tc>
          <w:tcPr>
            <w:tcW w:w="1000" w:type="dxa"/>
            <w:vAlign w:val="bottom"/>
          </w:tcPr>
          <w:p>
            <w:pPr>
              <w:spacing w:after="0"/>
              <w:rPr>
                <w:sz w:val="7"/>
                <w:szCs w:val="7"/>
                <w:color w:val="auto"/>
              </w:rPr>
            </w:pPr>
          </w:p>
        </w:tc>
        <w:tc>
          <w:tcPr>
            <w:tcW w:w="180" w:type="dxa"/>
            <w:vAlign w:val="bottom"/>
            <w:vMerge w:val="restart"/>
          </w:tcPr>
          <w:p>
            <w:pPr>
              <w:jc w:val="center"/>
              <w:ind w:right="33"/>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00" w:type="dxa"/>
            <w:vAlign w:val="bottom"/>
          </w:tcPr>
          <w:p>
            <w:pPr>
              <w:spacing w:after="0"/>
              <w:rPr>
                <w:sz w:val="7"/>
                <w:szCs w:val="7"/>
                <w:color w:val="auto"/>
              </w:rPr>
            </w:pPr>
          </w:p>
        </w:tc>
        <w:tc>
          <w:tcPr>
            <w:tcW w:w="11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Peer Group</w:t>
            </w:r>
          </w:p>
        </w:tc>
        <w:tc>
          <w:tcPr>
            <w:tcW w:w="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5"/>
                <w:szCs w:val="5"/>
                <w:color w:val="auto"/>
              </w:rPr>
            </w:pPr>
          </w:p>
        </w:tc>
        <w:tc>
          <w:tcPr>
            <w:tcW w:w="1400" w:type="dxa"/>
            <w:vAlign w:val="bottom"/>
            <w:gridSpan w:val="2"/>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PEO NEOs</w:t>
            </w:r>
          </w:p>
        </w:tc>
        <w:tc>
          <w:tcPr>
            <w:tcW w:w="1300" w:type="dxa"/>
            <w:vAlign w:val="bottom"/>
          </w:tcPr>
          <w:p>
            <w:pPr>
              <w:jc w:val="right"/>
              <w:ind w:right="536"/>
              <w:spacing w:after="0" w:line="68" w:lineRule="exact"/>
              <w:rPr>
                <w:sz w:val="20"/>
                <w:szCs w:val="20"/>
                <w:color w:val="auto"/>
              </w:rPr>
            </w:pPr>
            <w:r>
              <w:rPr>
                <w:rFonts w:ascii="Times New Roman" w:cs="Times New Roman" w:eastAsia="Times New Roman" w:hAnsi="Times New Roman"/>
                <w:sz w:val="7"/>
                <w:szCs w:val="7"/>
                <w:b w:val="1"/>
                <w:bCs w:val="1"/>
                <w:color w:val="auto"/>
              </w:rPr>
              <w:t>(3)</w:t>
            </w:r>
          </w:p>
        </w:tc>
        <w:tc>
          <w:tcPr>
            <w:tcW w:w="10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Company TSR</w:t>
            </w:r>
          </w:p>
        </w:tc>
        <w:tc>
          <w:tcPr>
            <w:tcW w:w="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30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vertAlign w:val="subscript"/>
              </w:rPr>
              <w:t>TSR</w:t>
            </w:r>
            <w:r>
              <w:rPr>
                <w:rFonts w:ascii="Times New Roman" w:cs="Times New Roman" w:eastAsia="Times New Roman" w:hAnsi="Times New Roman"/>
                <w:sz w:val="7"/>
                <w:szCs w:val="7"/>
                <w:b w:val="1"/>
                <w:bCs w:val="1"/>
                <w:color w:val="auto"/>
              </w:rPr>
              <w:t>(4)(5)</w:t>
            </w: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249"/>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8,721,018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9,414,595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2,171,986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2,291,678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5"/>
              </w:rPr>
              <w:t>105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95"/>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6,805,161</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3,692,477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1,715,941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1,096,076</w:t>
            </w:r>
          </w:p>
        </w:tc>
        <w:tc>
          <w:tcPr>
            <w:tcW w:w="100" w:type="dxa"/>
            <w:vAlign w:val="bottom"/>
          </w:tcPr>
          <w:p>
            <w:pPr>
              <w:spacing w:after="0"/>
              <w:rPr>
                <w:sz w:val="16"/>
                <w:szCs w:val="16"/>
                <w:color w:val="auto"/>
              </w:rPr>
            </w:pPr>
          </w:p>
        </w:tc>
        <w:tc>
          <w:tcPr>
            <w:tcW w:w="1180" w:type="dxa"/>
            <w:vAlign w:val="bottom"/>
            <w:gridSpan w:val="2"/>
          </w:tcPr>
          <w:p>
            <w:pPr>
              <w:jc w:val="center"/>
              <w:ind w:left="869"/>
              <w:spacing w:after="0"/>
              <w:rPr>
                <w:sz w:val="20"/>
                <w:szCs w:val="20"/>
                <w:color w:val="auto"/>
              </w:rPr>
            </w:pPr>
            <w:r>
              <w:rPr>
                <w:rFonts w:ascii="Times New Roman" w:cs="Times New Roman" w:eastAsia="Times New Roman" w:hAnsi="Times New Roman"/>
                <w:sz w:val="14"/>
                <w:szCs w:val="14"/>
                <w:color w:val="auto"/>
                <w:w w:val="95"/>
              </w:rPr>
              <w:t>114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21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5,940,377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3,389,548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1,480,706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1,022,817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w w:val="95"/>
              </w:rPr>
              <w:t>116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88"/>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11,410,221</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12,624,919</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2,683,195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2,896,277</w:t>
            </w:r>
          </w:p>
        </w:tc>
        <w:tc>
          <w:tcPr>
            <w:tcW w:w="100" w:type="dxa"/>
            <w:vAlign w:val="bottom"/>
          </w:tcPr>
          <w:p>
            <w:pPr>
              <w:spacing w:after="0"/>
              <w:rPr>
                <w:sz w:val="16"/>
                <w:szCs w:val="16"/>
                <w:color w:val="auto"/>
              </w:rPr>
            </w:pPr>
          </w:p>
        </w:tc>
        <w:tc>
          <w:tcPr>
            <w:tcW w:w="1180" w:type="dxa"/>
            <w:vAlign w:val="bottom"/>
            <w:gridSpan w:val="2"/>
          </w:tcPr>
          <w:p>
            <w:pPr>
              <w:jc w:val="center"/>
              <w:ind w:left="869"/>
              <w:spacing w:after="0"/>
              <w:rPr>
                <w:sz w:val="20"/>
                <w:szCs w:val="20"/>
                <w:color w:val="auto"/>
              </w:rPr>
            </w:pPr>
            <w:r>
              <w:rPr>
                <w:rFonts w:ascii="Times New Roman" w:cs="Times New Roman" w:eastAsia="Times New Roman" w:hAnsi="Times New Roman"/>
                <w:sz w:val="14"/>
                <w:szCs w:val="14"/>
                <w:color w:val="auto"/>
                <w:w w:val="95"/>
              </w:rPr>
              <w:t>107</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340" w:hanging="332"/>
        <w:spacing w:after="0" w:line="280" w:lineRule="auto"/>
        <w:tabs>
          <w:tab w:leader="none" w:pos="4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calculate compensation actually paid (“CAP”), the following amounts were deducted from and added to the Summary Compensation Table (“SCT”) total compensation for 2023 (the equity adjustments for 2020-2022 were set forth in the proxy statement for our 2023 annual meeting of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 SCT Total to CAP Reconciliation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8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960" w:type="dxa"/>
            <w:vAlign w:val="bottom"/>
            <w:gridSpan w:val="2"/>
          </w:tcPr>
          <w:p>
            <w:pPr>
              <w:spacing w:after="0"/>
              <w:rPr>
                <w:sz w:val="13"/>
                <w:szCs w:val="13"/>
                <w:color w:val="auto"/>
              </w:rPr>
            </w:pPr>
          </w:p>
        </w:tc>
        <w:tc>
          <w:tcPr>
            <w:tcW w:w="2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04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Year</w:t>
            </w:r>
          </w:p>
        </w:tc>
        <w:tc>
          <w:tcPr>
            <w:tcW w:w="2540" w:type="dxa"/>
            <w:vAlign w:val="bottom"/>
            <w:gridSpan w:val="2"/>
            <w:vMerge w:val="continue"/>
          </w:tcPr>
          <w:p>
            <w:pPr>
              <w:spacing w:after="0"/>
              <w:rPr>
                <w:sz w:val="2"/>
                <w:szCs w:val="2"/>
                <w:color w:val="auto"/>
              </w:rPr>
            </w:pPr>
          </w:p>
        </w:tc>
        <w:tc>
          <w:tcPr>
            <w:tcW w:w="2520" w:type="dxa"/>
            <w:vAlign w:val="bottom"/>
            <w:gridSpan w:val="4"/>
            <w:vMerge w:val="restart"/>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from SCT Total</w:t>
            </w:r>
          </w:p>
        </w:tc>
        <w:tc>
          <w:tcPr>
            <w:tcW w:w="2540" w:type="dxa"/>
            <w:vAlign w:val="bottom"/>
            <w:gridSpan w:val="4"/>
            <w:vMerge w:val="restart"/>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to SCT Total</w:t>
            </w:r>
          </w:p>
        </w:tc>
        <w:tc>
          <w:tcPr>
            <w:tcW w:w="26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1040" w:type="dxa"/>
            <w:vAlign w:val="bottom"/>
            <w:gridSpan w:val="2"/>
            <w:vMerge w:val="continue"/>
          </w:tcPr>
          <w:p>
            <w:pPr>
              <w:spacing w:after="0"/>
              <w:rPr>
                <w:sz w:val="5"/>
                <w:szCs w:val="5"/>
                <w:color w:val="auto"/>
              </w:rPr>
            </w:pPr>
          </w:p>
        </w:tc>
        <w:tc>
          <w:tcPr>
            <w:tcW w:w="2440" w:type="dxa"/>
            <w:vAlign w:val="bottom"/>
            <w:vMerge w:val="restart"/>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2460" w:type="dxa"/>
            <w:vAlign w:val="bottom"/>
            <w:vMerge w:val="restart"/>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18"/>
                <w:szCs w:val="18"/>
                <w:b w:val="1"/>
                <w:bCs w:val="1"/>
                <w:color w:val="auto"/>
                <w:w w:val="93"/>
                <w:vertAlign w:val="superscript"/>
              </w:rPr>
              <w:t>(i)</w:t>
            </w:r>
          </w:p>
        </w:tc>
        <w:tc>
          <w:tcPr>
            <w:tcW w:w="940" w:type="dxa"/>
            <w:vAlign w:val="bottom"/>
          </w:tcPr>
          <w:p>
            <w:pPr>
              <w:spacing w:after="0"/>
              <w:rPr>
                <w:sz w:val="18"/>
                <w:szCs w:val="18"/>
                <w:color w:val="auto"/>
              </w:rPr>
            </w:pPr>
          </w:p>
        </w:tc>
        <w:tc>
          <w:tcPr>
            <w:tcW w:w="1600" w:type="dxa"/>
            <w:vAlign w:val="bottom"/>
            <w:gridSpan w:val="3"/>
          </w:tcPr>
          <w:p>
            <w:pPr>
              <w:jc w:val="center"/>
              <w:ind w:right="1000"/>
              <w:spacing w:after="0" w:line="216" w:lineRule="exact"/>
              <w:rPr>
                <w:sz w:val="20"/>
                <w:szCs w:val="20"/>
                <w:color w:val="auto"/>
              </w:rPr>
            </w:pPr>
            <w:r>
              <w:rPr>
                <w:rFonts w:ascii="Times New Roman" w:cs="Times New Roman" w:eastAsia="Times New Roman" w:hAnsi="Times New Roman"/>
                <w:sz w:val="25"/>
                <w:szCs w:val="25"/>
                <w:b w:val="1"/>
                <w:bCs w:val="1"/>
                <w:color w:val="auto"/>
                <w:w w:val="91"/>
                <w:vertAlign w:val="subscript"/>
              </w:rPr>
              <w:t>($)</w:t>
            </w:r>
            <w:r>
              <w:rPr>
                <w:rFonts w:ascii="Times New Roman" w:cs="Times New Roman" w:eastAsia="Times New Roman" w:hAnsi="Times New Roman"/>
                <w:sz w:val="9"/>
                <w:szCs w:val="9"/>
                <w:b w:val="1"/>
                <w:bCs w:val="1"/>
                <w:color w:val="auto"/>
                <w:w w:val="91"/>
              </w:rPr>
              <w:t>(ii)</w:t>
            </w:r>
          </w:p>
        </w:tc>
        <w:tc>
          <w:tcPr>
            <w:tcW w:w="2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gridSpan w:val="2"/>
            <w:shd w:val="clear" w:color="auto" w:fill="CCEEFF"/>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(ii)</w:t>
            </w:r>
          </w:p>
        </w:tc>
        <w:tc>
          <w:tcPr>
            <w:tcW w:w="8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8,721,018</w:t>
            </w:r>
          </w:p>
        </w:tc>
        <w:tc>
          <w:tcPr>
            <w:tcW w:w="100" w:type="dxa"/>
            <w:vAlign w:val="bottom"/>
          </w:tcPr>
          <w:p>
            <w:pPr>
              <w:spacing w:after="0"/>
              <w:rPr>
                <w:sz w:val="16"/>
                <w:szCs w:val="16"/>
                <w:color w:val="auto"/>
              </w:rPr>
            </w:pPr>
          </w:p>
        </w:tc>
        <w:tc>
          <w:tcPr>
            <w:tcW w:w="2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(4,105,334)</w:t>
            </w:r>
          </w:p>
        </w:tc>
        <w:tc>
          <w:tcPr>
            <w:tcW w:w="80" w:type="dxa"/>
            <w:vAlign w:val="bottom"/>
          </w:tcPr>
          <w:p>
            <w:pPr>
              <w:spacing w:after="0"/>
              <w:rPr>
                <w:sz w:val="16"/>
                <w:szCs w:val="16"/>
                <w:color w:val="auto"/>
              </w:rPr>
            </w:pPr>
          </w:p>
        </w:tc>
        <w:tc>
          <w:tcPr>
            <w:tcW w:w="24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4,798,911</w:t>
            </w:r>
          </w:p>
        </w:tc>
        <w:tc>
          <w:tcPr>
            <w:tcW w:w="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9,414,595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32"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following: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Year-Over-Year Change in</w:t>
            </w: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 Fair Value of Prior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End of Prior</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Year of Prior Years' Awards</w:t>
            </w:r>
          </w:p>
        </w:tc>
        <w:tc>
          <w:tcPr>
            <w:tcW w:w="0" w:type="dxa"/>
            <w:vAlign w:val="bottom"/>
          </w:tcPr>
          <w:p>
            <w:pPr>
              <w:spacing w:after="0"/>
              <w:rPr>
                <w:sz w:val="1"/>
                <w:szCs w:val="1"/>
                <w:color w:val="auto"/>
              </w:rPr>
            </w:pPr>
          </w:p>
        </w:tc>
      </w:tr>
      <w:tr>
        <w:trPr>
          <w:trHeight w:val="79"/>
        </w:trPr>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 Value of</w:t>
            </w:r>
          </w:p>
        </w:tc>
        <w:tc>
          <w:tcPr>
            <w:tcW w:w="20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of Prior Years'</w:t>
            </w:r>
          </w:p>
        </w:tc>
        <w:tc>
          <w:tcPr>
            <w:tcW w:w="2020" w:type="dxa"/>
            <w:vAlign w:val="bottom"/>
            <w:gridSpan w:val="2"/>
            <w:vMerge w:val="continue"/>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202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Years' Awards that Vested in</w:t>
            </w:r>
          </w:p>
        </w:tc>
        <w:tc>
          <w:tcPr>
            <w:tcW w:w="19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that Failed to Meet Applicable</w:t>
            </w:r>
          </w:p>
        </w:tc>
        <w:tc>
          <w:tcPr>
            <w:tcW w:w="0" w:type="dxa"/>
            <w:vAlign w:val="bottom"/>
          </w:tcPr>
          <w:p>
            <w:pPr>
              <w:spacing w:after="0"/>
              <w:rPr>
                <w:sz w:val="1"/>
                <w:szCs w:val="1"/>
                <w:color w:val="auto"/>
              </w:rPr>
            </w:pPr>
          </w:p>
        </w:tc>
      </w:tr>
      <w:tr>
        <w:trPr>
          <w:trHeight w:val="68"/>
        </w:trPr>
        <w:tc>
          <w:tcPr>
            <w:tcW w:w="10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20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Covered Year Equity Awards</w:t>
            </w:r>
          </w:p>
        </w:tc>
        <w:tc>
          <w:tcPr>
            <w:tcW w:w="20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Unvested at the End</w:t>
            </w:r>
          </w:p>
        </w:tc>
        <w:tc>
          <w:tcPr>
            <w:tcW w:w="2020" w:type="dxa"/>
            <w:vAlign w:val="bottom"/>
            <w:gridSpan w:val="2"/>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20" w:type="dxa"/>
            <w:vAlign w:val="bottom"/>
            <w:gridSpan w:val="2"/>
            <w:vMerge w:val="continue"/>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20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Covered Year</w:t>
            </w:r>
          </w:p>
        </w:tc>
        <w:tc>
          <w:tcPr>
            <w:tcW w:w="1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Conditions During the</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5"/>
                <w:szCs w:val="5"/>
                <w:color w:val="auto"/>
              </w:rPr>
            </w:pPr>
          </w:p>
        </w:tc>
        <w:tc>
          <w:tcPr>
            <w:tcW w:w="204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of Covered Year</w:t>
            </w:r>
          </w:p>
        </w:tc>
        <w:tc>
          <w:tcPr>
            <w:tcW w:w="2020" w:type="dxa"/>
            <w:vAlign w:val="bottom"/>
            <w:gridSpan w:val="2"/>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9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6"/>
                <w:szCs w:val="6"/>
                <w:color w:val="auto"/>
              </w:rPr>
            </w:pPr>
          </w:p>
        </w:tc>
        <w:tc>
          <w:tcPr>
            <w:tcW w:w="1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Covered Year</w:t>
            </w:r>
          </w:p>
        </w:tc>
        <w:tc>
          <w:tcPr>
            <w:tcW w:w="0" w:type="dxa"/>
            <w:vAlign w:val="bottom"/>
          </w:tcPr>
          <w:p>
            <w:pPr>
              <w:spacing w:after="0"/>
              <w:rPr>
                <w:sz w:val="1"/>
                <w:szCs w:val="1"/>
                <w:color w:val="auto"/>
              </w:rPr>
            </w:pPr>
          </w:p>
        </w:tc>
      </w:tr>
      <w:tr>
        <w:trPr>
          <w:trHeight w:val="79"/>
        </w:trPr>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85"/>
        </w:trPr>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(3,875,014)</w:t>
            </w:r>
          </w:p>
        </w:tc>
        <w:tc>
          <w:tcPr>
            <w:tcW w:w="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(195,274)</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(35,046)</w:t>
            </w:r>
          </w:p>
        </w:tc>
        <w:tc>
          <w:tcPr>
            <w:tcW w:w="80" w:type="dxa"/>
            <w:vAlign w:val="bottom"/>
          </w:tcPr>
          <w:p>
            <w:pPr>
              <w:spacing w:after="0"/>
              <w:rPr>
                <w:sz w:val="16"/>
                <w:szCs w:val="16"/>
                <w:color w:val="auto"/>
              </w:rPr>
            </w:pPr>
          </w:p>
        </w:tc>
        <w:tc>
          <w:tcPr>
            <w:tcW w:w="1960" w:type="dxa"/>
            <w:vAlign w:val="bottom"/>
          </w:tcPr>
          <w:p>
            <w:pPr>
              <w:ind w:left="180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u w:val="single" w:color="auto"/>
          <w:color w:val="auto"/>
        </w:rPr>
        <w:t>Deductions</w:t>
      </w:r>
    </w:p>
    <w:p>
      <w:pPr>
        <w:spacing w:after="0" w:line="209" w:lineRule="auto"/>
        <w:rPr>
          <w:sz w:val="20"/>
          <w:szCs w:val="20"/>
          <w:color w:val="auto"/>
        </w:rPr>
      </w:pPr>
      <w:r>
        <w:rPr>
          <w:rFonts w:ascii="Times New Roman" w:cs="Times New Roman" w:eastAsia="Times New Roman" w:hAnsi="Times New Roman"/>
          <w:sz w:val="14"/>
          <w:szCs w:val="14"/>
          <w:b w:val="1"/>
          <w:bCs w:val="1"/>
          <w:color w:val="auto"/>
        </w:rPr>
        <w:t>from SCT Total</w:t>
      </w: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55"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color w:val="auto"/>
        </w:rPr>
        <w:t>(4,105,334)</w:t>
      </w:r>
    </w:p>
    <w:p>
      <w:pPr>
        <w:spacing w:after="0" w:line="236" w:lineRule="exact"/>
        <w:rPr>
          <w:sz w:val="20"/>
          <w:szCs w:val="20"/>
          <w:color w:val="auto"/>
        </w:rPr>
      </w:pPr>
    </w:p>
    <w:p>
      <w:pPr>
        <w:sectPr>
          <w:pgSz w:w="11900" w:h="16838" w:orient="portrait"/>
          <w:cols w:equalWidth="0" w:num="2">
            <w:col w:w="9060" w:space="580"/>
            <w:col w:w="1600"/>
          </w:cols>
          <w:pgMar w:left="320" w:top="108" w:right="339" w:bottom="1440" w:gutter="0" w:footer="0" w:header="0"/>
          <w:type w:val="continuous"/>
        </w:sectPr>
      </w:pPr>
    </w:p>
    <w:p>
      <w:pPr>
        <w:spacing w:after="0" w:line="246"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following:</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of Covered Year Equity Awards at Covered Year End</w:t>
            </w:r>
          </w:p>
        </w:tc>
        <w:tc>
          <w:tcPr>
            <w:tcW w:w="980" w:type="dxa"/>
            <w:vAlign w:val="bottom"/>
          </w:tcPr>
          <w:p>
            <w:pPr>
              <w:spacing w:after="0"/>
              <w:rPr>
                <w:sz w:val="13"/>
                <w:szCs w:val="13"/>
                <w:color w:val="auto"/>
              </w:rPr>
            </w:pPr>
          </w:p>
        </w:tc>
        <w:tc>
          <w:tcPr>
            <w:tcW w:w="174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0" w:type="dxa"/>
            <w:vAlign w:val="bottom"/>
          </w:tcPr>
          <w:p>
            <w:pPr>
              <w:spacing w:after="0"/>
              <w:rPr>
                <w:sz w:val="1"/>
                <w:szCs w:val="1"/>
                <w:color w:val="auto"/>
              </w:rPr>
            </w:pPr>
          </w:p>
        </w:tc>
      </w:tr>
      <w:tr>
        <w:trPr>
          <w:trHeight w:val="20"/>
        </w:trPr>
        <w:tc>
          <w:tcPr>
            <w:tcW w:w="4120" w:type="dxa"/>
            <w:vAlign w:val="bottom"/>
            <w:gridSpan w:val="2"/>
            <w:vMerge w:val="continue"/>
          </w:tcPr>
          <w:p>
            <w:pPr>
              <w:spacing w:after="0" w:line="20" w:lineRule="exact"/>
              <w:rPr>
                <w:sz w:val="1"/>
                <w:szCs w:val="1"/>
                <w:color w:val="auto"/>
              </w:rPr>
            </w:pPr>
          </w:p>
        </w:tc>
        <w:tc>
          <w:tcPr>
            <w:tcW w:w="4400" w:type="dxa"/>
            <w:vAlign w:val="bottom"/>
            <w:gridSpan w:val="2"/>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4120" w:type="dxa"/>
            <w:vAlign w:val="bottom"/>
            <w:gridSpan w:val="2"/>
            <w:vMerge w:val="continue"/>
          </w:tcPr>
          <w:p>
            <w:pPr>
              <w:spacing w:after="0"/>
              <w:rPr>
                <w:sz w:val="3"/>
                <w:szCs w:val="3"/>
                <w:color w:val="auto"/>
              </w:rPr>
            </w:pPr>
          </w:p>
        </w:tc>
        <w:tc>
          <w:tcPr>
            <w:tcW w:w="4400" w:type="dxa"/>
            <w:vAlign w:val="bottom"/>
            <w:gridSpan w:val="2"/>
            <w:vMerge w:val="continue"/>
          </w:tcPr>
          <w:p>
            <w:pPr>
              <w:spacing w:after="0"/>
              <w:rPr>
                <w:sz w:val="3"/>
                <w:szCs w:val="3"/>
                <w:color w:val="auto"/>
              </w:rPr>
            </w:pPr>
          </w:p>
        </w:tc>
        <w:tc>
          <w:tcPr>
            <w:tcW w:w="2720" w:type="dxa"/>
            <w:vAlign w:val="bottom"/>
            <w:gridSpan w:val="4"/>
            <w:vMerge w:val="restart"/>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rPr>
              <w:t>to SCT Total</w:t>
            </w:r>
          </w:p>
        </w:tc>
        <w:tc>
          <w:tcPr>
            <w:tcW w:w="0" w:type="dxa"/>
            <w:vAlign w:val="bottom"/>
          </w:tcPr>
          <w:p>
            <w:pPr>
              <w:spacing w:after="0" w:line="20" w:lineRule="exact"/>
              <w:rPr>
                <w:sz w:val="1"/>
                <w:szCs w:val="1"/>
                <w:color w:val="auto"/>
              </w:rPr>
            </w:pPr>
          </w:p>
        </w:tc>
      </w:tr>
      <w:tr>
        <w:trPr>
          <w:trHeight w:val="79"/>
        </w:trPr>
        <w:tc>
          <w:tcPr>
            <w:tcW w:w="4120" w:type="dxa"/>
            <w:vAlign w:val="bottom"/>
            <w:gridSpan w:val="2"/>
            <w:vMerge w:val="continue"/>
          </w:tcPr>
          <w:p>
            <w:pPr>
              <w:spacing w:after="0"/>
              <w:rPr>
                <w:sz w:val="6"/>
                <w:szCs w:val="6"/>
                <w:color w:val="auto"/>
              </w:rPr>
            </w:pPr>
          </w:p>
        </w:tc>
        <w:tc>
          <w:tcPr>
            <w:tcW w:w="4140" w:type="dxa"/>
            <w:vAlign w:val="bottom"/>
            <w:vMerge w:val="restart"/>
          </w:tcPr>
          <w:p>
            <w:pPr>
              <w:jc w:val="right"/>
              <w:ind w:right="19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6"/>
                <w:szCs w:val="6"/>
                <w:color w:val="auto"/>
              </w:rPr>
            </w:pPr>
          </w:p>
        </w:tc>
        <w:tc>
          <w:tcPr>
            <w:tcW w:w="2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2"/>
            <w:vMerge w:val="restart"/>
          </w:tcPr>
          <w:p>
            <w:pPr>
              <w:jc w:val="center"/>
              <w:ind w:left="93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580" w:type="dxa"/>
            <w:vAlign w:val="bottom"/>
            <w:tcBorders>
              <w:bottom w:val="single" w:sz="8" w:color="auto"/>
            </w:tcBorders>
            <w:gridSpan w:val="2"/>
            <w:vMerge w:val="continue"/>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4,798,911</w:t>
            </w:r>
          </w:p>
        </w:tc>
        <w:tc>
          <w:tcPr>
            <w:tcW w:w="260" w:type="dxa"/>
            <w:vAlign w:val="bottom"/>
            <w:shd w:val="clear" w:color="auto" w:fill="CCEEFF"/>
          </w:tcPr>
          <w:p>
            <w:pPr>
              <w:spacing w:after="0"/>
              <w:rPr>
                <w:sz w:val="17"/>
                <w:szCs w:val="17"/>
                <w:color w:val="auto"/>
              </w:rPr>
            </w:pPr>
          </w:p>
        </w:tc>
        <w:tc>
          <w:tcPr>
            <w:tcW w:w="2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4,798,911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Average Non-PEO NEO SCT Total to CAP Reconciliation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80" w:type="dxa"/>
            <w:vAlign w:val="bottom"/>
            <w:vMerge w:val="restart"/>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w:t>
            </w: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04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gridSpan w:val="3"/>
            <w:vMerge w:val="restart"/>
          </w:tcPr>
          <w:p>
            <w:pPr>
              <w:jc w:val="center"/>
              <w:ind w:left="593"/>
              <w:spacing w:after="0" w:line="115" w:lineRule="exact"/>
              <w:rPr>
                <w:sz w:val="20"/>
                <w:szCs w:val="20"/>
                <w:color w:val="auto"/>
              </w:rPr>
            </w:pPr>
            <w:r>
              <w:rPr>
                <w:rFonts w:ascii="Times New Roman" w:cs="Times New Roman" w:eastAsia="Times New Roman" w:hAnsi="Times New Roman"/>
                <w:sz w:val="13"/>
                <w:szCs w:val="13"/>
                <w:b w:val="1"/>
                <w:bCs w:val="1"/>
                <w:color w:val="auto"/>
              </w:rPr>
              <w:t>from SCT Total</w:t>
            </w: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540" w:type="dxa"/>
            <w:vAlign w:val="bottom"/>
            <w:gridSpan w:val="4"/>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to SCT Total</w:t>
            </w:r>
          </w:p>
        </w:tc>
        <w:tc>
          <w:tcPr>
            <w:tcW w:w="2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040" w:type="dxa"/>
            <w:vAlign w:val="bottom"/>
            <w:gridSpan w:val="2"/>
            <w:vMerge w:val="continue"/>
          </w:tcPr>
          <w:p>
            <w:pPr>
              <w:spacing w:after="0"/>
              <w:rPr>
                <w:sz w:val="6"/>
                <w:szCs w:val="6"/>
                <w:color w:val="auto"/>
              </w:rPr>
            </w:pPr>
          </w:p>
        </w:tc>
        <w:tc>
          <w:tcPr>
            <w:tcW w:w="16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540" w:type="dxa"/>
            <w:vAlign w:val="bottom"/>
            <w:gridSpan w:val="4"/>
            <w:vMerge w:val="continue"/>
          </w:tcPr>
          <w:p>
            <w:pPr>
              <w:spacing w:after="0"/>
              <w:rPr>
                <w:sz w:val="6"/>
                <w:szCs w:val="6"/>
                <w:color w:val="auto"/>
              </w:rPr>
            </w:pPr>
          </w:p>
        </w:tc>
        <w:tc>
          <w:tcPr>
            <w:tcW w:w="2460" w:type="dxa"/>
            <w:vAlign w:val="bottom"/>
            <w:vMerge w:val="restart"/>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(iii)</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3"/>
          </w:tcPr>
          <w:p>
            <w:pPr>
              <w:jc w:val="center"/>
              <w:ind w:right="102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(iv)</w:t>
            </w:r>
          </w:p>
        </w:tc>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2,171,986</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(983,104)</w:t>
            </w:r>
          </w:p>
        </w:tc>
        <w:tc>
          <w:tcPr>
            <w:tcW w:w="8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1,102,796</w:t>
            </w:r>
          </w:p>
        </w:tc>
        <w:tc>
          <w:tcPr>
            <w:tcW w:w="8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2,291,678</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 End of</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Change in the</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74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Actuarial Present Value</w:t>
            </w: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of Prior Years'</w:t>
            </w:r>
          </w:p>
        </w:tc>
        <w:tc>
          <w:tcPr>
            <w:tcW w:w="1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of</w:t>
            </w:r>
          </w:p>
        </w:tc>
        <w:tc>
          <w:tcPr>
            <w:tcW w:w="17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 of Prior</w:t>
            </w:r>
          </w:p>
        </w:tc>
        <w:tc>
          <w:tcPr>
            <w:tcW w:w="1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720" w:type="dxa"/>
            <w:vAlign w:val="bottom"/>
            <w:gridSpan w:val="2"/>
            <w:vMerge w:val="continue"/>
          </w:tcPr>
          <w:p>
            <w:pPr>
              <w:spacing w:after="0"/>
              <w:rPr>
                <w:sz w:val="6"/>
                <w:szCs w:val="6"/>
                <w:color w:val="auto"/>
              </w:rPr>
            </w:pPr>
          </w:p>
        </w:tc>
        <w:tc>
          <w:tcPr>
            <w:tcW w:w="17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the Accumulated</w:t>
            </w:r>
          </w:p>
        </w:tc>
        <w:tc>
          <w:tcPr>
            <w:tcW w:w="48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62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72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Awards that Failed to</w:t>
            </w:r>
          </w:p>
        </w:tc>
        <w:tc>
          <w:tcPr>
            <w:tcW w:w="1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Covered Year Equity</w:t>
            </w:r>
          </w:p>
        </w:tc>
        <w:tc>
          <w:tcPr>
            <w:tcW w:w="170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Years' Awards Unvested</w:t>
            </w:r>
          </w:p>
        </w:tc>
        <w:tc>
          <w:tcPr>
            <w:tcW w:w="17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Prior Years' Awards that</w:t>
            </w:r>
          </w:p>
        </w:tc>
        <w:tc>
          <w:tcPr>
            <w:tcW w:w="1720" w:type="dxa"/>
            <w:vAlign w:val="bottom"/>
            <w:gridSpan w:val="2"/>
            <w:vMerge w:val="continue"/>
          </w:tcPr>
          <w:p>
            <w:pPr>
              <w:spacing w:after="0"/>
              <w:rPr>
                <w:sz w:val="5"/>
                <w:szCs w:val="5"/>
                <w:color w:val="auto"/>
              </w:rPr>
            </w:pPr>
          </w:p>
        </w:tc>
        <w:tc>
          <w:tcPr>
            <w:tcW w:w="17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Benefit Under all Defined</w:t>
            </w:r>
          </w:p>
        </w:tc>
        <w:tc>
          <w:tcPr>
            <w:tcW w:w="48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820" w:type="dxa"/>
            <w:vAlign w:val="bottom"/>
            <w:gridSpan w:val="2"/>
            <w:vMerge w:val="restart"/>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720" w:type="dxa"/>
            <w:vAlign w:val="bottom"/>
            <w:gridSpan w:val="2"/>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720" w:type="dxa"/>
            <w:vAlign w:val="bottom"/>
            <w:gridSpan w:val="2"/>
            <w:vMerge w:val="restart"/>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Meet Applicable Vesting</w:t>
            </w:r>
          </w:p>
        </w:tc>
        <w:tc>
          <w:tcPr>
            <w:tcW w:w="1740" w:type="dxa"/>
            <w:vAlign w:val="bottom"/>
            <w:gridSpan w:val="2"/>
            <w:vMerge w:val="continue"/>
          </w:tcPr>
          <w:p>
            <w:pPr>
              <w:spacing w:after="0"/>
              <w:rPr>
                <w:sz w:val="4"/>
                <w:szCs w:val="4"/>
                <w:color w:val="auto"/>
              </w:rPr>
            </w:pPr>
          </w:p>
        </w:tc>
        <w:tc>
          <w:tcPr>
            <w:tcW w:w="1800" w:type="dxa"/>
            <w:vAlign w:val="bottom"/>
            <w:gridSpan w:val="4"/>
            <w:vMerge w:val="restart"/>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from SCT Total</w:t>
            </w:r>
          </w:p>
        </w:tc>
        <w:tc>
          <w:tcPr>
            <w:tcW w:w="0" w:type="dxa"/>
            <w:vAlign w:val="bottom"/>
          </w:tcPr>
          <w:p>
            <w:pPr>
              <w:spacing w:after="0"/>
              <w:rPr>
                <w:sz w:val="1"/>
                <w:szCs w:val="1"/>
                <w:color w:val="auto"/>
              </w:rPr>
            </w:pPr>
          </w:p>
        </w:tc>
      </w:tr>
      <w:tr>
        <w:trPr>
          <w:trHeight w:val="70"/>
        </w:trPr>
        <w:tc>
          <w:tcPr>
            <w:tcW w:w="820" w:type="dxa"/>
            <w:vAlign w:val="bottom"/>
            <w:gridSpan w:val="2"/>
            <w:vMerge w:val="continue"/>
          </w:tcPr>
          <w:p>
            <w:pPr>
              <w:spacing w:after="0"/>
              <w:rPr>
                <w:sz w:val="6"/>
                <w:szCs w:val="6"/>
                <w:color w:val="auto"/>
              </w:rPr>
            </w:pPr>
          </w:p>
        </w:tc>
        <w:tc>
          <w:tcPr>
            <w:tcW w:w="17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7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 the End of Covered</w:t>
            </w:r>
          </w:p>
        </w:tc>
        <w:tc>
          <w:tcPr>
            <w:tcW w:w="17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 in Covered Year</w:t>
            </w:r>
          </w:p>
        </w:tc>
        <w:tc>
          <w:tcPr>
            <w:tcW w:w="1720" w:type="dxa"/>
            <w:vAlign w:val="bottom"/>
            <w:gridSpan w:val="2"/>
            <w:vMerge w:val="continue"/>
          </w:tcPr>
          <w:p>
            <w:pPr>
              <w:spacing w:after="0"/>
              <w:rPr>
                <w:sz w:val="6"/>
                <w:szCs w:val="6"/>
                <w:color w:val="auto"/>
              </w:rPr>
            </w:pPr>
          </w:p>
        </w:tc>
        <w:tc>
          <w:tcPr>
            <w:tcW w:w="17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Benefit and Actuarial</w:t>
            </w:r>
          </w:p>
        </w:tc>
        <w:tc>
          <w:tcPr>
            <w:tcW w:w="18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7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Conditions During the</w:t>
            </w:r>
          </w:p>
        </w:tc>
        <w:tc>
          <w:tcPr>
            <w:tcW w:w="1740" w:type="dxa"/>
            <w:vAlign w:val="bottom"/>
            <w:gridSpan w:val="2"/>
            <w:vMerge w:val="continue"/>
          </w:tcPr>
          <w:p>
            <w:pPr>
              <w:spacing w:after="0"/>
              <w:rPr>
                <w:sz w:val="6"/>
                <w:szCs w:val="6"/>
                <w:color w:val="auto"/>
              </w:rPr>
            </w:pPr>
          </w:p>
        </w:tc>
        <w:tc>
          <w:tcPr>
            <w:tcW w:w="1180" w:type="dxa"/>
            <w:vAlign w:val="bottom"/>
            <w:gridSpan w:val="2"/>
            <w:vMerge w:val="restart"/>
          </w:tcPr>
          <w:p>
            <w:pPr>
              <w:jc w:val="center"/>
              <w:ind w:left="41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6"/>
                <w:szCs w:val="6"/>
                <w:color w:val="auto"/>
              </w:rPr>
            </w:pPr>
          </w:p>
        </w:tc>
        <w:tc>
          <w:tcPr>
            <w:tcW w:w="17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Reported in the</w:t>
            </w:r>
          </w:p>
        </w:tc>
        <w:tc>
          <w:tcPr>
            <w:tcW w:w="1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Covered Year</w:t>
            </w:r>
          </w:p>
        </w:tc>
        <w:tc>
          <w:tcPr>
            <w:tcW w:w="1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740" w:type="dxa"/>
            <w:vAlign w:val="bottom"/>
            <w:gridSpan w:val="2"/>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SCT in Each Year</w:t>
            </w: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(944,946)</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(30,524)</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(983,104)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of Covered Year Equity Awards at</w:t>
            </w:r>
          </w:p>
        </w:tc>
        <w:tc>
          <w:tcPr>
            <w:tcW w:w="1380" w:type="dxa"/>
            <w:vAlign w:val="bottom"/>
          </w:tcPr>
          <w:p>
            <w:pPr>
              <w:spacing w:after="0"/>
              <w:rPr>
                <w:sz w:val="13"/>
                <w:szCs w:val="13"/>
                <w:color w:val="auto"/>
              </w:rPr>
            </w:pPr>
          </w:p>
        </w:tc>
        <w:tc>
          <w:tcPr>
            <w:tcW w:w="214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0" w:type="dxa"/>
            <w:vAlign w:val="bottom"/>
          </w:tcPr>
          <w:p>
            <w:pPr>
              <w:spacing w:after="0"/>
              <w:rPr>
                <w:sz w:val="1"/>
                <w:szCs w:val="1"/>
                <w:color w:val="auto"/>
              </w:rPr>
            </w:pPr>
          </w:p>
        </w:tc>
      </w:tr>
      <w:tr>
        <w:trPr>
          <w:trHeight w:val="20"/>
        </w:trPr>
        <w:tc>
          <w:tcPr>
            <w:tcW w:w="4260" w:type="dxa"/>
            <w:vAlign w:val="bottom"/>
            <w:gridSpan w:val="2"/>
            <w:vMerge w:val="continue"/>
          </w:tcPr>
          <w:p>
            <w:pPr>
              <w:spacing w:after="0" w:line="20" w:lineRule="exact"/>
              <w:rPr>
                <w:sz w:val="1"/>
                <w:szCs w:val="1"/>
                <w:color w:val="auto"/>
              </w:rPr>
            </w:pPr>
          </w:p>
        </w:tc>
        <w:tc>
          <w:tcPr>
            <w:tcW w:w="34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Covered Year End</w:t>
            </w:r>
          </w:p>
        </w:tc>
        <w:tc>
          <w:tcPr>
            <w:tcW w:w="1380" w:type="dxa"/>
            <w:vAlign w:val="bottom"/>
            <w:vMerge w:val="restart"/>
          </w:tcPr>
          <w:p>
            <w:pPr>
              <w:ind w:left="1300"/>
              <w:spacing w:after="0"/>
              <w:rPr>
                <w:sz w:val="20"/>
                <w:szCs w:val="20"/>
                <w:color w:val="auto"/>
              </w:rPr>
            </w:pPr>
            <w:r>
              <w:rPr>
                <w:rFonts w:ascii="Times New Roman" w:cs="Times New Roman" w:eastAsia="Times New Roman" w:hAnsi="Times New Roman"/>
                <w:sz w:val="10"/>
                <w:szCs w:val="10"/>
                <w:b w:val="1"/>
                <w:bCs w:val="1"/>
                <w:color w:val="auto"/>
                <w:w w:val="71"/>
              </w:rPr>
              <w:t>to</w:t>
            </w:r>
          </w:p>
        </w:tc>
        <w:tc>
          <w:tcPr>
            <w:tcW w:w="6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60" w:type="dxa"/>
            <w:vAlign w:val="bottom"/>
            <w:gridSpan w:val="2"/>
            <w:vMerge w:val="continue"/>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21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SCT Total</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1,102,796</w:t>
            </w:r>
          </w:p>
        </w:tc>
        <w:tc>
          <w:tcPr>
            <w:tcW w:w="100" w:type="dxa"/>
            <w:vAlign w:val="bottom"/>
            <w:shd w:val="clear" w:color="auto" w:fill="CCEEFF"/>
          </w:tcPr>
          <w:p>
            <w:pPr>
              <w:spacing w:after="0"/>
              <w:rPr>
                <w:sz w:val="17"/>
                <w:szCs w:val="17"/>
                <w:color w:val="auto"/>
              </w:rPr>
            </w:pPr>
          </w:p>
        </w:tc>
        <w:tc>
          <w:tcPr>
            <w:tcW w:w="3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1,102,796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None of the NEOs are accruing benefits under a pension plan for services rendered in any of the covered years, and therefore no additions are required for pension plan service cost in determining CAP.</w:t>
      </w:r>
    </w:p>
    <w:p>
      <w:pPr>
        <w:spacing w:after="0" w:line="43" w:lineRule="exact"/>
        <w:rPr>
          <w:sz w:val="20"/>
          <w:szCs w:val="20"/>
          <w:color w:val="auto"/>
        </w:rPr>
      </w:pPr>
    </w:p>
    <w:p>
      <w:pPr>
        <w:ind w:left="340" w:right="20" w:hanging="332"/>
        <w:spacing w:after="0" w:line="280" w:lineRule="auto"/>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Assumptions used in the valuation of equity awards for purposes of calculating compensation actually paid were the same as at the grant date except for adjusting for expected and actual performance of PSUs at each measurement date.</w:t>
      </w:r>
    </w:p>
    <w:p>
      <w:pPr>
        <w:spacing w:after="0" w:line="70"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non-PEO NEOs represent the following individuals for each of the years shown:</w:t>
      </w:r>
    </w:p>
    <w:p>
      <w:pPr>
        <w:spacing w:after="0" w:line="113" w:lineRule="exact"/>
        <w:rPr>
          <w:rFonts w:ascii="Times New Roman" w:cs="Times New Roman" w:eastAsia="Times New Roman" w:hAnsi="Times New Roman"/>
          <w:sz w:val="16"/>
          <w:szCs w:val="16"/>
          <w:color w:val="auto"/>
        </w:rPr>
      </w:pPr>
    </w:p>
    <w:p>
      <w:pPr>
        <w:ind w:left="1620" w:hanging="640"/>
        <w:spacing w:after="0" w:line="280" w:lineRule="auto"/>
        <w:tabs>
          <w:tab w:leader="none" w:pos="160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2023: Scott Huckins, CFO, Rachel Bishop, President, Hefty Tableware, Judith Buckner, President, Reynolds Cooking &amp; Baking, Lisa Smith, President, Hefty Waste and Storage and Michael Graham, former CFO;</w:t>
      </w:r>
    </w:p>
    <w:p>
      <w:pPr>
        <w:spacing w:after="0" w:line="70" w:lineRule="exact"/>
        <w:rPr>
          <w:rFonts w:ascii="Times New Roman" w:cs="Times New Roman" w:eastAsia="Times New Roman" w:hAnsi="Times New Roman"/>
          <w:sz w:val="16"/>
          <w:szCs w:val="16"/>
          <w:color w:val="auto"/>
        </w:rPr>
      </w:pPr>
    </w:p>
    <w:p>
      <w:pPr>
        <w:ind w:left="1620" w:right="20" w:hanging="640"/>
        <w:spacing w:after="0" w:line="280" w:lineRule="auto"/>
        <w:tabs>
          <w:tab w:leader="none" w:pos="160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2022: Michael Graham, CFO, Rachel Bishop, President, Hefty Tableware, Judith Buckner, President, Reynolds Cooking &amp; Baking, Lisa Smith, President, Hefty Waste and Storage and Craig Cappel, former President, Reynolds Cooking &amp; Baking;</w:t>
      </w:r>
    </w:p>
    <w:p>
      <w:pPr>
        <w:spacing w:after="0" w:line="70" w:lineRule="exact"/>
        <w:rPr>
          <w:rFonts w:ascii="Times New Roman" w:cs="Times New Roman" w:eastAsia="Times New Roman" w:hAnsi="Times New Roman"/>
          <w:sz w:val="16"/>
          <w:szCs w:val="16"/>
          <w:color w:val="auto"/>
        </w:rPr>
      </w:pPr>
    </w:p>
    <w:p>
      <w:pPr>
        <w:ind w:left="1620" w:hanging="640"/>
        <w:spacing w:after="0" w:line="280" w:lineRule="auto"/>
        <w:tabs>
          <w:tab w:leader="none" w:pos="160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2021: Michael Graham, CFO, Craig Cappel, former President, Reynolds Cooking &amp; Baking, Stephan Pace, President, Sales and Chief Customer Officer and Steve Estes, Chief Administrative Officer; and</w:t>
      </w:r>
    </w:p>
    <w:p>
      <w:pPr>
        <w:spacing w:after="0" w:line="56" w:lineRule="exact"/>
        <w:rPr>
          <w:rFonts w:ascii="Times New Roman" w:cs="Times New Roman" w:eastAsia="Times New Roman" w:hAnsi="Times New Roman"/>
          <w:sz w:val="16"/>
          <w:szCs w:val="16"/>
          <w:color w:val="auto"/>
        </w:rPr>
      </w:pPr>
    </w:p>
    <w:p>
      <w:pPr>
        <w:ind w:left="1620" w:hanging="640"/>
        <w:spacing w:after="0" w:line="298" w:lineRule="auto"/>
        <w:tabs>
          <w:tab w:leader="none" w:pos="160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2020: Michael Graham, CFO, Rachel Bishop, President, Hefty Tableware, Craig Cappel, former President, Reynolds Cooking &amp; Baking and Stephan Pace, President, Sales and Chief Customer Officer.</w:t>
      </w:r>
    </w:p>
    <w:p>
      <w:pPr>
        <w:spacing w:after="0" w:line="42" w:lineRule="exact"/>
        <w:rPr>
          <w:rFonts w:ascii="Times New Roman" w:cs="Times New Roman" w:eastAsia="Times New Roman" w:hAnsi="Times New Roman"/>
          <w:sz w:val="16"/>
          <w:szCs w:val="16"/>
          <w:color w:val="auto"/>
        </w:rPr>
      </w:pPr>
    </w:p>
    <w:p>
      <w:pPr>
        <w:ind w:left="340" w:hanging="332"/>
        <w:spacing w:after="0" w:line="298" w:lineRule="auto"/>
        <w:tabs>
          <w:tab w:leader="none" w:pos="40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as calculated based on a fixed investment of $100 measured from the market close on January 31, 2020 (the first trading day of our stock) through and including the end of the fiscal year for each year reported in the table.</w:t>
      </w:r>
    </w:p>
    <w:p>
      <w:pPr>
        <w:spacing w:after="0" w:line="42"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41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complete list of our peer group used for the TSR calculation is the same group of companies used by us for purposes of the performance graph in our Annual Report on Form 10-K and comprises: Church &amp; Dwight Co., Inc., The Clorox Company, Colgate-Palmolive Company, Energizer Holdings, Inc., Kimberly-Clark Corporation, Newell Brands Inc., The Procter &amp; Gamble Company, The Scotts Miracle-Gro Company, Spectrum Brands Holdings, Inc. and WD-40 Company.</w:t>
      </w:r>
    </w:p>
    <w:p>
      <w:pPr>
        <w:spacing w:after="0" w:line="62"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41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company-selected measure, which is the measure we believe represents the most important financial performance measure not otherwise presented in the table above that we use to link Compensation Actually Paid to our NEOs for fiscal 2023 to our company’s performance is Adjusted EBIT. Adjusted EBIT is a non-GAAP financial measure. Refer to Appendix A to this Proxy Statement for a reconciliation of this non-GAAP financial measure to the corresponding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most important financial performance measures used by us to link executive compensation actually paid to the Company’s NEOs, for 2023, to our performance are as follows: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40" w:hanging="114"/>
        <w:spacing w:after="0"/>
        <w:tabs>
          <w:tab w:leader="none" w:pos="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w:t>
      </w:r>
    </w:p>
    <w:p>
      <w:pPr>
        <w:spacing w:after="0" w:line="22" w:lineRule="exact"/>
        <w:rPr>
          <w:rFonts w:ascii="Times New Roman" w:cs="Times New Roman" w:eastAsia="Times New Roman" w:hAnsi="Times New Roman"/>
          <w:sz w:val="18"/>
          <w:szCs w:val="18"/>
          <w:color w:val="auto"/>
        </w:rPr>
      </w:pPr>
    </w:p>
    <w:p>
      <w:pPr>
        <w:ind w:left="140" w:hanging="114"/>
        <w:spacing w:after="0"/>
        <w:tabs>
          <w:tab w:leader="none" w:pos="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22" w:lineRule="exact"/>
        <w:rPr>
          <w:rFonts w:ascii="Times New Roman" w:cs="Times New Roman" w:eastAsia="Times New Roman" w:hAnsi="Times New Roman"/>
          <w:sz w:val="18"/>
          <w:szCs w:val="18"/>
          <w:color w:val="auto"/>
        </w:rPr>
      </w:pPr>
    </w:p>
    <w:p>
      <w:pPr>
        <w:ind w:left="140" w:hanging="114"/>
        <w:spacing w:after="0"/>
        <w:tabs>
          <w:tab w:leader="none" w:pos="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w:t>
      </w:r>
    </w:p>
    <w:p>
      <w:pPr>
        <w:spacing w:after="0" w:line="22" w:lineRule="exact"/>
        <w:rPr>
          <w:rFonts w:ascii="Times New Roman" w:cs="Times New Roman" w:eastAsia="Times New Roman" w:hAnsi="Times New Roman"/>
          <w:sz w:val="18"/>
          <w:szCs w:val="18"/>
          <w:color w:val="auto"/>
        </w:rPr>
      </w:pPr>
    </w:p>
    <w:p>
      <w:pPr>
        <w:ind w:left="140" w:hanging="114"/>
        <w:spacing w:after="0" w:line="222" w:lineRule="auto"/>
        <w:tabs>
          <w:tab w:leader="none" w:pos="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p>
      <w:pPr>
        <w:ind w:left="140" w:hanging="114"/>
        <w:spacing w:after="0"/>
        <w:tabs>
          <w:tab w:leader="none" w:pos="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4" w:lineRule="exact"/>
        <w:rPr>
          <w:sz w:val="20"/>
          <w:szCs w:val="20"/>
          <w:color w:val="auto"/>
        </w:rPr>
      </w:pPr>
    </w:p>
    <w:p>
      <w:pPr>
        <w:ind w:left="340" w:hanging="332"/>
        <w:spacing w:after="0" w:line="280" w:lineRule="auto"/>
        <w:tabs>
          <w:tab w:leader="none" w:pos="46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Adjusted EBITDA as net income calculated in accordance with GAAP, plus the sum of income tax expense, net interest expense, depreciation and amortization and IPO and separation-related costs, as well as other non-recurring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charts below present a graphical comparison of Compensation Actually Paid to our PEO and the average Compensation Actually Paid to our Non-PEO NEOs set forth in the Pay Versus Performance table above, as compared against the following performance measures: our (1) TSR and peer group TSR, (2) net income, and (3) Adjusted EBIT. Refer to Appendix A to this Proxy Statement for a reconciliation of Adjusted EBIT to the corresponding GAAP measure for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Actually Paid vs. Cumulative Company TSR and Cumulative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3571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right="180" w:hanging="332"/>
        <w:spacing w:after="0" w:line="280" w:lineRule="auto"/>
        <w:tabs>
          <w:tab w:leader="none" w:pos="40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Regular CAP consists of CAP amounts in each year, other than IPO-Related CAP in 2020. IPO-Related CAP consists of the 2020 amounts awarded pursuant to IPO Success Transition Bonuses and the IPO RSUs granted on February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322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line="280" w:lineRule="auto"/>
        <w:tabs>
          <w:tab w:leader="none" w:pos="40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Regular CAP consists of CAP amounts in each year, other than IPO-Related CAP in 2020. IPO-Related CAP consists of the 2020 amounts awarded pursuant to IPO Success Transition Bonuses and the IPO RSUs granted on February 4,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Actually Paid vs. Adjusted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323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line="280" w:lineRule="auto"/>
        <w:tabs>
          <w:tab w:leader="none" w:pos="40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Regular CAP consists of CAP amounts in each year, other than IPO-Related CAP in 2020. IPO-Related CAP consists of the 2020 amounts awarded pursuant to IPO Success Transition Bonuses and the IPO RSUs granted on February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equity compensation plans as of December 31, 2023.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plans (excluding</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16"/>
                <w:szCs w:val="16"/>
                <w:color w:val="auto"/>
              </w:rPr>
            </w:pPr>
          </w:p>
        </w:tc>
        <w:tc>
          <w:tcPr>
            <w:tcW w:w="186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outstanding options,</w:t>
            </w:r>
          </w:p>
        </w:tc>
        <w:tc>
          <w:tcPr>
            <w:tcW w:w="660" w:type="dxa"/>
            <w:vAlign w:val="bottom"/>
          </w:tcPr>
          <w:p>
            <w:pPr>
              <w:spacing w:after="0"/>
              <w:rPr>
                <w:sz w:val="16"/>
                <w:szCs w:val="16"/>
                <w:color w:val="auto"/>
              </w:rPr>
            </w:pP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60" w:type="dxa"/>
            <w:vAlign w:val="bottom"/>
            <w:gridSpan w:val="2"/>
            <w:vMerge w:val="continue"/>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 (a)</w:t>
            </w:r>
          </w:p>
        </w:tc>
        <w:tc>
          <w:tcPr>
            <w:tcW w:w="66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 (b)</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compensation plans</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vMerge w:val="restart"/>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40" w:type="dxa"/>
            <w:vAlign w:val="bottom"/>
            <w:tcBorders>
              <w:top w:val="single" w:sz="8" w:color="auto"/>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vMerge w:val="restart"/>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16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vMerge w:val="restart"/>
            <w:shd w:val="clear" w:color="auto" w:fill="CCEEFF"/>
          </w:tcPr>
          <w:p>
            <w:pPr>
              <w:ind w:left="140"/>
              <w:spacing w:after="0" w:line="181" w:lineRule="exact"/>
              <w:rPr>
                <w:sz w:val="20"/>
                <w:szCs w:val="20"/>
                <w:color w:val="auto"/>
              </w:rPr>
            </w:pPr>
            <w:r>
              <w:rPr>
                <w:rFonts w:ascii="MS PGothic" w:cs="MS PGothic" w:eastAsia="MS PGothic" w:hAnsi="MS PGothic"/>
                <w:sz w:val="18"/>
                <w:szCs w:val="18"/>
                <w:color w:val="auto"/>
              </w:rPr>
              <w:t>⁽⁴⁾</w:t>
            </w: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160"/>
              <w:spacing w:after="0" w:line="207" w:lineRule="exact"/>
              <w:rPr>
                <w:sz w:val="20"/>
                <w:szCs w:val="20"/>
                <w:color w:val="auto"/>
              </w:rPr>
            </w:pPr>
            <w:r>
              <w:rPr>
                <w:rFonts w:ascii="Times New Roman" w:cs="Times New Roman" w:eastAsia="Times New Roman" w:hAnsi="Times New Roman"/>
                <w:sz w:val="18"/>
                <w:szCs w:val="18"/>
                <w:color w:val="auto"/>
              </w:rPr>
              <w:t>approved by security holders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806,037</w:t>
            </w:r>
          </w:p>
        </w:tc>
        <w:tc>
          <w:tcPr>
            <w:tcW w:w="6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vMerge w:val="continue"/>
            <w:shd w:val="clear" w:color="auto" w:fill="CCEEFF"/>
          </w:tcPr>
          <w:p>
            <w:pPr>
              <w:spacing w:after="0"/>
              <w:rPr>
                <w:sz w:val="21"/>
                <w:szCs w:val="21"/>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9,370,027</w:t>
            </w: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2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806,037</w:t>
            </w:r>
          </w:p>
        </w:tc>
        <w:tc>
          <w:tcPr>
            <w:tcW w:w="660" w:type="dxa"/>
            <w:vAlign w:val="bottom"/>
            <w:tcBorders>
              <w:bottom w:val="single" w:sz="8" w:color="CCEEFF"/>
            </w:tcBorders>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CCEEFF"/>
            </w:tcBorders>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9,370,027</w:t>
            </w:r>
          </w:p>
        </w:tc>
        <w:tc>
          <w:tcPr>
            <w:tcW w:w="480" w:type="dxa"/>
            <w:vAlign w:val="bottom"/>
            <w:tcBorders>
              <w:bottom w:val="single" w:sz="8" w:color="CCEEFF"/>
            </w:tcBorders>
            <w:shd w:val="clear" w:color="auto" w:fill="CCEEFF"/>
          </w:tcPr>
          <w:p>
            <w:pPr>
              <w:ind w:left="140"/>
              <w:spacing w:after="0" w:line="181" w:lineRule="exact"/>
              <w:rPr>
                <w:sz w:val="20"/>
                <w:szCs w:val="20"/>
                <w:color w:val="auto"/>
              </w:rPr>
            </w:pPr>
            <w:r>
              <w:rPr>
                <w:rFonts w:ascii="MS PGothic" w:cs="MS PGothic" w:eastAsia="MS PGothic" w:hAnsi="MS PGothic"/>
                <w:sz w:val="18"/>
                <w:szCs w:val="18"/>
                <w:color w:val="auto"/>
              </w:rPr>
              <w:t>⁽⁴⁾</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Equity Incentive Plan.</w:t>
      </w:r>
    </w:p>
    <w:p>
      <w:pPr>
        <w:spacing w:after="0" w:line="248"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RSUs and PSUs. Includes 344,852 PSUs granted in 2023, which was the number of PSUs earned based on the level of achievement of the performance conditions determined to be 175% of target.</w:t>
      </w:r>
    </w:p>
    <w:p>
      <w:pPr>
        <w:spacing w:after="0" w:line="205"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and PSUs will be settled in shares of our common stock on a one-for-one basis at no additional cost and do not have an exercise price. As a result, there is no weighted average exercise price to be included in this column.</w:t>
      </w:r>
    </w:p>
    <w:p>
      <w:pPr>
        <w:spacing w:after="0" w:line="20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available for awards under the Equity Incentive Plan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36"/>
          <w:szCs w:val="36"/>
          <w:b w:val="1"/>
          <w:bCs w:val="1"/>
          <w:color w:val="1F497D"/>
        </w:rPr>
        <w:t>SECURITY OWNERSHIP OF CERTAIN BENEFICIAL OWNERS AND MANAGEMENT</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of the Company beneficially owned as of March 1, 2024, by: (i) each director; (ii) each of the NEOs; (iii) all current executive officers and directors as a group; and (iv) persons known to us to be the beneficial owner of more than 5% of our outstanding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the Company that the persons and entities named in the table below have sole voting and investment power with respect to all shares of our common stock shown as beneficially owned by them.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lists applicable percentage ownership based on 210,131,161 shares of our common stock outstanding as of March 1, 2024. The number of shares beneficially owned includes shares of our common stock that each person has the right to acquire within 60 days of March 1, 2024, including upon the vesting and settlement of RSUs. These shares are deemed to be outstanding for the purpose of computing the percentage of outstanding shares of our common stock owned by such person but are not deemed to be outstanding for the purpose of computing the percentage of outstanding shares of our common stock owned by any other person.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rPr>
              <w:t>Common</w:t>
            </w:r>
          </w:p>
        </w:tc>
        <w:tc>
          <w:tcPr>
            <w:tcW w:w="18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84"/>
        </w:trPr>
        <w:tc>
          <w:tcPr>
            <w:tcW w:w="7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8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Stock</w:t>
            </w: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00" w:type="dxa"/>
            <w:vAlign w:val="bottom"/>
            <w:gridSpan w:val="2"/>
            <w:vMerge w:val="continue"/>
          </w:tcPr>
          <w:p>
            <w:pPr>
              <w:spacing w:after="0"/>
              <w:rPr>
                <w:sz w:val="19"/>
                <w:szCs w:val="19"/>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Lance Mitchell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Cole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Helen Golding</w:t>
            </w: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Marla Gottschalk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Allen Hugli</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Montenegro McGrath</w:t>
            </w:r>
          </w:p>
        </w:tc>
        <w:tc>
          <w:tcPr>
            <w:tcW w:w="1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Richard Noll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Ann Ziegler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Huckins</w:t>
            </w:r>
          </w:p>
        </w:tc>
        <w:tc>
          <w:tcPr>
            <w:tcW w:w="1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Rachel Bishop</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Judith Buckner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Smith</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Graham</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48,796</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w:t>
            </w: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(22 individuals)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422,299</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PFL</w:t>
            </w:r>
            <w:r>
              <w:rPr>
                <w:rFonts w:ascii="MS PGothic" w:cs="MS PGothic" w:eastAsia="MS PGothic" w:hAnsi="MS PGothic"/>
                <w:sz w:val="18"/>
                <w:szCs w:val="18"/>
                <w:color w:val="auto"/>
              </w:rPr>
              <w:t>⁽⁴⁾</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155,455,000</w:t>
            </w:r>
          </w:p>
        </w:tc>
        <w:tc>
          <w:tcPr>
            <w:tcW w:w="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74.0 %</w:t>
            </w:r>
          </w:p>
        </w:tc>
        <w:tc>
          <w:tcPr>
            <w:tcW w:w="0" w:type="dxa"/>
            <w:vAlign w:val="bottom"/>
          </w:tcPr>
          <w:p>
            <w:pPr>
              <w:spacing w:after="0"/>
              <w:rPr>
                <w:sz w:val="1"/>
                <w:szCs w:val="1"/>
                <w:color w:val="auto"/>
              </w:rPr>
            </w:pPr>
          </w:p>
        </w:tc>
      </w:tr>
      <w:tr>
        <w:trPr>
          <w:trHeight w:val="303"/>
        </w:trPr>
        <w:tc>
          <w:tcPr>
            <w:tcW w:w="75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Allspring Global Investments Holdings, LLC</w:t>
            </w:r>
            <w:r>
              <w:rPr>
                <w:rFonts w:ascii="MS PGothic" w:cs="MS PGothic" w:eastAsia="MS PGothic" w:hAnsi="MS PGothic"/>
                <w:sz w:val="18"/>
                <w:szCs w:val="18"/>
                <w:color w:val="auto"/>
              </w:rPr>
              <w:t>⁽⁵⁾</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12,891,557</w:t>
            </w:r>
          </w:p>
        </w:tc>
        <w:tc>
          <w:tcPr>
            <w:tcW w:w="320" w:type="dxa"/>
            <w:vAlign w:val="bottom"/>
          </w:tcPr>
          <w:p>
            <w:pPr>
              <w:spacing w:after="0"/>
              <w:rPr>
                <w:sz w:val="24"/>
                <w:szCs w:val="24"/>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13,025 shares held directly and 5,273 RSUs that are scheduled to vest immediately prior to the Annual Meeting.</w:t>
      </w:r>
    </w:p>
    <w:p>
      <w:pPr>
        <w:spacing w:after="0" w:line="248"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19,537 shares held by Mr. Noll directly, 15,000 shares held in a revocable living trust in which Mr. Noll is the trustee and 7,636 RSUs that are scheduled to vest immediately prior to the Annual Meeting.</w:t>
      </w:r>
    </w:p>
    <w:p>
      <w:pPr>
        <w:spacing w:after="0" w:line="177"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10,052 shares held directly. Excludes 5,273 RSUs that are scheduled to vest immediately prior to the Annual Meeting, but for which Ms. Ziegler has deferred settlement until two years following the cessation of her service as a director.</w:t>
      </w:r>
    </w:p>
    <w:p>
      <w:pPr>
        <w:spacing w:after="0" w:line="17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PFL is wholly-owned by Packaging Holdings Limited (“PHL”), which is wholly-owned by Mr. Graeme Hart. The principal business address of PFL, PHL, and Mr. Hart is c/o Rank Group Limited, Floor 9, 148 Quay Street, Auckland, 1010 New Zealand.</w:t>
      </w:r>
    </w:p>
    <w:p>
      <w:pPr>
        <w:spacing w:after="0" w:line="205" w:lineRule="exact"/>
        <w:rPr>
          <w:rFonts w:ascii="Times New Roman" w:cs="Times New Roman" w:eastAsia="Times New Roman" w:hAnsi="Times New Roman"/>
          <w:sz w:val="16"/>
          <w:szCs w:val="16"/>
          <w:color w:val="auto"/>
        </w:rPr>
      </w:pPr>
    </w:p>
    <w:p>
      <w:pPr>
        <w:jc w:val="both"/>
        <w:ind w:left="340" w:hanging="332"/>
        <w:spacing w:after="0" w:line="260" w:lineRule="auto"/>
        <w:tabs>
          <w:tab w:leader="none" w:pos="3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January 12, 2024 by (a) Allspring Global Investments Holdings, LLC that it has sole voting power with respect to 12,215,232 shares and sole dispositive power with respect to 12,891,557 shares; (b) Allspring Global Investments, LLC that it has sole voting power with respect to 1,630,758 shares and sole dispositive power with respect to 12,810,978 shares; and (c) Allspring Funds Management, LLC that it has sole voting power with respect to 10,584,474 shares and sole dispositive power with respect to 80,579 shares. Further, based on Forms 13F filled on January 25, 2024 by the reporting persons, it appears that, in the aggregate, their holdings total 12,891,557 shares of our common stock. The principal business address of the reporting persons is 1415 Vantage Park Dr., 3rd Floor, Charlotte, NC 28203.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360"/>
        <w:spacing w:after="0" w:line="287" w:lineRule="auto"/>
        <w:rPr>
          <w:sz w:val="20"/>
          <w:szCs w:val="20"/>
          <w:color w:val="auto"/>
        </w:rPr>
      </w:pPr>
      <w:r>
        <w:rPr>
          <w:rFonts w:ascii="Times New Roman" w:cs="Times New Roman" w:eastAsia="Times New Roman" w:hAnsi="Times New Roman"/>
          <w:sz w:val="36"/>
          <w:szCs w:val="36"/>
          <w:b w:val="1"/>
          <w:bCs w:val="1"/>
          <w:color w:val="1F497D"/>
        </w:rPr>
        <w:t>CERTAIN RELATIONSHIPS AND RELATED PERSON TRANSACTIONS</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our separation from PEI and our initial public offering (“IPO”), we operated as part of PEI Group’s broader corporate organization rather than as a stand-alone public company. PEI Group and Rank have performed or supported various corporate services for us, and we have engaged in various transactions with PEI Group. In connection with our IPO, we entered into new agreements with the PEI Group and Rank. We amended these agreements in 2023. The prices and other terms of these new agreements were negotiated on what we believe to be an arm’s-length basis. The arrangements under which we have transacted with PEI Group and Rank during the year ending December 31, 2023 are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Warehousing and Freight Agreements with Pactiv</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supply agreements to continue selling products to and buying products from Pactiv. These agreements will expire over a variety of periods through December 31, 2027. Certain of the products we manufacture and sell to Pactiv are made using equipment in our plants that is owned by Pactiv, and certain of the products that Pactiv manufactures and sells to us are made using equipment in Pactiv’s plants that is owned by us. Under the supply agreements, we and Pactiv agree to maintain the other party’s equipment that is in such party’s plants, provided that any required capital expenditures related to such equipment are the equipment owner’s responsibility. We have (i) sold products to Pactiv, primarily aluminum foil and aluminum foil containers, and (ii) purchased products from Pactiv, primarily tableware. For 2023, revenues from products sold to Pactiv were $83 million and we paid $381 million for purchases from Pactiv.</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warehousing and freight services agreement with Pactiv to continue storing many of our finished goods in warehouses operated by Pactiv and to provide certain freight services for shipments from our plants to our warehouses (including Pactiv warehouses) and from our warehouses to our customers. The term of the warehousing and freight services under the agreement will vary by location, with a final termination date of December 31, 2024. For 2023, Pactiv charged us freight and warehousing costs of $37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our corporate headquarters in Lake Forest, IL from Pactiv. We occupy approximately 70,000 square feet at market rent with a term of ten years, beginning January 1, 2020, with two five-year renewal options. We amended the lease agreement by adding approximately 32,000 square feet at market rent, beginning February 1, 2021, at our corporate headquarters. We also lease approximately 26,000 square feet in Pactiv’s Canandaigua, New York facility for certain research and development activities. The Canandaigua lease is at market rent and has a term of five years, beginning January 1, 2020, provided we have the right to terminate the lease on six months’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Related Person Transaction Policy that provides that our executive officers, directors, nominees for election as a director, beneficial owners of 5% or more of our common stock and any members of the immediate family of any of the foregoing persons are not permitted to enter into a related party transaction with us without the approval or ratification of a designated committee of our board of directors (which will initially be the Audit Committee) or other committee designated by our board of directors made up solely of independent directors. Any request for us to enter into a transaction with an executive officer, director, nominee for election as a director, beneficial owner of 5% or more of our common stock or any member of the immediate family of any of the foregoing persons, in which the amount involved exceeds $120,000 and such person would have a direct or indirect interest, must be presented to our Audit Committee or other committee of independent directors for review to determine whether the related party involved has a direct or indirect material interest in the transaction. In reviewing any such proposal, our Audit Committee or other committee of independent directors are to consider the relevant facts of the transaction, including the risks, costs and benefits to us and whether the transaction is on terms no less favorable than terms generally available to an unaffiliated third party under the same or similar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2023, the members of our CNG Committee were Gregory Cole, Helen Golding and Richard Noll, none of whom is or has been our current or former officer or employee or was involved in a relationship requiring disclosure as an interlocking director or under Item 404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F497D"/>
        </w:rPr>
        <w:t>QUESTIONS AND ANSWERS ABOUT THE ANNUAL MEETING</w:t>
      </w:r>
    </w:p>
    <w:p>
      <w:pPr>
        <w:spacing w:after="0" w:line="2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questions and answers are intended to address briefly some commonly asked questions regarding the Annual Meeting and the matters to be voted on at the Annual Meeting or at any adjournments or postponements thereof. We urge you to read the remainder of this Proxy Statement carefully because the information in this section does not provide all information that might be important to you. Please refer to the more detailed information contained elsewhere in this Proxy Statement and the documents referred to in this Proxy Statement, which you should read carefully.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purposes of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is being held for the purposes of considering and taking action with respect to the following:</w:t>
      </w:r>
    </w:p>
    <w:p>
      <w:pPr>
        <w:spacing w:after="0" w:line="225"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to serve until the 2027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Certificate of Incorporation to allow for exculpation of officers as permitted by Delaware law;</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year ending December 31, 2024;</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2023 compensation of our named executive officers as disclosed in this Proxy Statement;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at any and all adjournments or postponements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participate in the Annual Meeting?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a completely virtual meeting. There will be no physical meeting location.</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To participate in the Annual Meeting, visit </w:t>
      </w:r>
      <w:r>
        <w:rPr>
          <w:rFonts w:ascii="Times New Roman" w:cs="Times New Roman" w:eastAsia="Times New Roman" w:hAnsi="Times New Roman"/>
          <w:sz w:val="18"/>
          <w:szCs w:val="18"/>
          <w:i w:val="1"/>
          <w:iCs w:val="1"/>
          <w:color w:val="auto"/>
        </w:rPr>
        <w:t>www.virtualshareholdermeeting.com/REYN2024</w:t>
      </w:r>
      <w:r>
        <w:rPr>
          <w:rFonts w:ascii="Times New Roman" w:cs="Times New Roman" w:eastAsia="Times New Roman" w:hAnsi="Times New Roman"/>
          <w:sz w:val="18"/>
          <w:szCs w:val="18"/>
          <w:color w:val="auto"/>
        </w:rPr>
        <w:t xml:space="preserve"> and enter the 16-digit control number included on your proxy card or on the instructions that accompanied your proxy materials. You may begin to log into the meeting platform beginning at 4:45 p.m., Central Time (“CT”), on April 24, 2024. The meeting will begin promptly at 5:00 p.m. CT on April 24, 2024.</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wish to submit a question during the meeting, log into the virtual meeting platform at </w:t>
      </w:r>
      <w:r>
        <w:rPr>
          <w:rFonts w:ascii="Times New Roman" w:cs="Times New Roman" w:eastAsia="Times New Roman" w:hAnsi="Times New Roman"/>
          <w:sz w:val="18"/>
          <w:szCs w:val="18"/>
          <w:i w:val="1"/>
          <w:iCs w:val="1"/>
          <w:color w:val="auto"/>
        </w:rPr>
        <w:t>www.virtualshareholdermeeting.com/REYN2024</w:t>
      </w:r>
      <w:r>
        <w:rPr>
          <w:rFonts w:ascii="Times New Roman" w:cs="Times New Roman" w:eastAsia="Times New Roman" w:hAnsi="Times New Roman"/>
          <w:sz w:val="18"/>
          <w:szCs w:val="18"/>
          <w:color w:val="auto"/>
        </w:rPr>
        <w:t>, and follow the instructions in the virtual meeting platform for submitting a question. Questions must pertain to meeting matters, and the question and answer session will be subject to time constraints and rules of conduct. Questions regarding personal matters, including those related to employment, product issues or suggestions for product innovations, are not pertinent to meeting matters and therefore will not be answered.</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encounter any technical difficulties with the virtual meeting platform on the Annual Meeting day either during the check-in or meeting time, please call the technical support number that will be posted on the virtual meeting platform log in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close of business on March 1, 2024, the record date for determination of stockholders entitled to vote at the Annual Meeting, there were outstanding 210,131,161 shares of our common stock, par value $0.001 per share, all of which are entitled to vote with respect to all matters to be acted upon at the Annual Meeting. Each stockholder of record is entitled to one vote for each share of our common stock held by such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 for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Bylaws (the “Bylaws”) provide that a majority of the total voting power of all outstanding shares of stock generally entitled to vote at a meeting of stockholders, present in person or by proxy, will constitute a quorum for the transaction of business at the Annual Meeting. Shares that are voted “abstain” or “withheld” and broker “non-votes” are counted as present for purposes of determining whether a quorum is present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“stockholder of record” and a “street name” 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you are considered the stockholder of record with respect to those shares. If your shares are held in a stock brokerage account or by a bank or other nominee, then the broker, bank or other nominee is considered to be the stockholder of record with respect to those shares, while you are considered the beneficial owner of those shares. In that case, your shares are said to be held in “street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broker non-votes?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your broker, bank or other nominee is required to vote your shares according to your instructions. If you do not give instructions to your broker, bank or other nominee, it will still be able to vote your shares with respect to certain “discretionary” items, but will not be allowed to vote your shares with respect to “non-discretionary” items. Proposals 1, 2 and 4 are “non-discretionary” items. If you do not instruct your broker, bank or other nominee how to vote with respect to those proposals, it may not vote for those proposals, and those votes will be counted as broker “non-votes.” Proposal 3 is considered to be a discretionary item, and your broker, bank or other nominee will be able to vote on this proposal even if it does not receive instructions from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proposal?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the votes that are required from the holders of common stock to approve each of the proposals, and the impact of abstentions and broker non-votes: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Proposal</w:t>
            </w:r>
          </w:p>
        </w:tc>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Subject</w:t>
            </w:r>
          </w:p>
        </w:tc>
        <w:tc>
          <w:tcPr>
            <w:tcW w:w="32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Vote Required</w:t>
            </w:r>
          </w:p>
        </w:tc>
        <w:tc>
          <w:tcPr>
            <w:tcW w:w="29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Impact of Abstentions and</w:t>
            </w:r>
          </w:p>
        </w:tc>
        <w:tc>
          <w:tcPr>
            <w:tcW w:w="0" w:type="dxa"/>
            <w:vAlign w:val="bottom"/>
          </w:tcPr>
          <w:p>
            <w:pPr>
              <w:spacing w:after="0"/>
              <w:rPr>
                <w:sz w:val="1"/>
                <w:szCs w:val="1"/>
                <w:color w:val="auto"/>
              </w:rPr>
            </w:pPr>
          </w:p>
        </w:tc>
      </w:tr>
      <w:tr>
        <w:trPr>
          <w:trHeight w:val="214"/>
        </w:trPr>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400" w:type="dxa"/>
            <w:vAlign w:val="bottom"/>
            <w:gridSpan w:val="2"/>
            <w:vMerge w:val="continue"/>
          </w:tcPr>
          <w:p>
            <w:pPr>
              <w:spacing w:after="0"/>
              <w:rPr>
                <w:sz w:val="18"/>
                <w:szCs w:val="18"/>
                <w:color w:val="auto"/>
              </w:rPr>
            </w:pPr>
          </w:p>
        </w:tc>
        <w:tc>
          <w:tcPr>
            <w:tcW w:w="3200" w:type="dxa"/>
            <w:vAlign w:val="bottom"/>
            <w:gridSpan w:val="2"/>
            <w:vMerge w:val="continue"/>
          </w:tcPr>
          <w:p>
            <w:pPr>
              <w:spacing w:after="0"/>
              <w:rPr>
                <w:sz w:val="18"/>
                <w:szCs w:val="18"/>
                <w:color w:val="auto"/>
              </w:rPr>
            </w:pPr>
          </w:p>
        </w:tc>
        <w:tc>
          <w:tcPr>
            <w:tcW w:w="292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Broker Non-Votes, if any</w:t>
            </w:r>
          </w:p>
        </w:tc>
        <w:tc>
          <w:tcPr>
            <w:tcW w:w="0" w:type="dxa"/>
            <w:vAlign w:val="bottom"/>
          </w:tcPr>
          <w:p>
            <w:pPr>
              <w:spacing w:after="0"/>
              <w:rPr>
                <w:sz w:val="1"/>
                <w:szCs w:val="1"/>
                <w:color w:val="auto"/>
              </w:rPr>
            </w:pPr>
          </w:p>
        </w:tc>
      </w:tr>
      <w:tr>
        <w:trPr>
          <w:trHeight w:val="157"/>
        </w:trPr>
        <w:tc>
          <w:tcPr>
            <w:tcW w:w="162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top w:val="single" w:sz="8" w:color="CCEEFF"/>
            </w:tcBorders>
            <w:shd w:val="clear" w:color="auto" w:fill="CCEEFF"/>
          </w:tcPr>
          <w:p>
            <w:pPr>
              <w:spacing w:after="0"/>
              <w:rPr>
                <w:sz w:val="13"/>
                <w:szCs w:val="13"/>
                <w:color w:val="auto"/>
              </w:rPr>
            </w:pPr>
          </w:p>
        </w:tc>
        <w:tc>
          <w:tcPr>
            <w:tcW w:w="330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Election of directors</w:t>
            </w:r>
          </w:p>
        </w:tc>
        <w:tc>
          <w:tcPr>
            <w:tcW w:w="100" w:type="dxa"/>
            <w:vAlign w:val="bottom"/>
            <w:tcBorders>
              <w:top w:val="single" w:sz="8" w:color="CCEEFF"/>
            </w:tcBorders>
            <w:shd w:val="clear" w:color="auto" w:fill="CCEEFF"/>
          </w:tcPr>
          <w:p>
            <w:pPr>
              <w:spacing w:after="0"/>
              <w:rPr>
                <w:sz w:val="13"/>
                <w:szCs w:val="13"/>
                <w:color w:val="auto"/>
              </w:rPr>
            </w:pPr>
          </w:p>
        </w:tc>
        <w:tc>
          <w:tcPr>
            <w:tcW w:w="3100" w:type="dxa"/>
            <w:vAlign w:val="bottom"/>
            <w:tcBorders>
              <w:top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Directors will be elected by a plurality of the</w:t>
            </w:r>
          </w:p>
        </w:tc>
        <w:tc>
          <w:tcPr>
            <w:tcW w:w="10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Abstentions and broker non-votes will not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votes present and entitled to vote. The</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count as votes cast on the proposal and will</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nominees receiving the most FOR votes will</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not affect the outcome of the vote.</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 elected.</w:t>
            </w: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Approval of an amendment to the Company’s</w:t>
            </w: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The holders of a majority of the outstanding</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Abstentions and broker non-votes will have</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Amended and Restated Certificate of</w:t>
            </w: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shares entitled to vote must vote FOR to</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the same effect as votes AGAINST the</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Incorporation to allow for exculpation of officers</w:t>
            </w: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approve the proposal.</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proposal.</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permitted by Delaware law</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Ratification of appointment of independent</w:t>
            </w: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The holders of a majority of the votes cast at</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Abstentions and broker non-votes will not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registered public accounting firm</w:t>
            </w: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the meeting must vote FOR to approve the</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count as votes cast on the proposal and will</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proposal.</w:t>
            </w: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 affect the outcome of the vote.</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Advisory vote to approve the compensation of</w:t>
            </w: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The holders of a majority of the votes cast at</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Abstentions and broker non-votes will not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our named executive officers</w:t>
            </w:r>
          </w:p>
        </w:tc>
        <w:tc>
          <w:tcPr>
            <w:tcW w:w="32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the meeting must vote FOR to approve the</w:t>
            </w:r>
          </w:p>
        </w:tc>
        <w:tc>
          <w:tcPr>
            <w:tcW w:w="2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count as votes cast on the proposal and will</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proposal.</w:t>
            </w: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 affect the outcome of the vote.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 of Directors’ recommendations on how I should vote my shares?</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nominees for election as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an amendment to the Company’s Amended and Restated Certificate of Incorporation to allow for exculpation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as permitted by Delaware law.</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ratification of the appointment of PricewaterhouseCoopers LLP as our independent registered public accounting firm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ending December 31, 2024.</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vote?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During the Meeting: </w:t>
      </w:r>
      <w:r>
        <w:rPr>
          <w:rFonts w:ascii="Times New Roman" w:cs="Times New Roman" w:eastAsia="Times New Roman" w:hAnsi="Times New Roman"/>
          <w:sz w:val="18"/>
          <w:szCs w:val="18"/>
          <w:color w:val="auto"/>
        </w:rPr>
        <w:t>If you plan to virtually attend the Annual Meeting and to vote during the meeting, we will provide you with an online ballot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Annual Meeting through the virtual stockholder meeting platform at </w:t>
      </w:r>
      <w:r>
        <w:rPr>
          <w:rFonts w:ascii="Times New Roman" w:cs="Times New Roman" w:eastAsia="Times New Roman" w:hAnsi="Times New Roman"/>
          <w:sz w:val="18"/>
          <w:szCs w:val="18"/>
          <w:i w:val="1"/>
          <w:iCs w:val="1"/>
          <w:color w:val="auto"/>
        </w:rPr>
        <w:t>www.virtualshareholdermeeting.com/REYN2024</w:t>
      </w:r>
      <w:r>
        <w:rPr>
          <w:rFonts w:ascii="Times New Roman" w:cs="Times New Roman" w:eastAsia="Times New Roman" w:hAnsi="Times New Roman"/>
          <w:sz w:val="18"/>
          <w:szCs w:val="18"/>
          <w:color w:val="auto"/>
        </w:rPr>
        <w:t>. To vote at the meeting, please follow the instructions on your proxy card. We recommend you vote by proxy even if you plan to attend the Annual Meeting. You can always change your vote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Proxy: </w:t>
      </w:r>
      <w:r>
        <w:rPr>
          <w:rFonts w:ascii="Times New Roman" w:cs="Times New Roman" w:eastAsia="Times New Roman" w:hAnsi="Times New Roman"/>
          <w:sz w:val="18"/>
          <w:szCs w:val="18"/>
          <w:color w:val="auto"/>
        </w:rPr>
        <w:t>You may vote by proxy through the following means.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have several choices. You can vote your shares by proxy:</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mailing a proxy card;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telephone.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the specific instructions set forth on the Notice or printed proxy materials. For security reasons, our electronic voting system has been designed to authenticate your identity as a stockholder.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broker, bank or other nominee, the firm that holds your shares will provide you with materials and instructions for voting your shares.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you complete and submit your proxy before the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after I have submitted a proxy?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by (1) following the instructions on the Notice or proxy card, as applicable, and entering a new vote by mail, over the internet or by phone by the time specified on the Notice or proxy card, as applicable, (2) sending a written notice of revocation to Reynolds Consumer Products, 1900 West Field Court, Lake Forest, IL 60045 Attention: Corporate Secretary, or (3) attending the Annual Meeting and voting through the online platform (although attendance at the Annual Meeting will not in and of itself revoke a proxy).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them in order to find out how to revoke or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proxies will have discretion to vote on those matters in accordance with their best judgment. We do not currently anticipate that any other matters will be raised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paying for the cost of this proxy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making this solicitation and will pay the entire cost of preparing and distributing the Notice and these proxy materials and soliciting votes. If you choose to access the proxy materials or vote over the internet, you are responsible for any internet access charges that you may incur. Our directors, officers and employees may, without compensation other than their regular compensation, solicit proxies through further mailings, personal conversations, facsimile transmissions, e-mails,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deadline for submitting a stockholder proposal for the 2025 annual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stockholder proposal intended to be included in the Proxy Statement for the 2025 Annual Meeting of Stockholders must satisfy the SEC regulations under Rule 14a-8 of the Securities Exchange Act of 1934 (the “Exchange Act”), and be received no later than November 12, 2024.</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our Bylaws contain advance notice provisions requiring a stockholder who wishes to present a proposal or nominate directors at our next Annual Meeting of Stockholders (whether or not to be included in the Proxy Statement) to comply with certain requirements, including providing timely written notice thereof in accordance with our Bylaws. To be timely for our 2025 Annual Meeting of Stockholders, any such proposal must be delivered in writing to our Secretary at our principal executive offices between the close of business on October 26, 2024 and December 25, 2024. If the date of the next Annual Meeting of Stockholders is more than 30 days before or more than 60 days after the first anniversary of the 2024 Annual Meeting of Stockholders, then notice by the stockholder must be received by us no earlier than the close of business on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the date of such Annual Meeting and not later than the close of business on the later of (1) 70 days prior to the date of such Annual Meeting or (2)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in order to comply with the universal proxy rules, a stockholder who intends to solicit proxies in support of director nominees for election at the next annual meeting, other than the Company’s nominees, must provide notice that sets forth the information required by Rule 14a-19 under the Exchange Act no later than February 24,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subject to the Stockholders Agreement between the Company and PFL which provides that PFL has the right to nominate all of our directors so long as the Hart Entities beneficially own at least 50% of the outstanding shares of our common stock; a majority of our directors so long as they own at least 40% of our stock; and at least one director so long as they own at least 10% of our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“householding”?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the Notice of Internet Availability of Proxy Materials, Proxy Statement and 2023 Annual Report to Stockholders, as applicable, is being delivered to multiple stockholders sharing an address unless we have received contrary instructions. We will promptly deliver a separate copy of any of these documents to you if you write to us at Reynolds Consumer Products Inc., 1900 W. Field Court, Lake Forest, Illinois 60045, Attention: Corporate Secretary or call us at (800) 879-5067. If you want to receive separate copies of the Notice of Internet Availability of Proxy Materials, Proxy Statement, or 2023 Annual Report to Stockholders in the future, or if you are receiving multiple copies and would like to receive only one copy for your household, you should contact your broker, bank or other nominee record holder, or you may contact us at the above address or 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FORM 10-K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Stockholders may receive, without charge, a copy of our Annual Report on Form 10-K for the year ended December 31, 2023, as filed with the SEC, including financial statements (and excluding exhibits, which are available for a reasonable fee), by written request to our Corporate Secretary at Reynolds Consumer Products Inc., 1900 W. Field Court, Lake Forest, Illinois 60045. Our Form 10-K is also available on our website in the “Investors—Financial Information –SEC Filings” section of our website at </w:t>
      </w:r>
      <w:r>
        <w:rPr>
          <w:rFonts w:ascii="Times New Roman" w:cs="Times New Roman" w:eastAsia="Times New Roman" w:hAnsi="Times New Roman"/>
          <w:sz w:val="18"/>
          <w:szCs w:val="18"/>
          <w:i w:val="1"/>
          <w:iCs w:val="1"/>
          <w:color w:val="auto"/>
        </w:rPr>
        <w:t>www.ReynoldsConsumerProducts.com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our previous filings under the Securities Act or the Exchange Act that may incorporate future filings (including this Proxy Statement, in whole or in part), the Audit Committee Report and the Compensation, Nominating and Corporate Governance Committee Report included in this Proxy Statement shall not be incorporated by reference in any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1F497D"/>
        </w:rPr>
        <w:t>APPENDIX 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1F497D"/>
        </w:rPr>
        <w:t>RECONCILIATION OF NON-GAAP FINANCIAL MEASURES</w:t>
      </w: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 is referenced in this Proxy Statement and represents net income calculated in accordance with GAAP, plus the sum of income tax expense, net interest expense and IPO and separation-related costs, as well as other non-recurring costs. Adjusted EBIT Growth in 2023 is the change in Adjusted EBIT in 2023 compared to Adjusted EBIT in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EPS is referenced in this Proxy Statement and represents earnings per share calculated in accordance with GAAP, plus IPO and separation-related costs and other non-recurring costs. Adjusted EPS Growth in 2023 is the change in Adjusted EPS in 2023 compared to Adjusted EPS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is referenced in this Proxy Statement and represents net cash provided by operating activities in the period, calculated in accordance with GAAP, minus the amount of property, plant and equipment acquired in the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 Adjusted EPS and Free Cash Flow are non-GAAP financial measures and should be considered as supplemental in nature and are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contain a reconciliation of Net Income and Net Income Change, the most directly comparable GAAP financial measure, to Adjusted EBIT and Adjusted EBIT Change for each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for %)</w:t>
            </w: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6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9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 (Non-GAAP)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19 %</w:t>
            </w:r>
          </w:p>
        </w:tc>
      </w:tr>
      <w:tr>
        <w:trPr>
          <w:trHeight w:val="21"/>
        </w:trPr>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79"/>
        </w:trPr>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for %)</w:t>
            </w: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6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9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 (Non-GAAP)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 %</w:t>
            </w:r>
          </w:p>
        </w:tc>
      </w:tr>
      <w:tr>
        <w:trPr>
          <w:trHeight w:val="20"/>
        </w:trPr>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for %)</w:t>
            </w: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6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9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 (Non-GAAP)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1"/>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tables contain a reconciliation of Earnings per Share and Earnings per Share Change, the most directly comparable GAAP financial measure, to Adjusted Earnings per Share and Adjusted Earnings per Share Change for each of the periods indicated:</w:t>
      </w: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5"/>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5"/>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80" w:type="dxa"/>
            <w:vAlign w:val="bottom"/>
          </w:tcPr>
          <w:p>
            <w:pPr>
              <w:spacing w:after="0"/>
              <w:rPr>
                <w:sz w:val="2"/>
                <w:szCs w:val="2"/>
                <w:color w:val="auto"/>
              </w:rPr>
            </w:pPr>
          </w:p>
        </w:tc>
        <w:tc>
          <w:tcPr>
            <w:tcW w:w="118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31"/>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8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8"/>
        </w:trPr>
        <w:tc>
          <w:tcPr>
            <w:tcW w:w="3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b w:val="1"/>
                <w:bCs w:val="1"/>
                <w:color w:val="auto"/>
              </w:rPr>
              <w:t>0.19</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(0.04)</w:t>
            </w:r>
          </w:p>
        </w:tc>
        <w:tc>
          <w:tcPr>
            <w:tcW w:w="12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(0.01)</w:t>
            </w: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b w:val="1"/>
                <w:bCs w:val="1"/>
                <w:color w:val="auto"/>
              </w:rPr>
              <w:t>0.14</w:t>
            </w:r>
          </w:p>
        </w:tc>
        <w:tc>
          <w:tcPr>
            <w:tcW w:w="1260" w:type="dxa"/>
            <w:vAlign w:val="bottom"/>
            <w:tcBorders>
              <w:top w:val="single" w:sz="8" w:color="CCEEFF"/>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5"/>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5"/>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80" w:type="dxa"/>
            <w:vAlign w:val="bottom"/>
          </w:tcPr>
          <w:p>
            <w:pPr>
              <w:spacing w:after="0"/>
              <w:rPr>
                <w:sz w:val="2"/>
                <w:szCs w:val="2"/>
                <w:color w:val="auto"/>
              </w:rPr>
            </w:pPr>
          </w:p>
        </w:tc>
        <w:tc>
          <w:tcPr>
            <w:tcW w:w="118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29"/>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3"/>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18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3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b w:val="1"/>
                <w:bCs w:val="1"/>
                <w:color w:val="auto"/>
              </w:rPr>
              <w:t>(0.31)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(0.01)</w:t>
            </w:r>
          </w:p>
        </w:tc>
        <w:tc>
          <w:tcPr>
            <w:tcW w:w="12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rPr>
              <w:t>0.01</w:t>
            </w: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b w:val="1"/>
                <w:bCs w:val="1"/>
                <w:color w:val="auto"/>
              </w:rPr>
              <w:t>(0.31)</w:t>
            </w:r>
          </w:p>
        </w:tc>
        <w:tc>
          <w:tcPr>
            <w:tcW w:w="1260" w:type="dxa"/>
            <w:vAlign w:val="bottom"/>
            <w:tcBorders>
              <w:top w:val="single" w:sz="8" w:color="CCEEFF"/>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a reconciliation of net cash provided by operating activities, the most directly comparable GAAP financial measure, to Free Cash Flow for the period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23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w:t>
            </w:r>
          </w:p>
        </w:tc>
      </w:tr>
      <w:tr>
        <w:trPr>
          <w:trHeight w:val="194"/>
        </w:trPr>
        <w:tc>
          <w:tcPr>
            <w:tcW w:w="88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31,</w:t>
            </w:r>
          </w:p>
        </w:tc>
        <w:tc>
          <w:tcPr>
            <w:tcW w:w="300" w:type="dxa"/>
            <w:vAlign w:val="bottom"/>
          </w:tcPr>
          <w:p>
            <w:pPr>
              <w:spacing w:after="0"/>
              <w:rPr>
                <w:sz w:val="16"/>
                <w:szCs w:val="16"/>
                <w:color w:val="auto"/>
              </w:rPr>
            </w:pPr>
          </w:p>
        </w:tc>
      </w:tr>
      <w:tr>
        <w:trPr>
          <w:trHeight w:val="196"/>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7"/>
                <w:szCs w:val="17"/>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shd w:val="clear" w:color="auto" w:fill="CCEEFF"/>
          </w:tcPr>
          <w:p>
            <w:pPr>
              <w:spacing w:after="0"/>
              <w:rPr>
                <w:sz w:val="19"/>
                <w:szCs w:val="19"/>
                <w:color w:val="auto"/>
              </w:rPr>
            </w:pPr>
          </w:p>
        </w:tc>
      </w:tr>
      <w:tr>
        <w:trPr>
          <w:trHeight w:val="23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Borders>
              <w:bottom w:val="single" w:sz="8" w:color="CCEEFF"/>
            </w:tcBorders>
          </w:tcPr>
          <w:p>
            <w:pPr>
              <w:spacing w:after="0"/>
              <w:rPr>
                <w:sz w:val="19"/>
                <w:szCs w:val="19"/>
                <w:color w:val="auto"/>
              </w:rPr>
            </w:pP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b w:val="1"/>
                <w:bCs w:val="1"/>
                <w:color w:val="auto"/>
              </w:rPr>
              <w:t>540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8576310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719455</wp:posOffset>
            </wp:positionV>
            <wp:extent cx="5349240" cy="6917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09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9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X"/>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lvl w:ilvl="1">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lvl>
    <w:lvl w:ilvl="1">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3"/>
    </w:lvl>
  </w:abstractNum>
  <w:abstractNum w:abstractNumId="33">
    <w:nsid w:val="38437FDB"/>
    <w:multiLevelType w:val="hybridMultilevel"/>
    <w:lvl w:ilvl="0">
      <w:lvlJc w:val="left"/>
      <w:lvlText w:val="(%1)"/>
      <w:numFmt w:val="decimal"/>
      <w:start w:val="5"/>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2"/>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Roman"/>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lowerRoman"/>
      <w:start w:val="1"/>
    </w:lvl>
  </w:abstractNum>
  <w:abstractNum w:abstractNumId="47">
    <w:nsid w:val="4F4EF005"/>
    <w:multiLevelType w:val="hybridMultilevel"/>
    <w:lvl w:ilvl="0">
      <w:lvlJc w:val="left"/>
      <w:lvlText w:val="(%1)"/>
      <w:numFmt w:val="lowerRoman"/>
      <w:start w:val="2"/>
    </w:lvl>
  </w:abstractNum>
  <w:abstractNum w:abstractNumId="48">
    <w:nsid w:val="23F9C13C"/>
    <w:multiLevelType w:val="hybridMultilevel"/>
    <w:lvl w:ilvl="0">
      <w:lvlJc w:val="left"/>
      <w:lvlText w:val="(%1)"/>
      <w:numFmt w:val="lowerRoman"/>
      <w:start w:val="3"/>
    </w:lvl>
  </w:abstractNum>
  <w:abstractNum w:abstractNumId="49">
    <w:nsid w:val="649BB77C"/>
    <w:multiLevelType w:val="hybridMultilevel"/>
    <w:lvl w:ilvl="0">
      <w:lvlJc w:val="left"/>
      <w:lvlText w:val="(%1)"/>
      <w:numFmt w:val="lowerRoman"/>
      <w:start w:val="4"/>
    </w:lvl>
  </w:abstractNum>
  <w:abstractNum w:abstractNumId="50">
    <w:nsid w:val="275AC794"/>
    <w:multiLevelType w:val="hybridMultilevel"/>
    <w:lvl w:ilvl="0">
      <w:lvlJc w:val="left"/>
      <w:lvlText w:val="(%1)"/>
      <w:numFmt w:val="decimal"/>
      <w:start w:val="2"/>
    </w:lvl>
    <w:lvl w:ilvl="1">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2024-03-01T15:11:41Z</dcterms:created>
  <dcterms:modified xsi:type="dcterms:W3CDTF">2024-03-01T15:11:41Z</dcterms:modified>
</cp:coreProperties>
</file>