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7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REYNOLDS CONSUMER PRODUCTS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55"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63"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2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00"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Lake Forest, Illinois 60045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6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700" w:type="dxa"/>
            <w:vAlign w:val="bottom"/>
          </w:tcPr>
          <w:p>
            <w:pPr>
              <w:spacing w:after="0"/>
              <w:rPr>
                <w:sz w:val="15"/>
                <w:szCs w:val="15"/>
                <w:color w:val="auto"/>
              </w:rPr>
            </w:pPr>
          </w:p>
        </w:tc>
      </w:tr>
      <w:tr>
        <w:trPr>
          <w:trHeight w:val="204"/>
        </w:trPr>
        <w:tc>
          <w:tcPr>
            <w:tcW w:w="4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60" w:type="dxa"/>
            <w:vAlign w:val="bottom"/>
          </w:tcPr>
          <w:p>
            <w:pPr>
              <w:spacing w:after="0"/>
              <w:rPr>
                <w:sz w:val="17"/>
                <w:szCs w:val="17"/>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REYN</w:t>
            </w:r>
          </w:p>
        </w:tc>
        <w:tc>
          <w:tcPr>
            <w:tcW w:w="14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1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7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rPr>
                <w:sz w:val="20"/>
                <w:szCs w:val="20"/>
                <w:color w:val="auto"/>
              </w:rPr>
            </w:pPr>
            <w:r>
              <w:rPr>
                <w:rFonts w:ascii="Wingdings" w:cs="Wingdings" w:eastAsia="Wingdings" w:hAnsi="Wingdings"/>
                <w:sz w:val="16"/>
                <w:szCs w:val="16"/>
                <w:b w:val="1"/>
                <w:bCs w:val="1"/>
                <w:color w:val="auto"/>
                <w:w w:val="83"/>
              </w:rPr>
              <w:t>o</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680" w:type="dxa"/>
            <w:vAlign w:val="bottom"/>
          </w:tcPr>
          <w:p>
            <w:pPr>
              <w:ind w:left="340"/>
              <w:spacing w:after="0"/>
              <w:rPr>
                <w:sz w:val="20"/>
                <w:szCs w:val="20"/>
                <w:color w:val="auto"/>
              </w:rPr>
            </w:pPr>
            <w:r>
              <w:rPr>
                <w:rFonts w:ascii="Wingdings" w:cs="Wingdings" w:eastAsia="Wingdings" w:hAnsi="Wingdings"/>
                <w:sz w:val="16"/>
                <w:szCs w:val="16"/>
                <w:b w:val="1"/>
                <w:bCs w:val="1"/>
                <w:color w:val="auto"/>
              </w:rPr>
              <w:t>o</w:t>
            </w:r>
          </w:p>
        </w:tc>
        <w:tc>
          <w:tcPr>
            <w:tcW w:w="5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114" w:lineRule="exact"/>
        <w:rPr>
          <w:sz w:val="24"/>
          <w:szCs w:val="24"/>
          <w:color w:val="auto"/>
        </w:rPr>
      </w:pPr>
    </w:p>
    <w:p>
      <w:pPr>
        <w:ind w:right="580"/>
        <w:spacing w:after="0" w:line="26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ind w:right="2980"/>
        <w:spacing w:after="0" w:line="24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31, 2024, the registrant had 210,138,321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20" w:type="dxa"/>
            <w:vAlign w:val="bottom"/>
            <w:gridSpan w:val="10"/>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7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for the three and six months ended June 30, 2024 and 2023</w:t>
            </w:r>
          </w:p>
        </w:tc>
        <w:tc>
          <w:tcPr>
            <w:tcW w:w="1840" w:type="dxa"/>
            <w:vAlign w:val="bottom"/>
            <w:gridSpan w:val="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8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6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2024 and 2023</w:t>
            </w:r>
          </w:p>
        </w:tc>
        <w:tc>
          <w:tcPr>
            <w:tcW w:w="860" w:type="dxa"/>
            <w:vAlign w:val="bottom"/>
            <w:gridSpan w:val="2"/>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500" w:type="dxa"/>
            <w:vAlign w:val="bottom"/>
            <w:tcBorders>
              <w:top w:val="single" w:sz="8" w:color="0000FF"/>
            </w:tcBorders>
            <w:gridSpan w:val="3"/>
          </w:tcPr>
          <w:p>
            <w:pPr>
              <w:spacing w:after="0"/>
              <w:rPr>
                <w:sz w:val="21"/>
                <w:szCs w:val="21"/>
                <w:color w:val="auto"/>
              </w:rPr>
            </w:pPr>
          </w:p>
        </w:tc>
        <w:tc>
          <w:tcPr>
            <w:tcW w:w="2260" w:type="dxa"/>
            <w:vAlign w:val="bottom"/>
            <w:gridSpan w:val="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3"/>
          </w:tcPr>
          <w:p>
            <w:pPr>
              <w:spacing w:after="0"/>
              <w:rPr>
                <w:sz w:val="21"/>
                <w:szCs w:val="21"/>
                <w:color w:val="auto"/>
              </w:rPr>
            </w:pPr>
          </w:p>
        </w:tc>
        <w:tc>
          <w:tcPr>
            <w:tcW w:w="3100" w:type="dxa"/>
            <w:vAlign w:val="bottom"/>
            <w:gridSpan w:val="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continue"/>
          </w:tcPr>
          <w:p>
            <w:pPr>
              <w:spacing w:after="0"/>
              <w:rPr>
                <w:sz w:val="21"/>
                <w:szCs w:val="21"/>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3"/>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8220" w:type="dxa"/>
            <w:vAlign w:val="bottom"/>
            <w:gridSpan w:val="15"/>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9"/>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7220" w:type="dxa"/>
            <w:vAlign w:val="bottom"/>
            <w:gridSpan w:val="11"/>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4"/>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1"/>
                <w:szCs w:val="21"/>
                <w:color w:val="auto"/>
              </w:rPr>
            </w:pPr>
          </w:p>
        </w:tc>
        <w:tc>
          <w:tcPr>
            <w:tcW w:w="8240" w:type="dxa"/>
            <w:vAlign w:val="bottom"/>
            <w:gridSpan w:val="16"/>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780" w:type="dxa"/>
            <w:vAlign w:val="bottom"/>
            <w:gridSpan w:val="18"/>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This Quarterly Report on Form 10-Q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in our Annual Report on Form 10-K for the fiscal year ended December 31, 2023 and as updated in our Quarterly Reports on Form 10-Q. You should specifically consider the numerous risks outlined in the “Risk Factors” sections. These risks and uncertainties include factors related to:</w:t>
      </w:r>
    </w:p>
    <w:p>
      <w:pPr>
        <w:spacing w:after="0" w:line="219" w:lineRule="exact"/>
        <w:rPr>
          <w:sz w:val="20"/>
          <w:szCs w:val="20"/>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117" w:lineRule="exact"/>
        <w:rPr>
          <w:rFonts w:ascii="Times New Roman" w:cs="Times New Roman" w:eastAsia="Times New Roman" w:hAnsi="Times New Roman"/>
          <w:sz w:val="18"/>
          <w:szCs w:val="18"/>
          <w:color w:val="auto"/>
        </w:rPr>
      </w:pPr>
    </w:p>
    <w:p>
      <w:pPr>
        <w:ind w:left="880" w:right="54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disease outbreak, including epidemics, pandemics or similar widespread public health concerns;</w:t>
      </w:r>
    </w:p>
    <w:p>
      <w:pPr>
        <w:spacing w:after="0" w:line="53" w:lineRule="exact"/>
        <w:rPr>
          <w:rFonts w:ascii="Times New Roman" w:cs="Times New Roman" w:eastAsia="Times New Roman" w:hAnsi="Times New Roman"/>
          <w:sz w:val="18"/>
          <w:szCs w:val="18"/>
          <w:color w:val="auto"/>
        </w:rPr>
      </w:pPr>
    </w:p>
    <w:p>
      <w:pPr>
        <w:ind w:left="880" w:right="60" w:hanging="431"/>
        <w:spacing w:after="0" w:line="282" w:lineRule="auto"/>
        <w:tabs>
          <w:tab w:leader="none" w:pos="8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Quarterly Report on Form 10-Q to conform our prior statements to actual results or revised expectations.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is included in our Annual Report on Form 10-K for the fiscal year ended December 31, 2023, which was filed on February 7, 2024, under Part I, Item 1A. “Risk Factors” and as updated in our Quarterly Reports on Form 10-Q.</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58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gridSpan w:val="3"/>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9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8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r>
        <w:trPr>
          <w:trHeight w:val="250"/>
        </w:trPr>
        <w:tc>
          <w:tcPr>
            <w:tcW w:w="49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1"/>
                <w:szCs w:val="21"/>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266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90"/>
        </w:trPr>
        <w:tc>
          <w:tcPr>
            <w:tcW w:w="4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9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1080" w:type="dxa"/>
            <w:vAlign w:val="bottom"/>
          </w:tcPr>
          <w:p>
            <w:pPr>
              <w:spacing w:after="0"/>
              <w:rPr>
                <w:sz w:val="21"/>
                <w:szCs w:val="21"/>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79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5"/>
                <w:szCs w:val="15"/>
                <w:color w:val="auto"/>
              </w:rPr>
            </w:pPr>
          </w:p>
        </w:tc>
        <w:tc>
          <w:tcPr>
            <w:tcW w:w="158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 and $1)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$938 and $897)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4,865</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0" w:type="dxa"/>
            <w:vAlign w:val="bottom"/>
          </w:tcPr>
          <w:p>
            <w:pPr>
              <w:spacing w:after="0"/>
              <w:rPr>
                <w:sz w:val="1"/>
                <w:szCs w:val="1"/>
                <w:color w:val="auto"/>
              </w:rPr>
            </w:pPr>
          </w:p>
        </w:tc>
      </w:tr>
      <w:tr>
        <w:trPr>
          <w:trHeight w:val="34"/>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c>
          <w:tcPr>
            <w:tcW w:w="0" w:type="dxa"/>
            <w:vAlign w:val="bottom"/>
          </w:tcPr>
          <w:p>
            <w:pPr>
              <w:spacing w:after="0"/>
              <w:rPr>
                <w:sz w:val="1"/>
                <w:szCs w:val="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2,000 shares authorized; 210.1 shares issued and outstanding</w:t>
            </w:r>
          </w:p>
        </w:tc>
        <w:tc>
          <w:tcPr>
            <w:tcW w:w="24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7"/>
        </w:trPr>
        <w:tc>
          <w:tcPr>
            <w:tcW w:w="7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0" w:type="dxa"/>
            <w:vAlign w:val="bottom"/>
          </w:tcPr>
          <w:p>
            <w:pPr>
              <w:spacing w:after="0"/>
              <w:rPr>
                <w:sz w:val="1"/>
                <w:szCs w:val="1"/>
                <w:color w:val="auto"/>
              </w:rPr>
            </w:pPr>
          </w:p>
        </w:tc>
      </w:tr>
      <w:tr>
        <w:trPr>
          <w:trHeight w:val="27"/>
        </w:trPr>
        <w:tc>
          <w:tcPr>
            <w:tcW w:w="7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1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5"/>
                <w:szCs w:val="15"/>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5"/>
                <w:szCs w:val="15"/>
                <w:color w:val="auto"/>
              </w:rPr>
            </w:pPr>
          </w:p>
        </w:tc>
        <w:tc>
          <w:tcPr>
            <w:tcW w:w="11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320" w:type="dxa"/>
            <w:vAlign w:val="bottom"/>
          </w:tcPr>
          <w:p>
            <w:pPr>
              <w:spacing w:after="0"/>
              <w:rPr>
                <w:sz w:val="17"/>
                <w:szCs w:val="17"/>
                <w:color w:val="auto"/>
              </w:rPr>
            </w:pPr>
          </w:p>
        </w:tc>
        <w:tc>
          <w:tcPr>
            <w:tcW w:w="11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120" w:type="dxa"/>
            <w:vAlign w:val="bottom"/>
            <w:tcBorders>
              <w:top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tcBorders>
              <w:bottom w:val="single" w:sz="8" w:color="CCEEFF"/>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20" w:type="dxa"/>
            <w:vAlign w:val="bottom"/>
            <w:tcBorders>
              <w:top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12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($0.23 per share declared and</w:t>
            </w: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98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payables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7"/>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r>
        <w:trPr>
          <w:trHeight w:val="250"/>
        </w:trPr>
        <w:tc>
          <w:tcPr>
            <w:tcW w:w="8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 long-term debt, net of interest rate swaps</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across three broad categories: cooking products, waste and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United States generally accepted accounting principles (“GAAP”) for interim financial information and the instructions to the Quarterly Report on Form 10-Q and Article 10 of Regulation S-X issued by the U.S. Securities and Exchange Commission (“SEC”). Accordingly, they do not include all of the information and notes required by GAAP for comprehensive annual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policies described in our Annual Report on Form 10-K for the year ended December 31, 2023, and should be read in conjunction with the disclosures therein. In our opinion, these interim condensed consolidated financial statements reflect all adjustments, consisting of normal recurring adjustments, necessary to state fairly the financial condition, results of operations and cash flows for the periods presented. Operating results for interim periods are not necessarily indicative of annual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Lease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$32 million in new operating lease right-of-use assets obtained in exchange for lease liabilities during the six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operating lease right-of-use assets obtained in exchange for lease liabilities during the six months ended June 30, 2023, were not material.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finance lease right-of-use assets obtained in exchange for lease liabilities for the six months ended June 30, 2024 and 2023, were not material.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outstanding amounts related to suppliers participating in the SCF are recorded within accounts payable in our condensed consolidated balance sheet and associated payments are included as an operating cash flow in the condensed consolidated statement of cash flows. As of June 30, 2024, the amount of obligations outstanding that we have confirmed as valid under the SCF was $9 million. As of December 31, 2023, </w:t>
      </w:r>
      <w:r>
        <w:rPr>
          <w:rFonts w:ascii="Times New Roman" w:cs="Times New Roman" w:eastAsia="Times New Roman" w:hAnsi="Times New Roman"/>
          <w:sz w:val="18"/>
          <w:szCs w:val="18"/>
          <w:color w:val="212529"/>
        </w:rPr>
        <w:t>the amount of obligations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that we had confirmed as valid under the SCF was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New Accounting Standards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2022, the Financial Accounting Standards Board (“FASB”) issued Accounting Standards Update (“ASU”) 2022-04, </w:t>
      </w:r>
      <w:r>
        <w:rPr>
          <w:rFonts w:ascii="Times New Roman" w:cs="Times New Roman" w:eastAsia="Times New Roman" w:hAnsi="Times New Roman"/>
          <w:sz w:val="18"/>
          <w:szCs w:val="18"/>
          <w:i w:val="1"/>
          <w:iCs w:val="1"/>
          <w:color w:val="auto"/>
        </w:rPr>
        <w:t>Liabilities - Supplier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 Programs (Subtopic 405-50): Disclosure of Supplier Finance Program Obligations</w:t>
      </w:r>
      <w:r>
        <w:rPr>
          <w:rFonts w:ascii="Times New Roman" w:cs="Times New Roman" w:eastAsia="Times New Roman" w:hAnsi="Times New Roman"/>
          <w:sz w:val="18"/>
          <w:szCs w:val="18"/>
          <w:color w:val="auto"/>
        </w:rPr>
        <w:t>. These amendments require disclosure of the key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supplier finance programs and a rollforward of the related obligations. These amendments were effective for fiscal years beginning after December 31, 2022, except for the amendment on rollforward information, which is effective for fiscal years beginning after December 31, 2023. We adopted the standard as of January 1, 2023, other than the amendment on rollforward information, which will be adopted prospectively in our Annual Report on Form 10-K for the year ending December 31, 2024 as required. The adoption relates to disclosure only, and does not have an impact on our condensed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Issued But Not Yet Adopted: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which enhances disclosures about significant segment expenses by requiring disclosure of incremental segment information on an annual and interim basis. This ASU is effective for fiscal years beginning after December 15, 2023, and interim periods within fiscal years beginning after December 15, 2024, with early adoption permitted. We are currently assessing the impact of this standard on our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enhances disclosures within the income tax rate reconciliation and information disclosed related to income taxes paid, and requires disaggregation of certain financial statement captions between domestic, foreign, federal and state. This ASU is effective for annual periods beginning after December 15, 2024, with early adoption permitted. We are currently assessing the impact of this standard on our consolidated financial statements.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which will require public companies to include climate-related disclosures in their annual reports and registration statements. The final rules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among other matters, information about climate-related risks that have materially impacted, or are reasonably likely to have a material impact on, a registrant, including on its strategy, results of operations, or financial condition. In addition, under the final rules, certain disclosures related to severe weather events and other natural conditions will be required in the audited financial statements. The disclosure requirements related to financial statements are expected to be effective for our Annual Report on Form 10-K for the fiscal year ended December 31, 2025. We are currently assessing the impact of these rules on our consolidated financial statements and related disclosures.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81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8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8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4"/>
                <w:szCs w:val="14"/>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81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1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1,784</w:t>
            </w:r>
          </w:p>
        </w:tc>
        <w:tc>
          <w:tcPr>
            <w:tcW w:w="10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2020, we entered into new external debt facilities (“External Debt Facilities”), which consist of (i) a $2,475 million senior secured term loan facility (“Term Loan Facility”); and (ii) a $250 million senior secured revolving credit facility (“Revolving Facility”). In February 2023, we amended the External Debt Facilities (“Amendment No.1”) which replaced the interest rate benchmark from the London Interbank Offered Rate (“LIBOR”) to the Secured Overnight Financing Rate (“SOFR”). Additionally, in November 2023, we further amended the External Debt Facilities (“Amendment No. 2”) to extend the maturity of the Revolving Facility by one year. Other than the foregoing, the material terms of the External Debt Facilities, as amended by Amendment No. 1 and Amendment No. 2 (“Amended External Debt Facilities”) remain unchanged, and our election to use practical expedients under ASU 2020-04 and ASU 2021-01 resulted in no material impacts on our condensed consolidated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5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Amended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During the year ended December 31, 2023, we made voluntary principal payments of $250 million related to our Term Loan Facility, which were first applied to pay the remaining quarterly amortization payments in full, with the residual balance applied to the outstanding principal balance due at maturity. During the three months ended June 30, 2024, we made a voluntary principal payment of $50 million related to our Term Loan Facility, which was applied to the outstanding principal balance due at maturity.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we amended the External Debt Facilities to extend the maturity date of the Revolving Facility by one year. The Revolving Facility matures in February 2026 and includes a sub-facility for letters of credit. As of June 30, 2024, we had no outstanding borrowings under the Revolving Facility, and we had $6 million of letters of credit outstanding, which reduces the borrowing capacity under the Revolving Facility.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 w:name="page12"/>
    <w:bookmarkEnd w:id="1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June 30, 2024, which is a Level 2 fair value measurement, approximates the carrying value due to the variable market interest rate and the stability of our credit profile.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In February 2023, we amended our interest rate swaps to replace the interest rate benchmark from the LIBOR to SOFR. Other than the foregoing, the material terms of the interest rate swap agreements remained unchanged, and our election to use practical expedients under ASUs 2020-04 and 2021-01, resulted in no material impacts on our condensed consolidated financial statements. The aggregate notional amount of the interest rate swaps still in effect as of June 30, 2024 was $1,150 million, and the SOFR is fixed at an annual rate of 0.40% to 3.40% (for an annual effective interest rate of 2.15% to 5.15%, including margin).</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interest rate swaps outstanding as of June 30, 2024 hedge a portion of the interest rate exposure resulting from our Term Loan Facility for a period of approximately one to two years. We classified these instruments as cash flow hedges. The effective portion of the gain or loss on the open hedging instrument is recorded in accumulated other comprehensive income and is reclassified into earnings as interest expense, net when settled. The associated asset or liability on the open hedges is recorded at its fair value in other assets or other liabilities, as applicable. The fair value of the interest rate swaps was determined using a discounted cash flow method based on market-based swap yield curves, taking into account current interest rates, and is classified as Level 2 within the fair value hierarchy.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notional amounts, the annual rates, the weighted average annual effective rates, and the fair value of our interest rate derivatives: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 Annual</w:t>
            </w:r>
          </w:p>
        </w:tc>
        <w:tc>
          <w:tcPr>
            <w:tcW w:w="1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 Other</w:t>
            </w:r>
          </w:p>
        </w:tc>
        <w:tc>
          <w:tcPr>
            <w:tcW w:w="160" w:type="dxa"/>
            <w:vAlign w:val="bottom"/>
          </w:tcPr>
          <w:p>
            <w:pPr>
              <w:spacing w:after="0"/>
              <w:rPr>
                <w:sz w:val="15"/>
                <w:szCs w:val="15"/>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 - Other</w:t>
            </w:r>
          </w:p>
        </w:tc>
      </w:tr>
      <w:tr>
        <w:trPr>
          <w:trHeight w:val="19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Rate</w:t>
            </w: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2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2.15% to 5.15%</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2.15% to 5.15%</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Stock-based Compensation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restricted stock units (“RSUs”) to certain employees and non-employee directors that have a service-based vesting condition. In addition, we have granted performance stock units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three and six months ended June 30, 2024, zero and 0.3 million RSUs and zero and 0.3 million PSUs were granted, respectively.</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were stock-based compensation awards representing 1.4 million shares outstanding compared to 0.8 million shares outstanding as of December 31, 2023. Stock-based compensation expense was $5 million and $9 million for the three and six months ended June 30, 2024, respectively, compared to $3 million and $6 million in the comparable prior year periods.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relating to employment matters, consumer complaints, advertising/labelling claims,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June 30, 2024,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w:t>
            </w: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r>
      <w:tr>
        <w:trPr>
          <w:trHeight w:val="37"/>
        </w:trPr>
        <w:tc>
          <w:tcPr>
            <w:tcW w:w="50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240" w:type="dxa"/>
            <w:vAlign w:val="bottom"/>
          </w:tcPr>
          <w:p>
            <w:pPr>
              <w:spacing w:after="0"/>
              <w:rPr>
                <w:sz w:val="21"/>
                <w:szCs w:val="21"/>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24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we recorded income tax expense of $18 million on income before income taxes of $115 million, or an effective tax rate of 16.0%, compared to income tax expense of $23 million on income before income taxes of $89 million, or an effective tax rate of 25.4%, for the three months ended June 30,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we recorded income tax expense of $35 million on income before income taxes of $180 million, or an effective tax rate of 19.2%, compared to income tax expense of $28 million on income before income taxes of $111 million, or an effective tax rate of 25.3% for the six months ended June 30, 2023.</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our income tax expense included a discrete tax benefit for the remeasurement of deferred tax liabilities due to a change in our state tax rates after apportionment.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10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allocate resources and analyze the performance of our reportable segments.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may be further adjusted to exclude certain non-recurring costs, if applicable.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between segments are at negotiated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5"/>
                <w:szCs w:val="15"/>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5"/>
              </w:rPr>
              <w:t>(2)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5"/>
              </w:rPr>
              <w:t>(5)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5"/>
              </w:rPr>
              <w:t>(7)</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448"/>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24"/>
                <w:szCs w:val="24"/>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5"/>
              </w:rPr>
              <w:t>(3)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5"/>
              </w:rPr>
              <w:t>(3)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5"/>
              </w:rPr>
              <w:t>(6)</w:t>
            </w: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529"/>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19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0" w:type="dxa"/>
            <w:vAlign w:val="bottom"/>
          </w:tcPr>
          <w:p>
            <w:pPr>
              <w:spacing w:after="0"/>
              <w:rPr>
                <w:sz w:val="1"/>
                <w:szCs w:val="1"/>
                <w:color w:val="auto"/>
              </w:rPr>
            </w:pPr>
          </w:p>
        </w:tc>
      </w:tr>
      <w:tr>
        <w:trPr>
          <w:trHeight w:val="43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Segment assets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280" w:type="dxa"/>
            <w:vAlign w:val="bottom"/>
          </w:tcPr>
          <w:p>
            <w:pPr>
              <w:spacing w:after="0"/>
              <w:rPr>
                <w:sz w:val="14"/>
                <w:szCs w:val="14"/>
                <w:color w:val="auto"/>
              </w:rPr>
            </w:pPr>
          </w:p>
        </w:tc>
        <w:tc>
          <w:tcPr>
            <w:tcW w:w="88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240" w:type="dxa"/>
            <w:vAlign w:val="bottom"/>
          </w:tcPr>
          <w:p>
            <w:pPr>
              <w:spacing w:after="0"/>
              <w:rPr>
                <w:sz w:val="14"/>
                <w:szCs w:val="14"/>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60" w:type="dxa"/>
            <w:vAlign w:val="bottom"/>
          </w:tcPr>
          <w:p>
            <w:pPr>
              <w:spacing w:after="0"/>
              <w:rPr>
                <w:sz w:val="14"/>
                <w:szCs w:val="14"/>
                <w:color w:val="auto"/>
              </w:rPr>
            </w:pPr>
          </w:p>
        </w:tc>
        <w:tc>
          <w:tcPr>
            <w:tcW w:w="9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260" w:type="dxa"/>
            <w:vAlign w:val="bottom"/>
          </w:tcPr>
          <w:p>
            <w:pPr>
              <w:spacing w:after="0"/>
              <w:rPr>
                <w:sz w:val="14"/>
                <w:szCs w:val="14"/>
                <w:color w:val="auto"/>
              </w:rPr>
            </w:pPr>
          </w:p>
        </w:tc>
        <w:tc>
          <w:tcPr>
            <w:tcW w:w="8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41"/>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6"/>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7"/>
        </w:trPr>
        <w:tc>
          <w:tcPr>
            <w:tcW w:w="3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1,334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3,531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4,865</w:t>
            </w: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6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1,278</w:t>
            </w:r>
          </w:p>
        </w:tc>
        <w:tc>
          <w:tcPr>
            <w:tcW w:w="2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3,502</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r>
    </w:tbl>
    <w:p>
      <w:pPr>
        <w:spacing w:after="0" w:line="333" w:lineRule="exact"/>
        <w:rPr>
          <w:sz w:val="20"/>
          <w:szCs w:val="20"/>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right-of-use assets, goodwill, intangible assets, related party receivables and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GAAP income before income taxes: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20" w:type="dxa"/>
            <w:vAlign w:val="bottom"/>
            <w:gridSpan w:val="8"/>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16"/>
                <w:szCs w:val="16"/>
                <w:color w:val="auto"/>
              </w:rPr>
            </w:pPr>
          </w:p>
        </w:tc>
        <w:tc>
          <w:tcPr>
            <w:tcW w:w="3000" w:type="dxa"/>
            <w:vAlign w:val="bottom"/>
            <w:gridSpan w:val="4"/>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2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2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5"/>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6"/>
                <w:szCs w:val="16"/>
                <w:color w:val="auto"/>
              </w:rPr>
            </w:pPr>
          </w:p>
        </w:tc>
      </w:tr>
      <w:tr>
        <w:trPr>
          <w:trHeight w:val="37"/>
        </w:trPr>
        <w:tc>
          <w:tcPr>
            <w:tcW w:w="4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center"/>
              <w:ind w:left="716"/>
              <w:spacing w:after="0"/>
              <w:rPr>
                <w:sz w:val="20"/>
                <w:szCs w:val="20"/>
                <w:color w:val="auto"/>
              </w:rPr>
            </w:pPr>
            <w:r>
              <w:rPr>
                <w:rFonts w:ascii="Times New Roman" w:cs="Times New Roman" w:eastAsia="Times New Roman" w:hAnsi="Times New Roman"/>
                <w:sz w:val="18"/>
                <w:szCs w:val="18"/>
                <w:color w:val="auto"/>
                <w:w w:val="99"/>
              </w:rPr>
              <w:t>(29)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taxes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(30)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center"/>
              <w:ind w:left="716"/>
              <w:spacing w:after="0"/>
              <w:rPr>
                <w:sz w:val="20"/>
                <w:szCs w:val="20"/>
                <w:color w:val="auto"/>
              </w:rPr>
            </w:pPr>
            <w:r>
              <w:rPr>
                <w:rFonts w:ascii="Times New Roman" w:cs="Times New Roman" w:eastAsia="Times New Roman" w:hAnsi="Times New Roman"/>
                <w:sz w:val="18"/>
                <w:szCs w:val="18"/>
                <w:color w:val="auto"/>
                <w:w w:val="99"/>
              </w:rPr>
              <w:t>(25)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(31)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42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r>
      <w:tr>
        <w:trPr>
          <w:trHeight w:val="453"/>
        </w:trPr>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63"/>
        </w:trPr>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gridSpan w:val="8"/>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80" w:type="dxa"/>
            <w:vAlign w:val="bottom"/>
          </w:tcPr>
          <w:p>
            <w:pPr>
              <w:spacing w:after="0"/>
              <w:rPr>
                <w:sz w:val="24"/>
                <w:szCs w:val="24"/>
                <w:color w:val="auto"/>
              </w:rPr>
            </w:pPr>
          </w:p>
        </w:tc>
        <w:tc>
          <w:tcPr>
            <w:tcW w:w="3000" w:type="dxa"/>
            <w:vAlign w:val="bottom"/>
            <w:gridSpan w:val="4"/>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4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5"/>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4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5"/>
          </w:tcPr>
          <w:p>
            <w:pPr>
              <w:jc w:val="center"/>
              <w:ind w:left="6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center"/>
              <w:ind w:left="65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6"/>
                <w:szCs w:val="16"/>
                <w:color w:val="auto"/>
              </w:rPr>
            </w:pPr>
          </w:p>
        </w:tc>
      </w:tr>
      <w:tr>
        <w:trPr>
          <w:trHeight w:val="37"/>
        </w:trPr>
        <w:tc>
          <w:tcPr>
            <w:tcW w:w="42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Waste and storage products </w:t>
            </w:r>
            <w:r>
              <w:rPr>
                <w:rFonts w:ascii="Times New Roman" w:cs="Times New Roman" w:eastAsia="Times New Roman" w:hAnsi="Times New Roman"/>
                <w:sz w:val="23"/>
                <w:szCs w:val="23"/>
                <w:color w:val="auto"/>
                <w:vertAlign w:val="superscript"/>
              </w:rPr>
              <w:t>(1)</w:t>
            </w: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6"/>
              </w:rPr>
              <w:t>388</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center"/>
              <w:ind w:left="716"/>
              <w:spacing w:after="0"/>
              <w:rPr>
                <w:sz w:val="20"/>
                <w:szCs w:val="20"/>
                <w:color w:val="auto"/>
              </w:rPr>
            </w:pPr>
            <w:r>
              <w:rPr>
                <w:rFonts w:ascii="Times New Roman" w:cs="Times New Roman" w:eastAsia="Times New Roman" w:hAnsi="Times New Roman"/>
                <w:sz w:val="18"/>
                <w:szCs w:val="18"/>
                <w:color w:val="auto"/>
                <w:w w:val="96"/>
              </w:rPr>
              <w:t>304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7"/>
        </w:trPr>
        <w:tc>
          <w:tcPr>
            <w:tcW w:w="42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color w:val="auto"/>
                <w:w w:val="96"/>
              </w:rPr>
              <w:t>245</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4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6"/>
              </w:rPr>
              <w:t>930</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940</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Waste and storage products are comprised of our Hefty Waste &amp; Storage and Presto Products segments.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owns the majority of the outstanding common stock of Pactiv Evergreen Inc. and its subsidiaries (“PEI Group”). We sell and purchase various goods and services with PEI Group under contractual arrangements that expire over a variety of periods through December 31, 2027. During the year ended December 31, 2023 and the six months ended June 30, 2024, we amended these contractual arrangements with PEI Group, which, among other things, extended the expiration date for certain arrangements. Transactions between us and PEI Group are described below.</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each of the three and six months ended June 30, 2024, revenues from products sold to PEI Group were $16 million and $38 million, respectively, compared to $18 million and $40 million in the comparable prior year periods. For the three and six months ended June 30, 2024, products purchased from PEI Group were $83 million and $163 million, respectively, compared to $93 million and $199 million in the comparable prior year periods. For the three and six months ended June 30, 2024, PEI Group charged us freight and warehousing costs of $7 million and $15 million, respectively, compared to $9 million and $18 million in the comparable prior year periods, which were included in cost of sales. The resulting related party receivables and payables are settled regularly in the normal course of business.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$36 million of the dividends paid during each of the three months ended June 30, 2024 and June 30, 2023, and $72 million of the dividends paid during each of the six months ended June 30, 2024 and June 30, 2023, were paid to PFL.</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25, 2024, our Board of Directors approved a cash dividend of $0.23 per common share to be paid on August 30, 2024 to shareholders of record on August 16,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June 30, 2024, we made a voluntary principal payment of $50 million related to our Term Loan Facility.</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June 30, 2024 which would require accrual or disclosure in these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condensed consolidated financial statements and the accompanying notes included elsewhere in this Quarterly Report on Form 10-Q and our consolidated financial statements and the accompanying notes contained in our Annual Report on Form 10-K for the year ended December 31,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across three broad categories: cooking products, waste and storage products and tableware.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65%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660" w:hanging="328"/>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and has been the top trusted brand in the consumer foil market for over 75 years, with greater than 50% market share in most of its categories.</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We have the #1 branded market share in the U.S. large black trash bag and slider bag segments, and the #2 branded market share in the tall kitchen trash bag segment. Our robust product portfolio in this segment includes a full suite of products, including sustainable solutions such as blue and clear recycling bags, compostable bags, bags made from recycled materials and orange bags through the Hefty ReNew</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Program.</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cups and cutlery. Our Hefty branded products include dishes and party cups. Hefty branded party cups are the #1 party cup in America measured by market share. Our branded products use our Hefty brand to represent both quality and great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 w:name="page19"/>
    <w:bookmarkEnd w:id="18"/>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net revenues decreased 1% in the three months ended June 30, 2024 compared to the same period in 2023. The revenue decrease was due to lower volume in our non-retail business. Our retail net revenue grew by $6 million, in contrast to a $16 million decline in our lower-margin non-retail net revenue.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revenues decreased 3% in the six months ended June 30, 2024 compared to the same period in 2023. The revenue decrease was primarily due to lower volume, 2% of which was in our lower-margin non-retail business and 1% of which was in our retail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our net income increased by 47%, driven by lower material and manufacturing costs, as well as a reduction in interest expense as a result of a lower outstanding principal balance due to repayments made on our term loan facility and lower income tax expense primarily due to a discrete tax benefit in the quarter. These were partially offset by higher selling, general and administrative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our net income increased by 75%, primarily driven by declines in material and manufacturing costs, as well as a reduction in interest expense as a result of a lower outstanding principal balance due to repayments made on our term loan facility. These were partially offset by higher selling, general and administrative expenses.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we use the non-GAAP financial measure “Adjusted EBITDA”, which is a non- GAAP measure.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as may be further adjusted to exclude certain non-recurring items, if applicable.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Accordingly, we believe presenting this measure provides useful information to investors and others in understanding and evaluating our operating results in the same manner as our management team and board of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ectPr>
          <w:pgSz w:w="11900" w:h="16838" w:orient="portrait"/>
          <w:cols w:equalWidth="0" w:num="1">
            <w:col w:w="11240"/>
          </w:cols>
          <w:pgMar w:left="320" w:top="1440" w:right="339" w:bottom="1440" w:gutter="0" w:footer="0" w:header="0"/>
        </w:sectPr>
      </w:pP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41910</wp:posOffset>
            </wp:positionV>
            <wp:extent cx="19284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62" w:lineRule="exact"/>
        <w:rPr>
          <w:sz w:val="20"/>
          <w:szCs w:val="20"/>
          <w:color w:val="auto"/>
        </w:rPr>
      </w:pPr>
    </w:p>
    <w:p>
      <w:pPr>
        <w:ind w:left="564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41910</wp:posOffset>
            </wp:positionV>
            <wp:extent cx="19284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41910</wp:posOffset>
            </wp:positionV>
            <wp:extent cx="19373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62"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41910</wp:posOffset>
            </wp:positionV>
            <wp:extent cx="19373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6" w:lineRule="exact"/>
        <w:rPr>
          <w:sz w:val="20"/>
          <w:szCs w:val="20"/>
          <w:color w:val="auto"/>
        </w:rPr>
      </w:pPr>
    </w:p>
    <w:p>
      <w:pPr>
        <w:sectPr>
          <w:pgSz w:w="11900" w:h="16838" w:orient="portrait"/>
          <w:cols w:equalWidth="0" w:num="2">
            <w:col w:w="8060" w:space="720"/>
            <w:col w:w="24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5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50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r>
      <w:tr>
        <w:trPr>
          <w:trHeight w:val="27"/>
        </w:trPr>
        <w:tc>
          <w:tcPr>
            <w:tcW w:w="506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3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and non-retail businesses.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are classified as related party revenues, and industrial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75" w:lineRule="exact"/>
        <w:rPr>
          <w:sz w:val="20"/>
          <w:szCs w:val="20"/>
          <w:color w:val="auto"/>
        </w:rPr>
      </w:pPr>
    </w:p>
    <w:p>
      <w:pPr>
        <w:ind w:left="40"/>
        <w:spacing w:after="0" w:line="281" w:lineRule="auto"/>
        <w:rPr>
          <w:sz w:val="20"/>
          <w:szCs w:val="20"/>
          <w:color w:val="auto"/>
        </w:rPr>
      </w:pPr>
      <w:r>
        <w:rPr>
          <w:rFonts w:ascii="Times New Roman" w:cs="Times New Roman" w:eastAsia="Times New Roman" w:hAnsi="Times New Roman"/>
          <w:sz w:val="18"/>
          <w:szCs w:val="18"/>
          <w:color w:val="auto"/>
        </w:rPr>
        <w:t>Net revenues for the three months ended June 30:</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32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40" w:type="dxa"/>
            <w:vAlign w:val="bottom"/>
            <w:vMerge w:val="restart"/>
          </w:tcPr>
          <w:p>
            <w:pPr>
              <w:ind w:left="20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00" w:type="dxa"/>
            <w:vAlign w:val="bottom"/>
            <w:vMerge w:val="restart"/>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27"/>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80" w:type="dxa"/>
            <w:vAlign w:val="bottom"/>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-2119630</wp:posOffset>
            </wp:positionH>
            <wp:positionV relativeFrom="paragraph">
              <wp:posOffset>-7620</wp:posOffset>
            </wp:positionV>
            <wp:extent cx="7115175"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-144780</wp:posOffset>
            </wp:positionV>
            <wp:extent cx="97155" cy="74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480" w:lineRule="exact"/>
        <w:rPr>
          <w:sz w:val="20"/>
          <w:szCs w:val="20"/>
          <w:color w:val="auto"/>
        </w:rPr>
      </w:pPr>
    </w:p>
    <w:p>
      <w:pPr>
        <w:sectPr>
          <w:pgSz w:w="11900" w:h="16838" w:orient="portrait"/>
          <w:cols w:equalWidth="0" w:num="2">
            <w:col w:w="3340" w:space="20"/>
            <w:col w:w="7880"/>
          </w:cols>
          <w:pgMar w:left="320" w:top="1440" w:right="339" w:bottom="1440" w:gutter="0" w:footer="0" w:header="0"/>
          <w:type w:val="continuous"/>
        </w:sectPr>
      </w:pPr>
    </w:p>
    <w:tbl>
      <w:tblPr>
        <w:tblLayout w:type="fixed"/>
        <w:tblInd w:w="20" w:type="dxa"/>
        <w:tblCellMar>
          <w:top w:w="0" w:type="dxa"/>
          <w:left w:w="0" w:type="dxa"/>
          <w:bottom w:w="0" w:type="dxa"/>
          <w:right w:w="0" w:type="dxa"/>
        </w:tblCellMar>
      </w:tblPr>
      <w:tr>
        <w:trPr>
          <w:trHeight w:val="234"/>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5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5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5"/>
        </w:trPr>
        <w:tc>
          <w:tcPr>
            <w:tcW w:w="3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three months</w:t>
            </w: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June 30:</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31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5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346" w:lineRule="exact"/>
        <w:rPr>
          <w:sz w:val="20"/>
          <w:szCs w:val="20"/>
          <w:color w:val="auto"/>
        </w:rPr>
      </w:pPr>
    </w:p>
    <w:p>
      <w:pPr>
        <w:ind w:left="340" w:hanging="332"/>
        <w:spacing w:after="0" w:line="261"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4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with the Three Months Ended June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568"/>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64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7"/>
                <w:szCs w:val="17"/>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126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Pr>
          <w:p>
            <w:pPr>
              <w:spacing w:after="0"/>
              <w:rPr>
                <w:sz w:val="17"/>
                <w:szCs w:val="17"/>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98 %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930</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100 %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940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(72)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256</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28 %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228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1"/>
                <w:szCs w:val="21"/>
                <w:color w:val="auto"/>
              </w:rPr>
            </w:pP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(12) %</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140</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15 %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120</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29 %</w:t>
            </w:r>
          </w:p>
        </w:tc>
        <w:tc>
          <w:tcPr>
            <w:tcW w:w="0" w:type="dxa"/>
            <w:vAlign w:val="bottom"/>
          </w:tcPr>
          <w:p>
            <w:pPr>
              <w:spacing w:after="0" w:line="20" w:lineRule="exact"/>
              <w:rPr>
                <w:sz w:val="1"/>
                <w:szCs w:val="1"/>
                <w:color w:val="auto"/>
              </w:rPr>
            </w:pPr>
          </w:p>
        </w:tc>
      </w:tr>
      <w:tr>
        <w:trPr>
          <w:trHeight w:val="236"/>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115</w:t>
            </w:r>
          </w:p>
        </w:tc>
        <w:tc>
          <w:tcPr>
            <w:tcW w:w="1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12 %</w:t>
            </w:r>
          </w:p>
        </w:tc>
        <w:tc>
          <w:tcPr>
            <w:tcW w:w="22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89</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97</w:t>
            </w:r>
          </w:p>
        </w:tc>
        <w:tc>
          <w:tcPr>
            <w:tcW w:w="140" w:type="dxa"/>
            <w:vAlign w:val="bottom"/>
          </w:tcPr>
          <w:p>
            <w:pPr>
              <w:spacing w:after="0"/>
              <w:rPr>
                <w:sz w:val="22"/>
                <w:szCs w:val="22"/>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10 %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66</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47 %</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172</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18 %</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150</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15 %</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3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Three Months Ended June 30, 2024 vs. the Three Months Ended June 30, 2023</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86"/>
        </w:trPr>
        <w:tc>
          <w:tcPr>
            <w:tcW w:w="4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r>
      <w:tr>
        <w:trPr>
          <w:trHeight w:val="27"/>
        </w:trPr>
        <w:tc>
          <w:tcPr>
            <w:tcW w:w="4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r>
      <w:tr>
        <w:trPr>
          <w:trHeight w:val="24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r>
      <w:tr>
        <w:trPr>
          <w:trHeight w:val="27"/>
        </w:trPr>
        <w:tc>
          <w:tcPr>
            <w:tcW w:w="4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27"/>
        </w:trPr>
        <w:tc>
          <w:tcPr>
            <w:tcW w:w="4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decreased by $10 million, or 1%, to $930 million. The decrease was driven by lower volume in our non-retail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retail net revenue increased by $6 million, in contrast to a $16 million decline in our lower-margin non-retail net revenue.</w:t>
      </w:r>
    </w:p>
    <w:p>
      <w:pPr>
        <w:spacing w:after="0" w:line="2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by $38 million, or 5%, to $674 million. The decrease was primarily driven by lower material and manufacturing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lower volume.</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$9 million, or 8%, to $116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personnel and advertising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zero in the three months ended June 30, 2024 compared to $1 million in the three months ended June 30, 2023.</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$6 million, or 19%, to $25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as a result of voluntary principal payments made on our term loan facility.</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declined by 9.4%, from 25.4% for the three months ended June 30, 2023 to 16.0%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The decrease was primarily due to the recognition of a discrete tax benefit for the remeasurement of deferred tax liabilities.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increased by $22 million, or 15%, to $172 million. The increase in Adjusted EBITDA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and manufacturing costs, partially offset by higher selling, general and administrative expenses.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2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18 %</w:t>
            </w:r>
          </w:p>
        </w:tc>
        <w:tc>
          <w:tcPr>
            <w:tcW w:w="2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$17 million, or 5%, to $304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primarily due to a $16 million decline in our non-retail business.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$16 million, or 40%, to $56 million. The increase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material and manufacturing costs.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4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$9 million, or 4%, to $238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pricing due to timing of promotional spend and increased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$7 million, or 11%, to $69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lower material and manufacturing costs and the benefit from increased revenue, partially offset by higher advertising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$6 million, or 2%, to $245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pricing and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$6 million, or 13%, to $39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higher material and manufacturing costs and the impact of lower revenue.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6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$5 million, or 3%, to $150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volume and higher pricing associated with the contractual pass through of commodity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$9 million, or 32%, to $37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lower material and manufacturing costs and the benefit from increased revenue.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Six Months Ended June 30,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included elsewhere in this Quarterly Report on Form 10-Q. Detailed comparisons of revenue and results are presented in the discussions of the operating segments, which follow our consolidated results discussion.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8"/>
                <w:szCs w:val="18"/>
                <w:b w:val="1"/>
                <w:bCs w:val="1"/>
                <w:color w:val="auto"/>
                <w:vertAlign w:val="superscript"/>
              </w:rPr>
              <w:t>1</w:t>
            </w:r>
            <w:r>
              <w:rPr>
                <w:rFonts w:ascii="MS PGothic" w:cs="MS PGothic" w:eastAsia="MS PGothic" w:hAnsi="MS PGothic"/>
                <w:sz w:val="14"/>
                <w:szCs w:val="14"/>
                <w:color w:val="auto"/>
              </w:rPr>
              <w:t>⁾</w:t>
            </w:r>
          </w:p>
        </w:tc>
        <w:tc>
          <w:tcPr>
            <w:tcW w:w="140" w:type="dxa"/>
            <w:vAlign w:val="bottom"/>
          </w:tcPr>
          <w:p>
            <w:pPr>
              <w:spacing w:after="0"/>
              <w:rPr>
                <w:sz w:val="14"/>
                <w:szCs w:val="14"/>
                <w:color w:val="auto"/>
              </w:rPr>
            </w:pPr>
          </w:p>
        </w:tc>
        <w:tc>
          <w:tcPr>
            <w:tcW w:w="8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27"/>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30"/>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for the six months ended June 30: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70"/>
        </w:trPr>
        <w:tc>
          <w:tcPr>
            <w:tcW w:w="472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 the six months ended June 30:</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jc w:val="right"/>
              <w:ind w:right="4033"/>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4720" w:type="dxa"/>
            <w:vAlign w:val="bottom"/>
          </w:tcPr>
          <w:p>
            <w:pPr>
              <w:jc w:val="right"/>
              <w:ind w:right="4033"/>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-1147445</wp:posOffset>
            </wp:positionV>
            <wp:extent cx="97155" cy="74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7155" cy="7493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40" w:hanging="332"/>
        <w:spacing w:after="0" w:line="261"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24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with the Six Months Ended June 30,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56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640"/>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20" w:type="dxa"/>
            <w:vAlign w:val="bottom"/>
          </w:tcPr>
          <w:p>
            <w:pPr>
              <w:spacing w:after="0"/>
              <w:rPr>
                <w:sz w:val="17"/>
                <w:szCs w:val="17"/>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98 %</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19 %</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62 %</w:t>
            </w:r>
          </w:p>
        </w:tc>
        <w:tc>
          <w:tcPr>
            <w:tcW w:w="0" w:type="dxa"/>
            <w:vAlign w:val="bottom"/>
          </w:tcPr>
          <w:p>
            <w:pPr>
              <w:spacing w:after="0" w:line="20" w:lineRule="exact"/>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6 %</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4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60" w:type="dxa"/>
            <w:vAlign w:val="bottom"/>
            <w:vMerge w:val="continue"/>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14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60" w:type="dxa"/>
            <w:vAlign w:val="bottom"/>
          </w:tcPr>
          <w:p>
            <w:pPr>
              <w:spacing w:after="0"/>
              <w:rPr>
                <w:sz w:val="22"/>
                <w:szCs w:val="22"/>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75 %</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¹</w:t>
            </w:r>
            <w:r>
              <w:rPr>
                <w:rFonts w:ascii="MS PGothic" w:cs="MS PGothic" w:eastAsia="MS PGothic" w:hAnsi="MS PGothic"/>
                <w:sz w:val="18"/>
                <w:szCs w:val="18"/>
                <w:color w:val="auto"/>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17 %</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w:t>
            </w:r>
          </w:p>
        </w:tc>
        <w:tc>
          <w:tcPr>
            <w:tcW w:w="1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27 %</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-179705</wp:posOffset>
            </wp:positionV>
            <wp:extent cx="106045" cy="86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change is not meaningful.</w:t>
      </w:r>
    </w:p>
    <w:p>
      <w:pPr>
        <w:spacing w:after="0" w:line="36"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Six Months Ended June 30, 2024 vs. the Six Months Ended June 30, 2023</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186"/>
        </w:trPr>
        <w:tc>
          <w:tcPr>
            <w:tcW w:w="4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7"/>
        </w:trPr>
        <w:tc>
          <w:tcPr>
            <w:tcW w:w="412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r>
      <w:tr>
        <w:trPr>
          <w:trHeight w:val="27"/>
        </w:trPr>
        <w:tc>
          <w:tcPr>
            <w:tcW w:w="4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r>
      <w:tr>
        <w:trPr>
          <w:trHeight w:val="27"/>
        </w:trPr>
        <w:tc>
          <w:tcPr>
            <w:tcW w:w="4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 %</w:t>
            </w:r>
          </w:p>
        </w:tc>
      </w:tr>
      <w:tr>
        <w:trPr>
          <w:trHeight w:val="27"/>
        </w:trPr>
        <w:tc>
          <w:tcPr>
            <w:tcW w:w="4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34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decreased by $50 million, or 3%, to $1,764 million. The decrease was driven by a $35 million decline in our lower-margin non-retail net revenue as well as a $15 million decline in our retail net revenue.</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by $124 million, or 9%, to $1,306 million. The decrease was driven by lower material and manufacturing costs,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lower volume.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by $15 million, or 7%, to $227 million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personnel and advertising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zero in the six months ended June 30, 2024 compared to $1 million in the six months ended June 30, 2023.</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$9 million, or 15%, to $51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as a result of voluntary principal payments made on our term loan facility.</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declined by 6.1%, from 25.3% for the six months ended June 30, 2023 to 19.2%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The decrease was primarily due to the recognition of a discrete tax benefit for the remeasurement of deferred tax liabilities.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increased by $62 million, or 27%, to $294 million. The increase in Adjusted EBITDA was primarily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material and manufacturing costs, partially offset by higher selling, general and administrative expenses.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2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w:t>
            </w:r>
          </w:p>
        </w:tc>
        <w:tc>
          <w:tcPr>
            <w:tcW w:w="3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16 %</w:t>
            </w:r>
          </w:p>
        </w:tc>
        <w:tc>
          <w:tcPr>
            <w:tcW w:w="3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$36 million, or 6%, to $568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primarily due to a $35 million decline in our lower-margin non-retail net revenues driven by lower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$46 million, or 107%, to $89 million. The increase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material and manufacturing costs.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4" w:name="page25"/>
    <w:bookmarkEnd w:id="2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$5 million, or 1%, to $468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pricing due to timing of promotional spend.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$17 million, or 15%, to $134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lower material and manufacturing costs and the benefit of higher revenue, partially offset by higher advertising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36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$25 million, or 5%, to $450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volume and lower pricing.</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$6 million, or 8%, to $70 million. The decrease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impact of lower revenue, partially offset by lower material and manufacturing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7"/>
        </w:trPr>
        <w:tc>
          <w:tcPr>
            <w:tcW w:w="42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$5 million, or 2%, to $293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volume and higher pricing associated with the contractual pass through of commodity costs.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$19 million, or 40%, to $66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lower material and manufacturing costs and the benefit of increased revenue.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periods presented:</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37"/>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0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Net cash from operating activities decreased by $24 million to $183 million in the six months ended June 30, 2024. </w:t>
      </w:r>
      <w:r>
        <w:rPr>
          <w:rFonts w:ascii="Times New Roman" w:cs="Times New Roman" w:eastAsia="Times New Roman" w:hAnsi="Times New Roman"/>
          <w:sz w:val="18"/>
          <w:szCs w:val="18"/>
          <w:color w:val="212529"/>
        </w:rPr>
        <w:t>The decrease was primarily driven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higher net investment in inventory during the current period and higher income tax payments due to higher taxable income, partially offset by higher net income and higher accounts payable due to working capital initiatives.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decreased by $3 million to $48 million. The decrease was driven by a decrease in cash outlays for capital expenditures.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by $38 million to $149 million. The increase was primarily attributable to a voluntary principal payment of $50 million related to our Term Loan Facility made during the second quarter of 2024, compared to the scheduled amortization payments in the same prior year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2020, we entered into the External Debt Facilities which consist of a $2,475 million Term Loan Facility and a Revolving Facility that provides for additional borrowing capacity of up to $250 million, reduced by amounts used for letters of credit. In February 2023, we amended the External Debt Facilities (“Amendment No.1”) which replaced the interest rate benchmark from LIBOR to the SOFR. Additionally, in November 2023, we further amended the External Debt Facilities (“Amendment No. 2”) to extend the maturity of the Revolving Facility by one year. Other than the foregoing, the material terms of the agreement remained unchanged.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outstanding balance under the Term Loan Facility was $1,795 million. As of June 30, 2024, we had no outstanding borrowings under the Revolving Facility, and we had $6 million of letters of credit outstanding, which reduces the borrowing capacity under the Revolving Facility.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Amended External Debt Facilities is Reynolds Consumer Products LLC (the “Borrower”). The Revolving Facility includes a sub-facility for letters of credit. In addition, the Amended External Debt Facilities provide that the Borrower has the right at any time, subject to customary conditions, to request incremental term loans or incremental revolving credit commitments in amounts and on terms set forth therein. The lenders under the Amended External Debt Facilities are not under any obligation to provide any such incremental loans or commitments, and any such addition of or increase in loans is subject to certain customary conditions precedent and other provisions.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SOFR plus an applicable margin of 1.75%.</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In February 2023, we amended our interest rate swaps to replace the interest rate benchmark from LIBOR to SOFR. Other than the foregoing, the material terms of the interest rate swap agreements remained unchanged, and our election to use practical expedients under ASUs 2020-04 and 2021-01 resulted in no material impacts on the condensed consolidated financial statements. The aggregate notional amount of the interest rate swaps still in effect as of June 30, 2024 was $1,150 million, and the SOFR is fixed at an annual rate of 0.40% to 3.40% (for an annual effective interest rate of 2.15% to 5.15%, including margin). These interest rate swaps hedge a portion of the interest rate exposure resulting from our Term Loan Facility for periods ranging from one to two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we made a voluntary principal payment of $50 million related to our Term Loan Facility, which was applied to the outstanding principal balance due at maturity. Subsequent to June 30, 2024, we made an additional voluntary principal payment of $50 million related to the Term Loan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matures in February 2027. The Term Loan Facility amortizes in equal quarterly installments of $6 million, which commenced in June 2020, with the balance payable on maturity. During the year ended December 31, 2023, we made voluntary principal payments of $250 million related to our Term Loan Facility, which were first applied to pay the remaining quarterly amortization payments in full, with the residual balance applied to the outstanding principal balance due at maturity.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the Revolving Facility matures in February 2026.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Amended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Amended External Debt Facilities.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We are party to a factoring agreement with JP Morgan Chase Bank, N.A. to sell certain accounts receivable up to $95 million. We had no outstanding balance owed under the factoring arrangement as of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12529"/>
        </w:rPr>
        <w:t>. Transactions under this agreement are accounted for as sales of accounts receivable, and the receivables sold are removed from the condensed consolidated balance sheet at the time of the sales transaction. We classify the proceeds received from the sales of accounts receivable as an operating cash flow in the condensed consolidated statement of cash flows. We record the discount as other expense, net in the condensed consolidated statement of income.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Supply Chain Financing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In March 2023, we initiated a voluntary Supply Chain Finance program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SCF</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with a global financial institution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SCF Bank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The terms of our payment obligations are not impacted by a supplier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participation in the SCF and as such, the SCF has no direct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All outstanding amounts related to suppliers participating in the SCF are recorded within accounts payable in our condensed consolidated balance sheet and associated payments are included as an operating cash flow in the condensed consolidated statement of cash flows. As of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12529"/>
        </w:rPr>
        <w:t>, the amount of obligations outstanding that we have confirmed as valid under the SCF was $9 million. As of December 31</w:t>
      </w:r>
      <w:r>
        <w:rPr>
          <w:rFonts w:ascii="Times New Roman" w:cs="Times New Roman" w:eastAsia="Times New Roman" w:hAnsi="Times New Roman"/>
          <w:sz w:val="18"/>
          <w:szCs w:val="18"/>
          <w:color w:val="000000"/>
        </w:rPr>
        <w:t>, 2023</w:t>
      </w:r>
      <w:r>
        <w:rPr>
          <w:rFonts w:ascii="Times New Roman" w:cs="Times New Roman" w:eastAsia="Times New Roman" w:hAnsi="Times New Roman"/>
          <w:sz w:val="18"/>
          <w:szCs w:val="18"/>
          <w:color w:val="212529"/>
        </w:rPr>
        <w:t>, the amount of obligations outstanding that we had confirmed as valid under the SCF was $19 million.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2024, cash dividends of $0.23 and $0.46 per share, respectively, were declared and paid. On July 25, 2024, a quarterly cash dividend of $0.23 per share was declared and is to be paid on August 30, 2024. We expect to continue paying cash dividends on a quarterly basis; however, future dividends are at the discretion of our Board of Directors and will depend upon our earnings, capital requirements, financial condition, contractual limitations (including under the Amended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in our Annual Report on Form 10-K for the fiscal year ended December 31, 2023.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our Annual Report on Form 10-K for the fiscal year ended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“Item 7A: Quantitative and Qualitative Disclosures About Market Risk” of our Annual Report on Form 10-K for the fiscal year ended December 31, 2023. During the six months ended June 30, 2024, there have been no material changes in our exposure to market risk.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are designed to ensure that information required to be disclosed in reports filed or submitted under the Exchange Act is recorded, processed, summarized, and reported within the time periods specified in the SEC rules and forms, and that such information is accumulated and communicated to management, including our Chief Executive Officer and Chief Financial Officer, to allow timely decisions regarding required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management, under the supervision and with the participation of the Chief Executive Officer and Chief Financial Officer, conducted an evaluation of the effectiveness of the design and operation of our disclosure controls and procedures as of June 30, 2024. Based on that evaluation, our Chief Executive Officer and Chief Financial Officer have concluded that, as of June 30, 2024, our disclosure controls and procedures were effective.</w:t>
      </w:r>
    </w:p>
    <w:p>
      <w:pPr>
        <w:spacing w:after="0" w:line="180" w:lineRule="exact"/>
        <w:rPr>
          <w:sz w:val="20"/>
          <w:szCs w:val="20"/>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to be set forth under this heading is incorporated by reference from Note 7 - Commitments and Contingencies, to the condensed consolidated financial statements included in Part I, Item 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disclosed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40" w:type="dxa"/>
            <w:vAlign w:val="bottom"/>
            <w:gridSpan w:val="15"/>
          </w:tcPr>
          <w:p>
            <w:pPr>
              <w:ind w:left="980"/>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48"/>
        </w:trPr>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60" w:type="dxa"/>
            <w:vAlign w:val="bottom"/>
            <w:gridSpan w:val="13"/>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4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Amended and Restated Certificate of Incorporation (incorporated herein by reference to Exhibit 3.1 to the Company’s Current Report</w:t>
              </w:r>
            </w:hyperlink>
          </w:p>
        </w:tc>
        <w:tc>
          <w:tcPr>
            <w:tcW w:w="14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on Form 8-K filed with the SEC on February 4, 2020)</w:t>
              </w:r>
            </w:hyperlink>
          </w:p>
        </w:tc>
        <w:tc>
          <w:tcPr>
            <w:tcW w:w="5880" w:type="dxa"/>
            <w:vAlign w:val="bottom"/>
            <w:gridSpan w:val="14"/>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Certificate of Amendment to Amended and Restated Certificate of Incorporation of Reynolds Consumer Products Inc. (incorporated</w:t>
              </w:r>
            </w:hyperlink>
          </w:p>
        </w:tc>
        <w:tc>
          <w:tcPr>
            <w:tcW w:w="240" w:type="dxa"/>
            <w:vAlign w:val="bottom"/>
            <w:gridSpan w:val="8"/>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8"/>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herein by reference to Exhibit 3.1 to the Company's Current Report on Form 8-K filed with the SEC on April 25, 2024)</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Amended and Restated Certificate of Incorporation, conformed version that includes all amendments through April 25, 2024</w:t>
            </w: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Amended and Restated By-Laws (incorporated herein by reference to Exhibit 3.2 to the Company’s Current Report on Form 8-K filed</w:t>
              </w:r>
            </w:hyperlink>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56">
              <w:r>
                <w:rPr>
                  <w:rFonts w:ascii="Times New Roman" w:cs="Times New Roman" w:eastAsia="Times New Roman" w:hAnsi="Times New Roman"/>
                  <w:sz w:val="18"/>
                  <w:szCs w:val="18"/>
                  <w:color w:val="0000FF"/>
                  <w:w w:val="98"/>
                </w:rPr>
                <w:t>with the SEC on February 4, 2020)</w:t>
              </w:r>
            </w:hyperlink>
          </w:p>
        </w:tc>
        <w:tc>
          <w:tcPr>
            <w:tcW w:w="7120" w:type="dxa"/>
            <w:vAlign w:val="bottom"/>
            <w:tcBorders>
              <w:top w:val="single" w:sz="8" w:color="0000FF"/>
            </w:tcBorders>
            <w:gridSpan w:val="13"/>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Form of Indenture (incorporated herein by reference to Exhibit 4.1 to the Company's Registration Statement on Form S-3 filed with the</w:t>
              </w:r>
            </w:hyperlink>
          </w:p>
        </w:tc>
        <w:tc>
          <w:tcPr>
            <w:tcW w:w="20" w:type="dxa"/>
            <w:vAlign w:val="bottom"/>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8"/>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SEC on May 8, 2024)</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Form of Debt Security (included in Exhibit 4.1 above)</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Amendment No. 1, dated November 16, 2021, Amendment No. 2, dated May 12, 2022, and Amendment No. 3, dated April 18, 2024,</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to the Warehousing and Freight Services Agreement between Pactiv LLC and Reynolds Consumer Products LLC</w:t>
            </w:r>
          </w:p>
        </w:tc>
        <w:tc>
          <w:tcPr>
            <w:tcW w:w="1420" w:type="dxa"/>
            <w:vAlign w:val="bottom"/>
            <w:tcBorders>
              <w:top w:val="single" w:sz="8" w:color="0000FF"/>
            </w:tcBorders>
            <w:gridSpan w:val="6"/>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140" w:type="dxa"/>
            <w:vAlign w:val="bottom"/>
            <w:gridSpan w:val="3"/>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2"/>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 15d-14(a) under the Securities Exchange Act of 1934, as</w:t>
            </w:r>
          </w:p>
        </w:tc>
        <w:tc>
          <w:tcPr>
            <w:tcW w:w="200" w:type="dxa"/>
            <w:vAlign w:val="bottom"/>
            <w:gridSpan w:val="6"/>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780" w:type="dxa"/>
            <w:vAlign w:val="bottom"/>
            <w:gridSpan w:val="12"/>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160" w:type="dxa"/>
            <w:vAlign w:val="bottom"/>
            <w:gridSpan w:val="4"/>
          </w:tcPr>
          <w:p>
            <w:pPr>
              <w:spacing w:after="0"/>
              <w:rPr>
                <w:sz w:val="21"/>
                <w:szCs w:val="2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380" w:type="dxa"/>
            <w:vAlign w:val="bottom"/>
            <w:gridSpan w:val="17"/>
          </w:tcPr>
          <w:p>
            <w:pPr>
              <w:spacing w:after="0"/>
              <w:rPr>
                <w:sz w:val="17"/>
                <w:szCs w:val="17"/>
                <w:color w:val="auto"/>
              </w:rPr>
            </w:pPr>
          </w:p>
        </w:tc>
      </w:tr>
      <w:tr>
        <w:trPr>
          <w:trHeight w:val="25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Oxley Act of 2002.</w:t>
            </w:r>
          </w:p>
        </w:tc>
        <w:tc>
          <w:tcPr>
            <w:tcW w:w="8160" w:type="dxa"/>
            <w:vAlign w:val="bottom"/>
            <w:tcBorders>
              <w:top w:val="single" w:sz="8" w:color="0000FF"/>
            </w:tcBorders>
            <w:gridSpan w:val="10"/>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27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3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320"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wp:posOffset>
            </wp:positionV>
            <wp:extent cx="34118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Chris Mayrhofer</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August 7,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5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left="5240"/>
        <w:spacing w:after="0" w:line="286" w:lineRule="auto"/>
        <w:rPr>
          <w:sz w:val="20"/>
          <w:szCs w:val="20"/>
          <w:color w:val="auto"/>
        </w:rPr>
      </w:pPr>
      <w:r>
        <w:rPr>
          <w:rFonts w:ascii="Times New Roman" w:cs="Times New Roman" w:eastAsia="Times New Roman" w:hAnsi="Times New Roman"/>
          <w:sz w:val="18"/>
          <w:szCs w:val="18"/>
          <w:b w:val="1"/>
          <w:bCs w:val="1"/>
          <w:color w:val="auto"/>
        </w:rPr>
        <w:t>Conformed for Certificate of Amendment filed with the Delaware Secretary of State on April 24, 2024</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225" w:lineRule="exact"/>
        <w:rPr>
          <w:sz w:val="20"/>
          <w:szCs w:val="20"/>
          <w:color w:val="auto"/>
        </w:rPr>
      </w:pPr>
    </w:p>
    <w:p>
      <w:pPr>
        <w:ind w:right="220" w:firstLine="441"/>
        <w:spacing w:after="0" w:line="256" w:lineRule="auto"/>
        <w:rPr>
          <w:sz w:val="20"/>
          <w:szCs w:val="20"/>
          <w:color w:val="auto"/>
        </w:rPr>
      </w:pPr>
      <w:r>
        <w:rPr>
          <w:rFonts w:ascii="Times New Roman" w:cs="Times New Roman" w:eastAsia="Times New Roman" w:hAnsi="Times New Roman"/>
          <w:sz w:val="18"/>
          <w:szCs w:val="18"/>
          <w:color w:val="auto"/>
        </w:rPr>
        <w:t>Reynolds Consumer Products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is a corporation organized and existing under the laws of the State of Delaware. The Corporation was incorporated under the name “RenPac Holdings Inc.” pursuant to the certificate of incorporation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filed with the Secretary of State of the State of Delaware on September 29, 2011, which was amended on June 26, 2019 to change the name of the Corporation to Reynolds Consumer Products Inc. This amended and restated certificate of incorporation (“</w:t>
      </w:r>
      <w:r>
        <w:rPr>
          <w:rFonts w:ascii="Times New Roman" w:cs="Times New Roman" w:eastAsia="Times New Roman" w:hAnsi="Times New Roman"/>
          <w:sz w:val="18"/>
          <w:szCs w:val="18"/>
          <w:b w:val="1"/>
          <w:bCs w:val="1"/>
          <w:color w:val="auto"/>
        </w:rPr>
        <w:t>Amended and Restated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which restates, integrates and further amends the provisions of the Certificate of Incorporation (as the same was amended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in its entirety, was duly adopted by the board of directors of the Corporation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and the stockholders of the Corporation in accordance with the provisions of Sections 228, 242 and 245 of the General Corporation Law of the State of Delaware.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Reynolds Consumer Products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 AND AGENT</w:t>
      </w:r>
    </w:p>
    <w:p>
      <w:pPr>
        <w:spacing w:after="0" w:line="207"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City of Wilmington, County of New Castle, Delaware 19801. The name of its registered agent at such address is The Corporation Trust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POWERS</w:t>
      </w:r>
    </w:p>
    <w:p>
      <w:pPr>
        <w:spacing w:after="0" w:line="207" w:lineRule="exact"/>
        <w:rPr>
          <w:sz w:val="20"/>
          <w:szCs w:val="20"/>
          <w:color w:val="auto"/>
        </w:rPr>
      </w:pPr>
    </w:p>
    <w:p>
      <w:pPr>
        <w:ind w:right="340" w:firstLine="441"/>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the same exists or may hereafter be amended (“</w:t>
      </w:r>
      <w:r>
        <w:rPr>
          <w:rFonts w:ascii="Times New Roman" w:cs="Times New Roman" w:eastAsia="Times New Roman" w:hAnsi="Times New Roman"/>
          <w:sz w:val="18"/>
          <w:szCs w:val="18"/>
          <w:b w:val="1"/>
          <w:bCs w:val="1"/>
          <w:color w:val="auto"/>
        </w:rPr>
        <w:t>Delaware Law</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3" w:lineRule="exact"/>
        <w:rPr>
          <w:sz w:val="20"/>
          <w:szCs w:val="20"/>
          <w:color w:val="auto"/>
        </w:rPr>
      </w:pPr>
    </w:p>
    <w:p>
      <w:pPr>
        <w:ind w:left="740" w:hanging="291"/>
        <w:spacing w:after="0"/>
        <w:tabs>
          <w:tab w:leader="none" w:pos="7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Authorized Shares</w:t>
      </w:r>
    </w:p>
    <w:p>
      <w:pPr>
        <w:spacing w:after="0" w:line="117" w:lineRule="exact"/>
        <w:rPr>
          <w:rFonts w:ascii="Times New Roman" w:cs="Times New Roman" w:eastAsia="Times New Roman" w:hAnsi="Times New Roman"/>
          <w:sz w:val="18"/>
          <w:szCs w:val="18"/>
          <w:b w:val="1"/>
          <w:bCs w:val="1"/>
          <w:color w:val="auto"/>
        </w:rPr>
      </w:pPr>
    </w:p>
    <w:p>
      <w:pPr>
        <w:ind w:right="120" w:firstLine="1000"/>
        <w:spacing w:after="0" w:line="262" w:lineRule="auto"/>
        <w:tabs>
          <w:tab w:leader="none" w:pos="11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Classes of Stock. </w:t>
      </w:r>
      <w:r>
        <w:rPr>
          <w:rFonts w:ascii="Times New Roman" w:cs="Times New Roman" w:eastAsia="Times New Roman" w:hAnsi="Times New Roman"/>
          <w:sz w:val="18"/>
          <w:szCs w:val="18"/>
          <w:color w:val="auto"/>
        </w:rPr>
        <w:t>The total number of shares of stock that the Corporation shall have authority to issue is 2,200,000,000, consisting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2,000,000,000 shares 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200,000,000 shares of Preferred Stock, par value $0.001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Upon the effectiveness of this Amended and Restated Certificate of Incorporation dated February 4, 2020,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every share of the Corporation’s Common Stock issued and outstanding immediately prior to the</w:t>
      </w:r>
    </w:p>
    <w:p>
      <w:pPr>
        <w:sectPr>
          <w:pgSz w:w="11900" w:h="16838" w:orient="portrait"/>
          <w:cols w:equalWidth="0" w:num="1">
            <w:col w:w="11240"/>
          </w:cols>
          <w:pgMar w:left="320" w:top="11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Effective Time (“</w:t>
      </w:r>
      <w:r>
        <w:rPr>
          <w:rFonts w:ascii="Times New Roman" w:cs="Times New Roman" w:eastAsia="Times New Roman" w:hAnsi="Times New Roman"/>
          <w:sz w:val="18"/>
          <w:szCs w:val="18"/>
          <w:b w:val="1"/>
          <w:bCs w:val="1"/>
          <w:color w:val="auto"/>
        </w:rPr>
        <w:t>Old Common Stock</w:t>
      </w:r>
      <w:r>
        <w:rPr>
          <w:rFonts w:ascii="Times New Roman" w:cs="Times New Roman" w:eastAsia="Times New Roman" w:hAnsi="Times New Roman"/>
          <w:sz w:val="18"/>
          <w:szCs w:val="18"/>
          <w:color w:val="auto"/>
        </w:rPr>
        <w:t>”) will be automatically reclassified as, and converted into, 155,455 shares of Common Stock (the “</w:t>
      </w:r>
      <w:r>
        <w:rPr>
          <w:rFonts w:ascii="Times New Roman" w:cs="Times New Roman" w:eastAsia="Times New Roman" w:hAnsi="Times New Roman"/>
          <w:sz w:val="18"/>
          <w:szCs w:val="18"/>
          <w:b w:val="1"/>
          <w:bCs w:val="1"/>
          <w:color w:val="auto"/>
        </w:rPr>
        <w:t>Stock Split</w:t>
      </w:r>
      <w:r>
        <w:rPr>
          <w:rFonts w:ascii="Times New Roman" w:cs="Times New Roman" w:eastAsia="Times New Roman" w:hAnsi="Times New Roman"/>
          <w:sz w:val="18"/>
          <w:szCs w:val="18"/>
          <w:color w:val="auto"/>
        </w:rPr>
        <w:t>”). Any stock certificate that, immediately prior to the Effective Time, represented shares of Old Common Stock will, from and after the Effective Time, automatically and without the necessity of presenting the same for exchange, represent the number of shares of Common Stock as equals the product obtained by multiplying the number of shares of Old Common Stock represented by such certificate immediately prior to the Effective Time by 155,455; provided that each person holding of record a stock certificate or certificates that represented shares of Old Common Stock shall receive, upon surrender of such certificate or certificates, a new certificate or certificates evidencing and representing the number of shares of Common Stock to which such person is entitled pursuant to the Stock Split.</w:t>
      </w:r>
    </w:p>
    <w:p>
      <w:pPr>
        <w:spacing w:after="0" w:line="75" w:lineRule="exact"/>
        <w:rPr>
          <w:sz w:val="20"/>
          <w:szCs w:val="20"/>
          <w:color w:val="auto"/>
        </w:rPr>
      </w:pPr>
    </w:p>
    <w:p>
      <w:pPr>
        <w:ind w:right="80" w:firstLine="1000"/>
        <w:spacing w:after="0" w:line="257" w:lineRule="auto"/>
        <w:tabs>
          <w:tab w:leader="none" w:pos="11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The Board of Directors is hereby empowered, without any action or vote by the Corporation’s stockholders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otherwise be provided by the terms of any class or series of Preferred Stock then outstanding), to authorize by resolution or resolutions from time to time the issuance of one or more classes or series of Preferred Stock and to fix the designations, powers, preferences and relative, participating, optional or other rights, if any, and the 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Delaware Law.</w:t>
      </w:r>
    </w:p>
    <w:p>
      <w:pPr>
        <w:spacing w:after="0" w:line="74" w:lineRule="exact"/>
        <w:rPr>
          <w:rFonts w:ascii="Times New Roman" w:cs="Times New Roman" w:eastAsia="Times New Roman" w:hAnsi="Times New Roman"/>
          <w:sz w:val="18"/>
          <w:szCs w:val="18"/>
          <w:color w:val="auto"/>
        </w:rPr>
      </w:pPr>
    </w:p>
    <w:p>
      <w:pPr>
        <w:ind w:left="740" w:hanging="291"/>
        <w:spacing w:after="0"/>
        <w:tabs>
          <w:tab w:leader="none" w:pos="7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Each holder of Common Stock, as such, shall be entitled to one vote for each share of Common Stock held of record by such holder on all matters on which stockholders generally are entitled to vote;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as otherwise required by law, holders of Common Stock, as such, shall not be entitled to vote on any amendment to this Amended and Restated Certificate of Incorporation (including any certificate of designations relating to any class or series of Preferred Stock) that relates solely to the terms of one or more outstanding classes or series of Preferred Stock if the holders of such affected class or series are entitled, either separately or together with the holders of one or more other such classes or series, to vote thereon pursuant to this Amended and Restated Certificate of Incorporation (including any certificate of designations relating to any class or series of Preferred Stock) or pursuant to Delaware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3" w:lineRule="exact"/>
        <w:rPr>
          <w:sz w:val="20"/>
          <w:szCs w:val="20"/>
          <w:color w:val="auto"/>
        </w:rPr>
      </w:pPr>
    </w:p>
    <w:p>
      <w:pPr>
        <w:jc w:val="both"/>
        <w:ind w:right="160" w:firstLine="441"/>
        <w:spacing w:after="0" w:line="262" w:lineRule="auto"/>
        <w:rPr>
          <w:sz w:val="20"/>
          <w:szCs w:val="20"/>
          <w:color w:val="auto"/>
        </w:rPr>
      </w:pPr>
      <w:r>
        <w:rPr>
          <w:rFonts w:ascii="Times New Roman" w:cs="Times New Roman" w:eastAsia="Times New Roman" w:hAnsi="Times New Roman"/>
          <w:sz w:val="18"/>
          <w:szCs w:val="18"/>
          <w:color w:val="auto"/>
        </w:rPr>
        <w:t>The Board of Directors shall have the power to adopt, amend or repeal the bylaws of the Corporation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So long as the Stockholders’ Agreement, among the Corporation and certain of its shareholders, dated as of February 4, 2020 (the “</w:t>
      </w:r>
      <w:r>
        <w:rPr>
          <w:rFonts w:ascii="Times New Roman" w:cs="Times New Roman" w:eastAsia="Times New Roman" w:hAnsi="Times New Roman"/>
          <w:sz w:val="18"/>
          <w:szCs w:val="18"/>
          <w:b w:val="1"/>
          <w:bCs w:val="1"/>
          <w:color w:val="auto"/>
        </w:rPr>
        <w:t>Stockholders’ Agreement</w:t>
      </w:r>
      <w:r>
        <w:rPr>
          <w:rFonts w:ascii="Times New Roman" w:cs="Times New Roman" w:eastAsia="Times New Roman" w:hAnsi="Times New Roman"/>
          <w:sz w:val="18"/>
          <w:szCs w:val="18"/>
          <w:color w:val="auto"/>
        </w:rPr>
        <w:t>”) remains in effect, the Board of Directors shall not approve any amendment, alteration or repeal of any provision of these Bylaws, or the adoption of any new Bylaw, that would be contrary to or inconsistent with the then-applicable terms of the Stockholders’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and after the first date on which Packaging Finance Limited (“</w:t>
      </w:r>
      <w:r>
        <w:rPr>
          <w:rFonts w:ascii="Times New Roman" w:cs="Times New Roman" w:eastAsia="Times New Roman" w:hAnsi="Times New Roman"/>
          <w:sz w:val="18"/>
          <w:szCs w:val="18"/>
          <w:b w:val="1"/>
          <w:bCs w:val="1"/>
          <w:color w:val="auto"/>
        </w:rPr>
        <w:t>PFL</w:t>
      </w:r>
      <w:r>
        <w:rPr>
          <w:rFonts w:ascii="Times New Roman" w:cs="Times New Roman" w:eastAsia="Times New Roman" w:hAnsi="Times New Roman"/>
          <w:sz w:val="18"/>
          <w:szCs w:val="18"/>
          <w:color w:val="auto"/>
        </w:rPr>
        <w:t>”) and all other entities beneficially owned by Mr. Graeme Richard Hart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 estate, heirs, executor, administrator or other personal representative, or any of his immediate family members or any trust, fund or other entity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his estate, heirs, any of his immediate family members or any of their respective affiliates (PFL and all of the foregoing,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Hart Entities</w:t>
      </w:r>
      <w:r>
        <w:rPr>
          <w:rFonts w:ascii="Times New Roman" w:cs="Times New Roman" w:eastAsia="Times New Roman" w:hAnsi="Times New Roman"/>
          <w:sz w:val="18"/>
          <w:szCs w:val="18"/>
          <w:color w:val="auto"/>
        </w:rPr>
        <w:t>”) and any other transferee of all of the outstanding shares of common stock held at any time by the Hart Entities which are transferred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pursuant to a widely distributed public sale (“</w:t>
      </w:r>
      <w:r>
        <w:rPr>
          <w:rFonts w:ascii="Times New Roman" w:cs="Times New Roman" w:eastAsia="Times New Roman" w:hAnsi="Times New Roman"/>
          <w:sz w:val="18"/>
          <w:szCs w:val="18"/>
          <w:b w:val="1"/>
          <w:bCs w:val="1"/>
          <w:color w:val="auto"/>
        </w:rPr>
        <w:t>Permitted Assigns</w:t>
      </w:r>
      <w:r>
        <w:rPr>
          <w:rFonts w:ascii="Times New Roman" w:cs="Times New Roman" w:eastAsia="Times New Roman" w:hAnsi="Times New Roman"/>
          <w:sz w:val="18"/>
          <w:szCs w:val="18"/>
          <w:color w:val="auto"/>
        </w:rPr>
        <w:t>”) no longer beneficially own more than 50% of the outstanding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of the Corporation, the stockholders may adopt, amend or repeal the Bylaws only with the affirmative vote of the holders of not less than 662/3%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power of all outstanding securities of the Corporation generally entitled to vote in the election of directors, voting together as a single class.</w:t>
      </w:r>
    </w:p>
    <w:p>
      <w:pPr>
        <w:spacing w:after="0" w:line="207"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Until the first date on which the Hart Entities or Permitted Assigns no longer beneficially own more than 50% of the outstanding shares of Common Stock of the Corporation, the stockholders may adopt, amend or repeal the</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only with the affirmative vote of the holders of not less than a majority of the total voting power of all outstanding securities of the Corporation.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3" w:lineRule="exact"/>
        <w:rPr>
          <w:sz w:val="20"/>
          <w:szCs w:val="20"/>
          <w:color w:val="auto"/>
        </w:rPr>
      </w:pPr>
    </w:p>
    <w:p>
      <w:pPr>
        <w:ind w:left="740" w:hanging="291"/>
        <w:spacing w:after="0"/>
        <w:tabs>
          <w:tab w:leader="none" w:pos="7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the Board of Directors</w:t>
      </w:r>
      <w:r>
        <w:rPr>
          <w:rFonts w:ascii="Times New Roman" w:cs="Times New Roman" w:eastAsia="Times New Roman" w:hAnsi="Times New Roman"/>
          <w:sz w:val="18"/>
          <w:szCs w:val="18"/>
          <w:color w:val="auto"/>
        </w:rPr>
        <w:t>. The business and affairs of the Corporation shall be managed by or under the direction of a Board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w:t>
      </w:r>
    </w:p>
    <w:p>
      <w:pPr>
        <w:spacing w:after="0" w:line="94" w:lineRule="exact"/>
        <w:rPr>
          <w:rFonts w:ascii="Times New Roman" w:cs="Times New Roman" w:eastAsia="Times New Roman" w:hAnsi="Times New Roman"/>
          <w:sz w:val="18"/>
          <w:szCs w:val="18"/>
          <w:b w:val="1"/>
          <w:bCs w:val="1"/>
          <w:color w:val="auto"/>
        </w:rPr>
      </w:pPr>
    </w:p>
    <w:p>
      <w:pPr>
        <w:ind w:right="520" w:firstLine="449"/>
        <w:spacing w:after="0" w:line="262" w:lineRule="auto"/>
        <w:tabs>
          <w:tab w:leader="none" w:pos="72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Directors. </w:t>
      </w:r>
      <w:r>
        <w:rPr>
          <w:rFonts w:ascii="Times New Roman" w:cs="Times New Roman" w:eastAsia="Times New Roman" w:hAnsi="Times New Roman"/>
          <w:sz w:val="18"/>
          <w:szCs w:val="18"/>
          <w:color w:val="auto"/>
        </w:rPr>
        <w:t>Subject to the rights of the holders of any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the number of directors which shall constitute the Board of Directors shall, as of the date this Amended and Restated Certificate of Incorporation becomes effective, be six and, thereafter, shall be fixed exclusively by one or more resolutions adopted from time to time solely by the affirmative vote of a majority of the Board of Directors.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21" w:lineRule="exact"/>
        <w:rPr>
          <w:rFonts w:ascii="Times New Roman" w:cs="Times New Roman" w:eastAsia="Times New Roman" w:hAnsi="Times New Roman"/>
          <w:sz w:val="18"/>
          <w:szCs w:val="18"/>
          <w:b w:val="1"/>
          <w:bCs w:val="1"/>
          <w:color w:val="auto"/>
        </w:rPr>
      </w:pPr>
    </w:p>
    <w:p>
      <w:pPr>
        <w:ind w:left="740" w:hanging="291"/>
        <w:spacing w:after="0"/>
        <w:tabs>
          <w:tab w:leader="none" w:pos="7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right="20" w:firstLine="1000"/>
        <w:spacing w:after="0" w:line="253" w:lineRule="auto"/>
        <w:tabs>
          <w:tab w:leader="none" w:pos="124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shall be divided into three classes, designated Class I, Class II and Class III. Each class shall consist, as nearly as may be practicable, of one-third of the total number of directors constituting the entire Board of Directors. Each director shall serve for a term ending on the date of the third annual meeting of stockholders next following the annual meeting at which such director was elected;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directors initially designated as Class I directors shall serve for a term ending on the date of the first annual meeting, directors initially designated as Class II directors shall serve for a term ending on the second annual meeting, and directors initially designated as Class III directors shall serve for a term ending on the date of the third annual meeting. Notwithstanding the foregoing, each director shall hold office until such director’s successor shall have been duly elected and qualified or until such director’s earlier death, resignation or removal, and, subject to the then-applicable terms of the Stockholders’ Agreement. In the event of any change in the number of directors, the Board of Directors shall apportion any newly created directorships among, or reduce the number of directorships in, such class or classes as shall equalize, as nearly as possible, the number of directors in each class. In no event will a decrease in the number of directors shorten the term of any incumbent director.</w:t>
      </w:r>
    </w:p>
    <w:p>
      <w:pPr>
        <w:spacing w:after="0" w:line="86" w:lineRule="exact"/>
        <w:rPr>
          <w:rFonts w:ascii="Times New Roman" w:cs="Times New Roman" w:eastAsia="Times New Roman" w:hAnsi="Times New Roman"/>
          <w:sz w:val="18"/>
          <w:szCs w:val="18"/>
          <w:color w:val="auto"/>
        </w:rPr>
      </w:pPr>
    </w:p>
    <w:p>
      <w:pPr>
        <w:ind w:left="1260" w:hanging="260"/>
        <w:spacing w:after="0"/>
        <w:tabs>
          <w:tab w:leader="none" w:pos="12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mailing addresses of the persons who are to serve initially as directors of each Class are:</w:t>
      </w:r>
    </w:p>
    <w:p>
      <w:pPr>
        <w:spacing w:after="0" w:line="200" w:lineRule="exact"/>
        <w:rPr>
          <w:sz w:val="20"/>
          <w:szCs w:val="20"/>
          <w:color w:val="auto"/>
        </w:rPr>
      </w:pPr>
    </w:p>
    <w:p>
      <w:pPr>
        <w:spacing w:after="0" w:line="370" w:lineRule="exact"/>
        <w:rPr>
          <w:sz w:val="20"/>
          <w:szCs w:val="20"/>
          <w:color w:val="auto"/>
        </w:rPr>
      </w:pPr>
    </w:p>
    <w:tbl>
      <w:tblPr>
        <w:tblLayout w:type="fixed"/>
        <w:tblInd w:w="190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4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Mailing Address</w:t>
            </w:r>
          </w:p>
        </w:tc>
      </w:tr>
      <w:tr>
        <w:trPr>
          <w:trHeight w:val="24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Class I</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Thomas Degnan</w:t>
            </w:r>
          </w:p>
        </w:tc>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 1900 W. Field Court,</w:t>
            </w:r>
          </w:p>
        </w:tc>
      </w:tr>
      <w:tr>
        <w:trPr>
          <w:trHeight w:val="234"/>
        </w:trPr>
        <w:tc>
          <w:tcPr>
            <w:tcW w:w="940" w:type="dxa"/>
            <w:vAlign w:val="bottom"/>
          </w:tcPr>
          <w:p>
            <w:pPr>
              <w:spacing w:after="0"/>
              <w:rPr>
                <w:sz w:val="20"/>
                <w:szCs w:val="20"/>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Helen Golding</w:t>
            </w:r>
          </w:p>
        </w:tc>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Lake Forest, Illinois, 60045</w:t>
            </w:r>
          </w:p>
        </w:tc>
      </w:tr>
      <w:tr>
        <w:trPr>
          <w:trHeight w:val="37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Class II</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Gregory Cole</w:t>
            </w:r>
          </w:p>
        </w:tc>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 1900 W. Field Court,</w:t>
            </w:r>
          </w:p>
        </w:tc>
      </w:tr>
      <w:tr>
        <w:trPr>
          <w:trHeight w:val="234"/>
        </w:trPr>
        <w:tc>
          <w:tcPr>
            <w:tcW w:w="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Lake Forest, Illinois, 60045</w:t>
            </w:r>
          </w:p>
        </w:tc>
      </w:tr>
      <w:tr>
        <w:trPr>
          <w:trHeight w:val="37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Class III</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Lance Mitchell</w:t>
            </w:r>
          </w:p>
        </w:tc>
        <w:tc>
          <w:tcPr>
            <w:tcW w:w="2840" w:type="dxa"/>
            <w:vAlign w:val="bottom"/>
          </w:tcPr>
          <w:p>
            <w:pPr>
              <w:spacing w:after="0"/>
              <w:rPr>
                <w:sz w:val="24"/>
                <w:szCs w:val="24"/>
                <w:color w:val="auto"/>
              </w:rPr>
            </w:pPr>
          </w:p>
        </w:tc>
      </w:tr>
      <w:tr>
        <w:trPr>
          <w:trHeight w:val="216"/>
        </w:trPr>
        <w:tc>
          <w:tcPr>
            <w:tcW w:w="940" w:type="dxa"/>
            <w:vAlign w:val="bottom"/>
          </w:tcPr>
          <w:p>
            <w:pPr>
              <w:spacing w:after="0"/>
              <w:rPr>
                <w:sz w:val="18"/>
                <w:szCs w:val="18"/>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Marla Gottschalk</w:t>
            </w:r>
          </w:p>
        </w:tc>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c/o 1900 W. Field Court,</w:t>
            </w:r>
          </w:p>
        </w:tc>
      </w:tr>
      <w:tr>
        <w:trPr>
          <w:trHeight w:val="234"/>
        </w:trPr>
        <w:tc>
          <w:tcPr>
            <w:tcW w:w="940" w:type="dxa"/>
            <w:vAlign w:val="bottom"/>
          </w:tcPr>
          <w:p>
            <w:pPr>
              <w:spacing w:after="0"/>
              <w:rPr>
                <w:sz w:val="20"/>
                <w:szCs w:val="20"/>
                <w:color w:val="auto"/>
              </w:rPr>
            </w:pP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Richard Noll</w:t>
            </w:r>
          </w:p>
        </w:tc>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Lake Forest, Illinois, 60045</w:t>
            </w:r>
          </w:p>
        </w:tc>
      </w:tr>
    </w:tbl>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(3) There shall be no cumulative voting in the election of directors. Election of directors need not be by written ballot unless the Bylaws 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w:t>
      </w:r>
    </w:p>
    <w:p>
      <w:pPr>
        <w:spacing w:after="0" w:line="95" w:lineRule="exact"/>
        <w:rPr>
          <w:sz w:val="20"/>
          <w:szCs w:val="20"/>
          <w:color w:val="auto"/>
        </w:rPr>
      </w:pPr>
    </w:p>
    <w:p>
      <w:pPr>
        <w:jc w:val="both"/>
        <w:ind w:right="20" w:firstLine="449"/>
        <w:spacing w:after="0" w:line="268" w:lineRule="auto"/>
        <w:tabs>
          <w:tab w:leader="none" w:pos="736"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Vacancies. </w:t>
      </w:r>
      <w:r>
        <w:rPr>
          <w:rFonts w:ascii="Times New Roman" w:cs="Times New Roman" w:eastAsia="Times New Roman" w:hAnsi="Times New Roman"/>
          <w:sz w:val="18"/>
          <w:szCs w:val="18"/>
          <w:color w:val="auto"/>
        </w:rPr>
        <w:t>Vacancies on the Board of Directors resulting from death, resignation, removal or otherwise and newly created directorships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any increase in the number of directors shall, except as otherwise required by law, be filled solely by a majority vote of the directors then in office and entitled to vote thereon</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(although less than a quorum) or by the sole remaining director entitled to vote thereon, and each director so elected shall hold office for a term that shall coincide with the term of the Class to which such director shall have been elected.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449"/>
        <w:spacing w:after="0" w:line="262" w:lineRule="auto"/>
        <w:tabs>
          <w:tab w:leader="none" w:pos="72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Removal. </w:t>
      </w:r>
      <w:r>
        <w:rPr>
          <w:rFonts w:ascii="Times New Roman" w:cs="Times New Roman" w:eastAsia="Times New Roman" w:hAnsi="Times New Roman"/>
          <w:sz w:val="18"/>
          <w:szCs w:val="18"/>
          <w:color w:val="auto"/>
        </w:rPr>
        <w:t>Subject to the rights of the holders of any series of Preferred Stock then outstanding and the then-applicable terms of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no director may be removed from office by the stockholders except for cause with the affirmative vote of the holders of not less than a majority of the total voting power of all outstanding securities of the Corporation generally entitled to vote in the election of directors, voting together as a single class.</w:t>
      </w:r>
    </w:p>
    <w:p>
      <w:pPr>
        <w:spacing w:after="0" w:line="68" w:lineRule="exact"/>
        <w:rPr>
          <w:rFonts w:ascii="Times New Roman" w:cs="Times New Roman" w:eastAsia="Times New Roman" w:hAnsi="Times New Roman"/>
          <w:sz w:val="18"/>
          <w:szCs w:val="18"/>
          <w:b w:val="1"/>
          <w:bCs w:val="1"/>
          <w:color w:val="auto"/>
        </w:rPr>
      </w:pPr>
    </w:p>
    <w:p>
      <w:pPr>
        <w:ind w:right="160" w:firstLine="449"/>
        <w:spacing w:after="0" w:line="259" w:lineRule="auto"/>
        <w:tabs>
          <w:tab w:leader="none" w:pos="71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Preferred Stock Directors. </w:t>
      </w:r>
      <w:r>
        <w:rPr>
          <w:rFonts w:ascii="Times New Roman" w:cs="Times New Roman" w:eastAsia="Times New Roman" w:hAnsi="Times New Roman"/>
          <w:sz w:val="18"/>
          <w:szCs w:val="18"/>
          <w:color w:val="auto"/>
        </w:rPr>
        <w:t>Notwithstanding anything else contained herein, whenever the holders of one or more classes or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shall have the right, voting separately as a class or series, to elect directors, the election, term of office, filling of vacancies, removal and other features of such directorships shall be governed by the terms of such class or series of Preferred Stock adopted by resolution or resolutions adopted by the Board of Directors pursuant to Article 4(A) hereto, and such directors so elected shall not be subject to the provisions of this Article 6 unless otherwise provided therein.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3" w:lineRule="exact"/>
        <w:rPr>
          <w:sz w:val="20"/>
          <w:szCs w:val="20"/>
          <w:color w:val="auto"/>
        </w:rPr>
      </w:pPr>
    </w:p>
    <w:p>
      <w:pPr>
        <w:ind w:right="40" w:firstLine="449"/>
        <w:spacing w:after="0" w:line="268" w:lineRule="auto"/>
        <w:tabs>
          <w:tab w:leader="none" w:pos="73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Meetings. </w:t>
      </w:r>
      <w:r>
        <w:rPr>
          <w:rFonts w:ascii="Times New Roman" w:cs="Times New Roman" w:eastAsia="Times New Roman" w:hAnsi="Times New Roman"/>
          <w:sz w:val="18"/>
          <w:szCs w:val="18"/>
          <w:color w:val="auto"/>
        </w:rPr>
        <w:t>An annual meeting of stockholders for the election of directors to succeed those whose terms expire and for the transaction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business as may properly come before the meeting shall be held at such place, on such date, and at such time as the Board of Directors shall determine.</w:t>
      </w:r>
    </w:p>
    <w:p>
      <w:pPr>
        <w:spacing w:after="0" w:line="62" w:lineRule="exact"/>
        <w:rPr>
          <w:rFonts w:ascii="Times New Roman" w:cs="Times New Roman" w:eastAsia="Times New Roman" w:hAnsi="Times New Roman"/>
          <w:sz w:val="18"/>
          <w:szCs w:val="18"/>
          <w:b w:val="1"/>
          <w:bCs w:val="1"/>
          <w:color w:val="auto"/>
        </w:rPr>
      </w:pPr>
    </w:p>
    <w:p>
      <w:pPr>
        <w:ind w:left="740" w:hanging="291"/>
        <w:spacing w:after="0"/>
        <w:tabs>
          <w:tab w:leader="none" w:pos="7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Special meetings of the stockholders may be called only by:</w:t>
      </w:r>
    </w:p>
    <w:p>
      <w:pPr>
        <w:spacing w:after="0" w:line="121" w:lineRule="exact"/>
        <w:rPr>
          <w:sz w:val="20"/>
          <w:szCs w:val="20"/>
          <w:color w:val="auto"/>
        </w:rPr>
      </w:pPr>
    </w:p>
    <w:p>
      <w:pPr>
        <w:ind w:left="700" w:hanging="251"/>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the Corporation or the Chairman;</w:t>
      </w:r>
    </w:p>
    <w:p>
      <w:pPr>
        <w:spacing w:after="0" w:line="117"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acting pursuant to a resolution adopted by a majority of the Board of Directors; or</w:t>
      </w:r>
    </w:p>
    <w:p>
      <w:pPr>
        <w:spacing w:after="0" w:line="117" w:lineRule="exact"/>
        <w:rPr>
          <w:rFonts w:ascii="Times New Roman" w:cs="Times New Roman" w:eastAsia="Times New Roman" w:hAnsi="Times New Roman"/>
          <w:sz w:val="18"/>
          <w:szCs w:val="18"/>
          <w:color w:val="auto"/>
        </w:rPr>
      </w:pPr>
    </w:p>
    <w:p>
      <w:pPr>
        <w:ind w:right="20" w:firstLine="449"/>
        <w:spacing w:after="0" w:line="266" w:lineRule="auto"/>
        <w:tabs>
          <w:tab w:leader="none" w:pos="6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first date on which the Hart Entities or Permitted Assigns no longer beneficially own more than 50% of the outstanding shares of Common Stock of the Corporation, special meetings of the stockholders may also be called by the Secretary of the Corporation at the request of the holders of a majority of the outstanding shares of Common Stock.</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Notwithstanding the foregoing, whenever holders of one or more classes or series of Preferred Stock shall have the right, voting separately as a class or series, to elect directors, such holders may call, pursuant to the terms of such class or series of Preferred Stock adopted by resolution or resolutions of the Board of Directors pursuant to Article 4(A) hereto, special meetings of holders of such Preferred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firstLine="449"/>
        <w:spacing w:after="0" w:line="268" w:lineRule="auto"/>
        <w:tabs>
          <w:tab w:leader="none" w:pos="73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 by Written Consent. </w:t>
      </w:r>
      <w:r>
        <w:rPr>
          <w:rFonts w:ascii="Times New Roman" w:cs="Times New Roman" w:eastAsia="Times New Roman" w:hAnsi="Times New Roman"/>
          <w:sz w:val="18"/>
          <w:szCs w:val="18"/>
          <w:color w:val="auto"/>
        </w:rPr>
        <w:t>Subject to the rights of the holders of any class or series of Preferred Stock then outstanding, as may be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resolution or resolutions adopted by the Board of Directors pursuant to Article 4(A) hereto for such class or series of Preferred Stock, any action required or permitted to be taken at any annual or special meeting of stockholders may be taken:</w:t>
      </w:r>
    </w:p>
    <w:p>
      <w:pPr>
        <w:spacing w:after="0" w:line="67" w:lineRule="exact"/>
        <w:rPr>
          <w:sz w:val="20"/>
          <w:szCs w:val="20"/>
          <w:color w:val="auto"/>
        </w:rPr>
      </w:pPr>
    </w:p>
    <w:p>
      <w:pPr>
        <w:ind w:right="640" w:firstLine="449"/>
        <w:spacing w:after="0" w:line="282" w:lineRule="auto"/>
        <w:tabs>
          <w:tab w:leader="none" w:pos="6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first date on which the Hart entities or Permitted Assigns no longer beneficially own more than 50% of the outstanding shares of Common Stock, by written consent of the stockholders without a meeting; and</w:t>
      </w:r>
    </w:p>
    <w:p>
      <w:pPr>
        <w:spacing w:after="0" w:line="53" w:lineRule="exact"/>
        <w:rPr>
          <w:rFonts w:ascii="Times New Roman" w:cs="Times New Roman" w:eastAsia="Times New Roman" w:hAnsi="Times New Roman"/>
          <w:sz w:val="18"/>
          <w:szCs w:val="18"/>
          <w:color w:val="auto"/>
        </w:rPr>
      </w:pPr>
    </w:p>
    <w:p>
      <w:pPr>
        <w:ind w:right="120" w:firstLine="449"/>
        <w:spacing w:after="0" w:line="266" w:lineRule="auto"/>
        <w:tabs>
          <w:tab w:leader="none" w:pos="6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date on which the Hart Entities or Permitted Assigns no longer beneficially own more than 50% of the outstanding shares of Common Stock, only upon the vote of stockholders at an annual or special meeting duly noticed and called in accordance with Delaware Law, as amended from time to time, and this Article 7 and may not be taken by written consent of stockholders without a meeting.</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right="220" w:firstLine="449"/>
        <w:spacing w:after="0" w:line="268" w:lineRule="auto"/>
        <w:tabs>
          <w:tab w:leader="none" w:pos="73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Limited Liability. </w:t>
      </w:r>
      <w:r>
        <w:rPr>
          <w:rFonts w:ascii="Times New Roman" w:cs="Times New Roman" w:eastAsia="Times New Roman" w:hAnsi="Times New Roman"/>
          <w:sz w:val="18"/>
          <w:szCs w:val="18"/>
          <w:color w:val="auto"/>
        </w:rPr>
        <w:t>A director or an officer of the Corporation shall not be personally liable to the Corporation or its stockholders for monetary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damages for breach of fiduciary duty as a director or an officer, to the fullest extent permitted by Delaware Law as the same exists or as may hereafter be amended from time to time.</w:t>
      </w:r>
    </w:p>
    <w:p>
      <w:pPr>
        <w:spacing w:after="0" w:line="62" w:lineRule="exact"/>
        <w:rPr>
          <w:rFonts w:ascii="Times New Roman" w:cs="Times New Roman" w:eastAsia="Times New Roman" w:hAnsi="Times New Roman"/>
          <w:sz w:val="18"/>
          <w:szCs w:val="18"/>
          <w:b w:val="1"/>
          <w:bCs w:val="1"/>
          <w:color w:val="auto"/>
        </w:rPr>
      </w:pPr>
    </w:p>
    <w:p>
      <w:pPr>
        <w:ind w:left="740" w:hanging="291"/>
        <w:spacing w:after="0"/>
        <w:tabs>
          <w:tab w:leader="none" w:pos="7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Indemnification.</w:t>
      </w:r>
    </w:p>
    <w:p>
      <w:pPr>
        <w:spacing w:after="0" w:line="121" w:lineRule="exact"/>
        <w:rPr>
          <w:rFonts w:ascii="Times New Roman" w:cs="Times New Roman" w:eastAsia="Times New Roman" w:hAnsi="Times New Roman"/>
          <w:sz w:val="18"/>
          <w:szCs w:val="18"/>
          <w:b w:val="1"/>
          <w:bCs w:val="1"/>
          <w:color w:val="auto"/>
        </w:rPr>
      </w:pPr>
    </w:p>
    <w:p>
      <w:pPr>
        <w:ind w:right="20" w:firstLine="1000"/>
        <w:spacing w:after="0" w:line="255" w:lineRule="auto"/>
        <w:tabs>
          <w:tab w:leader="none" w:pos="12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 permitted by Delaware Law. The right to indemnification conferred in this Article 8 shall also include the right to be paid by the Corporation the expenses incurred in connection with any such proceeding in advance of its final disposition to the fullest extent authorized by Delaware Law. The right to indemnification conferred in this Article 8 shall be a contract right.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4" w:lineRule="exact"/>
        <w:rPr>
          <w:rFonts w:ascii="Times New Roman" w:cs="Times New Roman" w:eastAsia="Times New Roman" w:hAnsi="Times New Roman"/>
          <w:sz w:val="18"/>
          <w:szCs w:val="18"/>
          <w:color w:val="auto"/>
        </w:rPr>
      </w:pPr>
    </w:p>
    <w:p>
      <w:pPr>
        <w:ind w:right="40" w:firstLine="1000"/>
        <w:spacing w:after="0" w:line="282" w:lineRule="auto"/>
        <w:tabs>
          <w:tab w:leader="none" w:pos="12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by action of its Board of Directors, provide indemnification to such of the employees and agents of the Corporation to such extent and to such effect as the Board of Directors shall determine to be appropriate and authorized by Delaware Law.</w:t>
      </w:r>
    </w:p>
    <w:p>
      <w:pPr>
        <w:spacing w:after="0" w:line="49" w:lineRule="exact"/>
        <w:rPr>
          <w:rFonts w:ascii="Times New Roman" w:cs="Times New Roman" w:eastAsia="Times New Roman" w:hAnsi="Times New Roman"/>
          <w:sz w:val="18"/>
          <w:szCs w:val="18"/>
          <w:color w:val="auto"/>
        </w:rPr>
      </w:pPr>
    </w:p>
    <w:p>
      <w:pPr>
        <w:ind w:right="60" w:firstLine="449"/>
        <w:spacing w:after="0" w:line="282" w:lineRule="auto"/>
        <w:tabs>
          <w:tab w:leader="none" w:pos="736"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Insurance. </w:t>
      </w:r>
      <w:r>
        <w:rPr>
          <w:rFonts w:ascii="Times New Roman" w:cs="Times New Roman" w:eastAsia="Times New Roman" w:hAnsi="Times New Roman"/>
          <w:sz w:val="17"/>
          <w:szCs w:val="17"/>
          <w:color w:val="auto"/>
        </w:rPr>
        <w:t>The Corporation shall have power to purchase and maintain insurance on behalf of any person who is or was a director,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Delaware Law.</w:t>
      </w:r>
    </w:p>
    <w:p>
      <w:pPr>
        <w:spacing w:after="0" w:line="53" w:lineRule="exact"/>
        <w:rPr>
          <w:rFonts w:ascii="Times New Roman" w:cs="Times New Roman" w:eastAsia="Times New Roman" w:hAnsi="Times New Roman"/>
          <w:sz w:val="17"/>
          <w:szCs w:val="17"/>
          <w:b w:val="1"/>
          <w:bCs w:val="1"/>
          <w:color w:val="auto"/>
        </w:rPr>
      </w:pPr>
    </w:p>
    <w:p>
      <w:pPr>
        <w:ind w:right="500" w:firstLine="449"/>
        <w:spacing w:after="0" w:line="286" w:lineRule="auto"/>
        <w:tabs>
          <w:tab w:leader="none" w:pos="73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and authority conferred in this Article 8 shall not be exclusive of any other right that any person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have or hereafter acquire.</w:t>
      </w:r>
    </w:p>
    <w:p>
      <w:pPr>
        <w:spacing w:after="0" w:line="46" w:lineRule="exact"/>
        <w:rPr>
          <w:rFonts w:ascii="Times New Roman" w:cs="Times New Roman" w:eastAsia="Times New Roman" w:hAnsi="Times New Roman"/>
          <w:sz w:val="18"/>
          <w:szCs w:val="18"/>
          <w:b w:val="1"/>
          <w:bCs w:val="1"/>
          <w:color w:val="auto"/>
        </w:rPr>
      </w:pPr>
    </w:p>
    <w:p>
      <w:pPr>
        <w:ind w:right="40" w:firstLine="449"/>
        <w:spacing w:after="0" w:line="259" w:lineRule="auto"/>
        <w:tabs>
          <w:tab w:leader="none" w:pos="72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Preservation of Rights. </w:t>
      </w:r>
      <w:r>
        <w:rPr>
          <w:rFonts w:ascii="Times New Roman" w:cs="Times New Roman" w:eastAsia="Times New Roman" w:hAnsi="Times New Roman"/>
          <w:sz w:val="18"/>
          <w:szCs w:val="18"/>
          <w:color w:val="auto"/>
        </w:rPr>
        <w:t>Neither the amendment nor repeal of this Article 8, nor the adoption of any provision of this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the Bylaws, nor, to the fullest extent permitted by Delaware Law,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Corporation reserves the right to amend this Amended and Restated Certificate of Incorporation, provided such amendment is approved by:</w:t>
      </w:r>
    </w:p>
    <w:p>
      <w:pPr>
        <w:spacing w:after="0" w:line="117" w:lineRule="exact"/>
        <w:rPr>
          <w:sz w:val="20"/>
          <w:szCs w:val="20"/>
          <w:color w:val="auto"/>
        </w:rPr>
      </w:pPr>
    </w:p>
    <w:p>
      <w:pPr>
        <w:ind w:right="220" w:firstLine="449"/>
        <w:spacing w:after="0" w:line="261" w:lineRule="auto"/>
        <w:tabs>
          <w:tab w:leader="none" w:pos="6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first date on which the Hart entities or Permitted Assigns no longer beneficially own more than 50% of the outstanding shares of Common Stock of the Corporation, the affirmative vote of the holders of not less than a majority of the total voting power of all outstanding securities of the Corporation, generally entitled to vote in the election of directors, voting together as a single class and all rights and powers conferred upon stockholders, directors and officers herein are granted subject to this reservation; or</w:t>
      </w:r>
    </w:p>
    <w:p>
      <w:pPr>
        <w:spacing w:after="0" w:line="71" w:lineRule="exact"/>
        <w:rPr>
          <w:rFonts w:ascii="Times New Roman" w:cs="Times New Roman" w:eastAsia="Times New Roman" w:hAnsi="Times New Roman"/>
          <w:sz w:val="18"/>
          <w:szCs w:val="18"/>
          <w:color w:val="auto"/>
        </w:rPr>
      </w:pPr>
    </w:p>
    <w:p>
      <w:pPr>
        <w:ind w:right="260" w:firstLine="449"/>
        <w:spacing w:after="0" w:line="282" w:lineRule="auto"/>
        <w:tabs>
          <w:tab w:leader="none" w:pos="6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on which the Hart Entities or Permitted Assigns no longer beneficially own more than 50% of the outstanding shares of Common Stock, the affirmative vote of the holders of not less than 66 </w:t>
      </w:r>
      <w:r>
        <w:rPr>
          <w:rFonts w:ascii="Times New Roman" w:cs="Times New Roman" w:eastAsia="Times New Roman" w:hAnsi="Times New Roman"/>
          <w:sz w:val="9"/>
          <w:szCs w:val="9"/>
          <w:color w:val="auto"/>
        </w:rPr>
        <w:t>2/3</w:t>
      </w:r>
      <w:r>
        <w:rPr>
          <w:rFonts w:ascii="Times New Roman" w:cs="Times New Roman" w:eastAsia="Times New Roman" w:hAnsi="Times New Roman"/>
          <w:sz w:val="18"/>
          <w:szCs w:val="18"/>
          <w:color w:val="auto"/>
        </w:rPr>
        <w:t>% of</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total voting power of all outstanding securities of the Corporation generally entitled to vote in the election of directors, voting together as a single class and all rights and powers conferred upon stockholders, directors and officers herein are granted subject to this reservation.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color w:val="auto"/>
        </w:rPr>
        <w:t>To the fullest extent permitted by the laws of the State of Delaware, (a) the Corporation hereby renounces all interest and expectancy that it otherwise would be entitled to have in, and all rights to be offered an opportunity to participate in, any business opportunity that from time to time may be presented to (i) the Board of Directors or any Director, (ii) any stockholder, officer or agent of the Corporation, or (iii) any affiliate of any person or entity identified in the preceding clause (i) or (ii), but in each case excluding any such person in its capacity as an employee of the Corporation or its subsidiaries; (b) no holder of Common Stock or Preferred Stock (collectively, “Capital Stock”) and no Director that is not an employee of the Corporation or its subsidiaries will have any duty to refrain from (i) engaging in a corporate opportunity in the same or similar lines of business in which the Corporation or its subsidiaries from time to time is engaged or proposes to engage or (ii) otherwise competing, directly or indirectly, with the Corporation or any of its subsidiaries; and (c) if any holder of Capital Stock or any Director that is not an employee of the Corporation or its subsidiaries acquires knowledge of a potential transaction or other business opportunity which may be a corporate opportunity both for such holder of Capital Stock or such Director or any of their respective affiliates, on the one hand, and for the Corporation or its subsidiaries, on the other hand, such holder of Capital Stock or Director shall have no duty to communicate or offer such transaction or business opportunity to the Corporation or its subsidiaries and such holder of Capital Stock or Director may take any and all such transactions or opportunities for itself or offer such transactions or opportunities to any other person or entity. The preceding sentence of this Article 10 shall not apply to any potential transaction or business opportunity that is expressly offered to a Director, who is not an employee of the Corporation or its subsidiaries, solely in his or her capacity as a Director.</w:t>
      </w:r>
    </w:p>
    <w:p>
      <w:pPr>
        <w:spacing w:after="0" w:line="197"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the laws of the State of Delaware, no potential transaction or business opportunity may be deemed to be a potential corporate opportunity of the Corporation or its subsidiaries unless (a) the Corporation and its subsidiaries would be permitted to undertake such transaction or opportunity in accordance with this Amended and Restated Certificate of Incorporation, (b) the Corporation and its subsidiaries at such time have sufficient financial resources to undertake such transaction or opportunity and (c) such transaction or opportunity would be in the same or similar line of business in which the Corporation and its subsidiaries are then engaged or a line of business that is reasonably related to, or a reasonable extension of, such line of business.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No holder of Capital Stock and no Director will be liable to the Corporation or its subsidiaries or stockholders for breach of any duty (contractual or otherwise) by reason of any activities or omissions of the types referred to in this Article 10, except to the extent such actions or omissions are in breach of this Certificate of Incorporation.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w:t>
      </w:r>
    </w:p>
    <w:p>
      <w:pPr>
        <w:spacing w:after="0" w:line="203" w:lineRule="exact"/>
        <w:rPr>
          <w:sz w:val="20"/>
          <w:szCs w:val="20"/>
          <w:color w:val="auto"/>
        </w:rPr>
      </w:pPr>
    </w:p>
    <w:p>
      <w:pPr>
        <w:ind w:right="180" w:firstLine="441"/>
        <w:spacing w:after="0" w:line="257"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(the “</w:t>
      </w:r>
      <w:r>
        <w:rPr>
          <w:rFonts w:ascii="Times New Roman" w:cs="Times New Roman" w:eastAsia="Times New Roman" w:hAnsi="Times New Roman"/>
          <w:sz w:val="18"/>
          <w:szCs w:val="18"/>
          <w:b w:val="1"/>
          <w:bCs w:val="1"/>
          <w:color w:val="auto"/>
        </w:rPr>
        <w:t>Court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Chancery</w:t>
      </w:r>
      <w:r>
        <w:rPr>
          <w:rFonts w:ascii="Times New Roman" w:cs="Times New Roman" w:eastAsia="Times New Roman" w:hAnsi="Times New Roman"/>
          <w:sz w:val="18"/>
          <w:szCs w:val="18"/>
          <w:color w:val="auto"/>
        </w:rPr>
        <w:t>”) shall be the sole and exclusive forum for any stockholder (including a beneficial owner) to bring (i) any derivative action or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brought on behalf of the Corporation, (ii) any action asserting a claim of breach of a fiduciary duty owed by any director, officer, other employee or agent of the Corporation to the Corporation or the Corporation’s stockholders, (iii) any action asserting a claim against the Corporation, any director or the Corporation’s officers or employees arising pursuant to any provision of Delaware Law or this Amended and Restated Certificate of Incorporation or the Bylaws, or (iv) any action asserting a claim</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the Corporation, any Director or the Corporation’s officers or employees governed by the internal affairs doctrine, except, as to each of clauses</w:t>
      </w:r>
    </w:p>
    <w:p>
      <w:pPr>
        <w:spacing w:after="0" w:line="27" w:lineRule="exact"/>
        <w:rPr>
          <w:sz w:val="20"/>
          <w:szCs w:val="20"/>
          <w:color w:val="auto"/>
        </w:rPr>
      </w:pPr>
    </w:p>
    <w:p>
      <w:pPr>
        <w:jc w:val="both"/>
        <w:ind w:right="120" w:firstLine="8"/>
        <w:spacing w:after="0" w:line="253"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above, for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Any person or entity purchasing or otherwise acquiring any interest in shares of capital stock of the Corporation shall be deemed to have notice of and consented to the provisions of this Article 11.</w:t>
      </w:r>
    </w:p>
    <w:p>
      <w:pPr>
        <w:spacing w:after="0" w:line="187" w:lineRule="exact"/>
        <w:rPr>
          <w:sz w:val="20"/>
          <w:szCs w:val="20"/>
          <w:color w:val="auto"/>
        </w:rPr>
      </w:pPr>
    </w:p>
    <w:p>
      <w:pPr>
        <w:ind w:right="480" w:firstLine="441"/>
        <w:spacing w:after="0" w:line="266" w:lineRule="auto"/>
        <w:rPr>
          <w:sz w:val="20"/>
          <w:szCs w:val="20"/>
          <w:color w:val="auto"/>
        </w:rPr>
      </w:pPr>
      <w:r>
        <w:rPr>
          <w:rFonts w:ascii="Times New Roman" w:cs="Times New Roman" w:eastAsia="Times New Roman" w:hAnsi="Times New Roman"/>
          <w:sz w:val="18"/>
          <w:szCs w:val="18"/>
          <w:color w:val="auto"/>
        </w:rPr>
        <w:t>The foregoing exclusive forum provision of this Article 11 shall not apply to any action brought to enforce any liability or duty created by the Securities Exchange Act of 1934, as amended, the Securities Act of 1933, as amended, or any other claim for which the federal courts have exclusive jurisdiction.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 expressly elects not to be governed by Section 203 of the Delaware Law.</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Certificate of Incorporation, the following terms have the following meanings:</w:t>
      </w:r>
    </w:p>
    <w:p>
      <w:pPr>
        <w:spacing w:after="0" w:line="113"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For the purpose of this definition,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control with</w:t>
      </w:r>
      <w:r>
        <w:rPr>
          <w:rFonts w:ascii="Times New Roman" w:cs="Times New Roman" w:eastAsia="Times New Roman" w:hAnsi="Times New Roman"/>
          <w:sz w:val="18"/>
          <w:szCs w:val="18"/>
          <w:color w:val="auto"/>
        </w:rPr>
        <w:t>”), as used with respect to any Person, means the possession, directly or indirectly, of the power to direct or cause the direction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policies of such Person, whether through the ownership of voting securities, by contract or otherwise.</w:t>
      </w:r>
    </w:p>
    <w:p>
      <w:pPr>
        <w:spacing w:after="0" w:line="176" w:lineRule="exact"/>
        <w:rPr>
          <w:sz w:val="20"/>
          <w:szCs w:val="20"/>
          <w:color w:val="auto"/>
        </w:rPr>
      </w:pPr>
    </w:p>
    <w:p>
      <w:pPr>
        <w:ind w:right="500" w:firstLine="441"/>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WITNESS WHEREOF, the undersigned has executed this Amended and Restated Certificate of Incorporation this 3</w:t>
      </w:r>
      <w:r>
        <w:rPr>
          <w:rFonts w:ascii="Times New Roman" w:cs="Times New Roman" w:eastAsia="Times New Roman" w:hAnsi="Times New Roman"/>
          <w:sz w:val="9"/>
          <w:szCs w:val="9"/>
          <w:color w:val="auto"/>
        </w:rPr>
        <w:t>rd</w:t>
      </w:r>
      <w:r>
        <w:rPr>
          <w:rFonts w:ascii="Times New Roman" w:cs="Times New Roman" w:eastAsia="Times New Roman" w:hAnsi="Times New Roman"/>
          <w:sz w:val="18"/>
          <w:szCs w:val="18"/>
          <w:color w:val="auto"/>
        </w:rPr>
        <w:t xml:space="preserve"> day of February, 2020.</w:t>
      </w:r>
    </w:p>
    <w:p>
      <w:pPr>
        <w:spacing w:after="0" w:line="200" w:lineRule="exact"/>
        <w:rPr>
          <w:sz w:val="20"/>
          <w:szCs w:val="20"/>
          <w:color w:val="auto"/>
        </w:rPr>
      </w:pPr>
    </w:p>
    <w:p>
      <w:pPr>
        <w:spacing w:after="0" w:line="37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David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1568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David Watson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Secretary</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8"/>
        <w:spacing w:after="0" w:line="286" w:lineRule="auto"/>
        <w:tabs>
          <w:tab w:leader="none" w:pos="27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Text omitted pursuant to Item 601(b)(10)(iv) of Regulation S-K under the Securities Exchange Act of 1934, as amended, because it is not material and is of the type that the registrant treats as private or confidential.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WAREHOUSING AND FREIGHT SERVICES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Warehousing and Freight Services Agreement (referred to herein as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November 1, 2019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Reynolds Consumer Products LLC, a Delaware limited liability company with its principal place of business at 1900 West Field Court, Lake Forest, IL 60045 (referred to at times as “</w:t>
      </w:r>
      <w:r>
        <w:rPr>
          <w:rFonts w:ascii="Times New Roman" w:cs="Times New Roman" w:eastAsia="Times New Roman" w:hAnsi="Times New Roman"/>
          <w:sz w:val="18"/>
          <w:szCs w:val="18"/>
          <w:u w:val="single" w:color="auto"/>
          <w:color w:val="auto"/>
        </w:rPr>
        <w:t>Reynolds</w:t>
      </w:r>
      <w:r>
        <w:rPr>
          <w:rFonts w:ascii="Times New Roman" w:cs="Times New Roman" w:eastAsia="Times New Roman" w:hAnsi="Times New Roman"/>
          <w:sz w:val="18"/>
          <w:szCs w:val="18"/>
          <w:color w:val="auto"/>
        </w:rPr>
        <w:t>”) and Pactiv LLC, a Delaware limited liability company with offices at 1900 West Field Court, Lake Forest, IL 60045 (referred to at times as “</w:t>
      </w:r>
      <w:r>
        <w:rPr>
          <w:rFonts w:ascii="Times New Roman" w:cs="Times New Roman" w:eastAsia="Times New Roman" w:hAnsi="Times New Roman"/>
          <w:sz w:val="18"/>
          <w:szCs w:val="18"/>
          <w:u w:val="single" w:color="auto"/>
          <w:color w:val="auto"/>
        </w:rPr>
        <w:t>Pactiv</w:t>
      </w:r>
      <w:r>
        <w:rPr>
          <w:rFonts w:ascii="Times New Roman" w:cs="Times New Roman" w:eastAsia="Times New Roman" w:hAnsi="Times New Roman"/>
          <w:sz w:val="18"/>
          <w:szCs w:val="18"/>
          <w:color w:val="auto"/>
        </w:rPr>
        <w:t>”). Reynolds and Pactiv are each referred at times in this Agreement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firstLine="8"/>
        <w:spacing w:after="0" w:line="282" w:lineRule="auto"/>
        <w:tabs>
          <w:tab w:leader="none" w:pos="35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have entered into a Master Supply Agreement dated November 1, 2019 (the “</w:t>
      </w:r>
      <w:r>
        <w:rPr>
          <w:rFonts w:ascii="Times New Roman" w:cs="Times New Roman" w:eastAsia="Times New Roman" w:hAnsi="Times New Roman"/>
          <w:sz w:val="18"/>
          <w:szCs w:val="18"/>
          <w:u w:val="single" w:color="auto"/>
          <w:color w:val="auto"/>
        </w:rPr>
        <w:t>MSA</w:t>
      </w:r>
      <w:r>
        <w:rPr>
          <w:rFonts w:ascii="Times New Roman" w:cs="Times New Roman" w:eastAsia="Times New Roman" w:hAnsi="Times New Roman"/>
          <w:sz w:val="18"/>
          <w:szCs w:val="18"/>
          <w:color w:val="auto"/>
        </w:rPr>
        <w:t>”) under which Pactiv has agreed to manufacture and sell to Reynolds, and Reynolds has agreed to purchase from Pactiv, certain food packaging and foodservice products (the “</w:t>
      </w:r>
      <w:r>
        <w:rPr>
          <w:rFonts w:ascii="Times New Roman" w:cs="Times New Roman" w:eastAsia="Times New Roman" w:hAnsi="Times New Roman"/>
          <w:sz w:val="18"/>
          <w:szCs w:val="18"/>
          <w:u w:val="single" w:color="auto"/>
          <w:color w:val="auto"/>
        </w:rPr>
        <w:t>Pactiv Products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42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desires that Pactiv receive, store and handle food packaging and foodservice goods manufactured by Reynolds and its Affiliates (the “</w:t>
      </w:r>
      <w:r>
        <w:rPr>
          <w:rFonts w:ascii="Times New Roman" w:cs="Times New Roman" w:eastAsia="Times New Roman" w:hAnsi="Times New Roman"/>
          <w:sz w:val="18"/>
          <w:szCs w:val="18"/>
          <w:u w:val="single" w:color="auto"/>
          <w:color w:val="auto"/>
        </w:rPr>
        <w:t>Reynolds Products</w:t>
      </w:r>
      <w:r>
        <w:rPr>
          <w:rFonts w:ascii="Times New Roman" w:cs="Times New Roman" w:eastAsia="Times New Roman" w:hAnsi="Times New Roman"/>
          <w:sz w:val="18"/>
          <w:szCs w:val="18"/>
          <w:color w:val="auto"/>
        </w:rPr>
        <w:t xml:space="preserve">”), and (after mixing them with Pactiv Products purchased by Reynolds under the MSA, if applicable) load them for delivery to Reynolds’ third party customers, or directly to Reynolds; on common carrier trucks or hold them for pick up by Reynolds or its third-party customers on the business campuses in the cities, states and provinces listed in attached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of this Agreement that are owned or leased by Pactiv or its Affiliates (such campuses are referred to herein as the “</w:t>
      </w:r>
      <w:r>
        <w:rPr>
          <w:rFonts w:ascii="Times New Roman" w:cs="Times New Roman" w:eastAsia="Times New Roman" w:hAnsi="Times New Roman"/>
          <w:sz w:val="18"/>
          <w:szCs w:val="18"/>
          <w:u w:val="single" w:color="auto"/>
          <w:color w:val="auto"/>
        </w:rPr>
        <w:t>Warehouses</w:t>
      </w:r>
      <w:r>
        <w:rPr>
          <w:rFonts w:ascii="Times New Roman" w:cs="Times New Roman" w:eastAsia="Times New Roman" w:hAnsi="Times New Roman"/>
          <w:sz w:val="18"/>
          <w:szCs w:val="18"/>
          <w:color w:val="auto"/>
        </w:rPr>
        <w:t xml:space="preserve">”) and to obtain these storage and related warehouse services from Pactiv as more fully described in the attached </w:t>
      </w:r>
      <w:r>
        <w:rPr>
          <w:rFonts w:ascii="Times New Roman" w:cs="Times New Roman" w:eastAsia="Times New Roman" w:hAnsi="Times New Roman"/>
          <w:sz w:val="18"/>
          <w:szCs w:val="18"/>
          <w:u w:val="single" w:color="auto"/>
          <w:color w:val="auto"/>
        </w:rPr>
        <w:t>Schedule 1-B</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Warehouse Services</w:t>
      </w:r>
      <w:r>
        <w:rPr>
          <w:rFonts w:ascii="Times New Roman" w:cs="Times New Roman" w:eastAsia="Times New Roman" w:hAnsi="Times New Roman"/>
          <w:sz w:val="18"/>
          <w:szCs w:val="18"/>
          <w:color w:val="auto"/>
        </w:rPr>
        <w:t>”) on the terms and conditions in this Agreement. Pactiv desires to perform such Services for Reynolds on the terms and conditions in this Agreement. By way of clarification, Pactiv Canada, Inc. will perform the Warehouse Services on behalf of Pactiv at the Warehouse located in Bolton, Ontario, Canada.</w:t>
      </w:r>
    </w:p>
    <w:p>
      <w:pPr>
        <w:spacing w:after="0" w:line="83" w:lineRule="exact"/>
        <w:rPr>
          <w:rFonts w:ascii="Times New Roman" w:cs="Times New Roman" w:eastAsia="Times New Roman" w:hAnsi="Times New Roman"/>
          <w:sz w:val="18"/>
          <w:szCs w:val="18"/>
          <w:b w:val="1"/>
          <w:bCs w:val="1"/>
          <w:color w:val="auto"/>
        </w:rPr>
      </w:pPr>
    </w:p>
    <w:p>
      <w:pPr>
        <w:jc w:val="both"/>
        <w:ind w:firstLine="8"/>
        <w:spacing w:after="0" w:line="258" w:lineRule="auto"/>
        <w:tabs>
          <w:tab w:leader="none" w:pos="31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Reynolds further desires Pactiv to arrange on behalf of Reynolds and its Affiliates for third-party common carriers to pick-up orders of Pactiv Products, Reynolds Products or both from the Warehouses and certain other manufacturing and warehouse facilities of Reynolds and its Affiliates located in the United States, Canada and Mexico and to transport and deliver them to third-party customers of Reynolds all as more fully described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of this Agreement (the “</w:t>
      </w:r>
      <w:r>
        <w:rPr>
          <w:rFonts w:ascii="Times New Roman" w:cs="Times New Roman" w:eastAsia="Times New Roman" w:hAnsi="Times New Roman"/>
          <w:sz w:val="18"/>
          <w:szCs w:val="18"/>
          <w:u w:val="single" w:color="auto"/>
          <w:color w:val="auto"/>
        </w:rPr>
        <w:t>Freight Services</w:t>
      </w:r>
      <w:r>
        <w:rPr>
          <w:rFonts w:ascii="Times New Roman" w:cs="Times New Roman" w:eastAsia="Times New Roman" w:hAnsi="Times New Roman"/>
          <w:sz w:val="18"/>
          <w:szCs w:val="18"/>
          <w:color w:val="auto"/>
        </w:rPr>
        <w:t>”) on the terms and conditions in this Agreement. Pactiv desires to perform the Freight Services for Reynolds on the terms and conditions of this Agreement. The Warehouse Services and the Freight Services will be collectively referred to as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in this Agreement.</w:t>
      </w:r>
    </w:p>
    <w:p>
      <w:pPr>
        <w:spacing w:after="0" w:line="75"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40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has been providing the Services to Reynolds for a number of years prior to the Effective Date. In connection with Pactiv providing such Services to Reynolds, the Parties have developed and follow certain standard operating procedures (the “</w:t>
      </w:r>
      <w:r>
        <w:rPr>
          <w:rFonts w:ascii="Times New Roman" w:cs="Times New Roman" w:eastAsia="Times New Roman" w:hAnsi="Times New Roman"/>
          <w:sz w:val="18"/>
          <w:szCs w:val="18"/>
          <w:u w:val="single" w:color="auto"/>
          <w:color w:val="auto"/>
        </w:rPr>
        <w:t>SOPs</w:t>
      </w:r>
      <w:r>
        <w:rPr>
          <w:rFonts w:ascii="Times New Roman" w:cs="Times New Roman" w:eastAsia="Times New Roman" w:hAnsi="Times New Roman"/>
          <w:sz w:val="18"/>
          <w:szCs w:val="18"/>
          <w:color w:val="auto"/>
        </w:rPr>
        <w:t>”). The Parties will be updating their respective business systems over the next six months, and, since the updates to these business systems will require the Parties to modify the SOPs, the Parties intend to negotiate and agree in writing to a document containing the updated SOPs. Until the business systems have been updated and the updated SOPs have been agreed upon, the current SOPs will apply. The SOPs supplement and may amend the provisions in this Agreement and the MSA. In the event of any conflict or inconsistency between this Agreement and the SOPs, the SOPs will govern and control but only with respect to the provision in the SOPs that specifically apply to the performance or delivery of the Services under this Agreement.</w:t>
      </w:r>
    </w:p>
    <w:p>
      <w:pPr>
        <w:spacing w:after="0" w:line="80" w:lineRule="exact"/>
        <w:rPr>
          <w:rFonts w:ascii="Times New Roman" w:cs="Times New Roman" w:eastAsia="Times New Roman" w:hAnsi="Times New Roman"/>
          <w:sz w:val="18"/>
          <w:szCs w:val="18"/>
          <w:b w:val="1"/>
          <w:bCs w:val="1"/>
          <w:color w:val="auto"/>
        </w:rPr>
      </w:pPr>
    </w:p>
    <w:p>
      <w:pPr>
        <w:jc w:val="both"/>
        <w:ind w:firstLine="8"/>
        <w:spacing w:after="0" w:line="258" w:lineRule="auto"/>
        <w:tabs>
          <w:tab w:leader="none" w:pos="396"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the intention of the Parties to continue operate in substantially the same manner with respect to the practices, procedures, volumes and cost allocations used by the Parties prior to the Effective Date in Pactiv’s providing and Reynolds’ purchasing and using the Services. Therefore, the phrase “commercially reasonable” when used herein means in accordance with the methodology or practices that the Parties used with respect to such action or issue, substantially the same volume with respect to the amount of Services, the same turnaround time with respect to orders and acceptances, or the same protocol for communication that was used by the Parties during the trailing twelve (12) month period immediately prior to the Effective Date.</w:t>
      </w:r>
    </w:p>
    <w:p>
      <w:pPr>
        <w:sectPr>
          <w:pgSz w:w="11900" w:h="16838" w:orient="portrait"/>
          <w:cols w:equalWidth="0" w:num="1">
            <w:col w:w="11240"/>
          </w:cols>
          <w:pgMar w:left="320" w:top="117" w:right="339" w:bottom="1440" w:gutter="0" w:footer="0" w:header="0"/>
        </w:sectPr>
      </w:pPr>
    </w:p>
    <w:bookmarkStart w:id="42" w:name="page43"/>
    <w:bookmarkEnd w:id="42"/>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agree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 Term and Warehouse and Freight Service Periods</w:t>
      </w:r>
    </w:p>
    <w:p>
      <w:pPr>
        <w:spacing w:after="0" w:line="283" w:lineRule="exact"/>
        <w:rPr>
          <w:sz w:val="20"/>
          <w:szCs w:val="20"/>
          <w:color w:val="auto"/>
        </w:rPr>
      </w:pPr>
    </w:p>
    <w:p>
      <w:pPr>
        <w:jc w:val="both"/>
        <w:ind w:left="460" w:hanging="454"/>
        <w:spacing w:after="0" w:line="253" w:lineRule="auto"/>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of this Agreement will commence on the Effective Date and will end on the earlier of: (i) May 31, 2024 (the “Termination Date”); (ii) a termination date elected by a Party in a written notice delivered to the other Party in the event Pactiv has ceased performing Warehouse and Freight Services for Reynolds at all Pactiv and Reynolds facilities prior to the Termination Date; or (iii) an earlier termination date that occurs in accordance with the Dispute Resolution Section of this Agreement. The rights and obligations of the Parties under this Agreement will survive the expiration or earlier termination of this Agreement with respect to any: (1) Reynolds Products being stored in a Warehouse at the end of the Term; (2) Confidential Information (as defined later in this Agreement) disclosed or received by a Party during the Term; (3) consequences of a breach of this Agreement by a Party; (4) any other statement, decision, act or omission of a Party during the Term concerning or related to this Agreement;(5) reconciliation of any third-party carrier freight charges that were not available for billing prior to the end of the Term; (6) any Dispute (as defined later in this Agreement) between the Parties concerning or related to this Agreement; and (7) any provision that expressly states that it will survive the expiration or earlier termination of this Agreement.</w:t>
      </w:r>
    </w:p>
    <w:p>
      <w:pPr>
        <w:spacing w:after="0" w:line="369" w:lineRule="exact"/>
        <w:rPr>
          <w:rFonts w:ascii="Times New Roman" w:cs="Times New Roman" w:eastAsia="Times New Roman" w:hAnsi="Times New Roman"/>
          <w:sz w:val="18"/>
          <w:szCs w:val="18"/>
          <w:b w:val="1"/>
          <w:bCs w:val="1"/>
          <w:color w:val="auto"/>
        </w:rPr>
      </w:pPr>
    </w:p>
    <w:p>
      <w:pPr>
        <w:jc w:val="both"/>
        <w:ind w:left="460" w:hanging="454"/>
        <w:spacing w:after="0" w:line="258" w:lineRule="auto"/>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Pactiv will only be required to store Reynolds Products in a Warehouse and perform the other Warehouse Services at each Warehouse from the Effective Date through the Service Expiration Date of the Warehouse listed in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Warehouse Service Period</w:t>
      </w:r>
      <w:r>
        <w:rPr>
          <w:rFonts w:ascii="Times New Roman" w:cs="Times New Roman" w:eastAsia="Times New Roman" w:hAnsi="Times New Roman"/>
          <w:sz w:val="18"/>
          <w:szCs w:val="18"/>
          <w:color w:val="auto"/>
        </w:rPr>
        <w:t>”). Reynolds must remove all Reynolds Products in a Warehouse on or before its Service Expiration Date or any earlier termination of services at any Warehouse in accordance with other provisions of this Agreement. A Warehouse will be deemed excluded from the scope of this Agreement after its Service Expiration Date.</w:t>
      </w:r>
    </w:p>
    <w:p>
      <w:pPr>
        <w:spacing w:after="0" w:line="345" w:lineRule="exact"/>
        <w:rPr>
          <w:rFonts w:ascii="Times New Roman" w:cs="Times New Roman" w:eastAsia="Times New Roman" w:hAnsi="Times New Roman"/>
          <w:sz w:val="18"/>
          <w:szCs w:val="18"/>
          <w:b w:val="1"/>
          <w:bCs w:val="1"/>
          <w:color w:val="auto"/>
        </w:rPr>
      </w:pPr>
    </w:p>
    <w:p>
      <w:pPr>
        <w:jc w:val="both"/>
        <w:ind w:left="460" w:hanging="454"/>
        <w:spacing w:after="0" w:line="252" w:lineRule="auto"/>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is not obligated to store any quantity of Reynolds Products in a Warehouse under this Agreement. The Parties acknowledge and agree that Reynolds will be executing a regional exit strategy from the Warehouses which will include exiting certain Warehouses prior to the scheduled Service Expiration Dates, and Pactiv will cooperate with Reynolds in executing the strategy to the extent that Pactiv has reasonable advance notice of Reynolds desired exit plan. Therefore, if Reynolds at any time wishes to terminate its right to use Pactiv’s Services at any Warehouse under this Agreement prior to the applicable Warehouse Service Expiration Date, Reynolds may request such early termination to Pactiv in writing identifying a new proposed service expiration date (the “</w:t>
      </w:r>
      <w:r>
        <w:rPr>
          <w:rFonts w:ascii="Times New Roman" w:cs="Times New Roman" w:eastAsia="Times New Roman" w:hAnsi="Times New Roman"/>
          <w:sz w:val="18"/>
          <w:szCs w:val="18"/>
          <w:u w:val="single" w:color="auto"/>
          <w:color w:val="auto"/>
        </w:rPr>
        <w:t>Early Service Expiration Date</w:t>
      </w:r>
      <w:r>
        <w:rPr>
          <w:rFonts w:ascii="Times New Roman" w:cs="Times New Roman" w:eastAsia="Times New Roman" w:hAnsi="Times New Roman"/>
          <w:sz w:val="18"/>
          <w:szCs w:val="18"/>
          <w:color w:val="auto"/>
        </w:rPr>
        <w:t xml:space="preserve">”) on not less than one hundred and eighty (180) days advance written notice. Unless there are extenuating circumstances that would impair Pactiv’s ability to release Reynolds from the applicable Warehouse on the proposed Early Service Expiration Date, including, without limitation, that Pactiv has no use for the Base Storage Capacity and does not wish to have to solely absorb the cost for such space, Pactiv will promptly consent to the Early Service Expiration Date proposed by Reynolds. If Pactiv reasonably believes there are extenuating circumstances that would impair Pactiv’s ability to release Reynolds from the applicable Warehouse on the proposed Early Service Expiration Date, Pactiv will promptly respond to Reynolds’ request for an Early Service Expiration Date in writing with an explanation of the extenuating circumstances and the Parties will cooperate in seeking a solution to the extenuating circumstances and try to identify a new Early Service Termination Date that is acceptable to both Parties. On or before the agreed Early Service Termination Date, Reynolds must remove all Reynolds Products from the applicable Warehouse and, from and after any Early Service Termination Date, Pactiv will be released of any obligation under this Agreement to perform any Services for Reynolds at the identified Warehouse and Reynolds will be released from its obligation to pay the Base Storage Fee (as defined in </w:t>
      </w:r>
      <w:r>
        <w:rPr>
          <w:rFonts w:ascii="Times New Roman" w:cs="Times New Roman" w:eastAsia="Times New Roman" w:hAnsi="Times New Roman"/>
          <w:sz w:val="18"/>
          <w:szCs w:val="18"/>
          <w:u w:val="single" w:color="auto"/>
          <w:color w:val="auto"/>
        </w:rPr>
        <w:t>Section II.1.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of this Agreement) for the Warehouse under this Agreement.</w:t>
      </w:r>
    </w:p>
    <w:p>
      <w:pPr>
        <w:sectPr>
          <w:pgSz w:w="11900" w:h="16838" w:orient="portrait"/>
          <w:cols w:equalWidth="0" w:num="1">
            <w:col w:w="11200"/>
          </w:cols>
          <w:pgMar w:left="340" w:top="1440" w:right="359" w:bottom="1440" w:gutter="0" w:footer="0" w:header="0"/>
        </w:sectPr>
      </w:pPr>
    </w:p>
    <w:bookmarkStart w:id="43" w:name="page44"/>
    <w:bookmarkEnd w:id="43"/>
    <w:p>
      <w:pPr>
        <w:spacing w:after="0" w:line="18" w:lineRule="exact"/>
        <w:rPr>
          <w:sz w:val="20"/>
          <w:szCs w:val="20"/>
          <w:color w:val="auto"/>
        </w:rPr>
      </w:pPr>
    </w:p>
    <w:p>
      <w:pPr>
        <w:jc w:val="both"/>
        <w:ind w:left="460" w:right="20" w:hanging="454"/>
        <w:spacing w:after="0" w:line="224" w:lineRule="auto"/>
        <w:tabs>
          <w:tab w:leader="none" w:pos="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is not obligated under this Agreement to purchase any Freight Services from Pactiv; provided, however, that all outbound shipments from the Warehouses during the Term will be arranged by Pactiv and will be provided to Reynolds as part of the Freight Services. Unless the Parties otherwise agree in a signed writing, Reynolds will not be able to order nor will Pactiv be obligated to provide Freight Services after the Termination Date.</w:t>
      </w:r>
    </w:p>
    <w:p>
      <w:pPr>
        <w:spacing w:after="0" w:line="374" w:lineRule="exact"/>
        <w:rPr>
          <w:rFonts w:ascii="Times New Roman" w:cs="Times New Roman" w:eastAsia="Times New Roman" w:hAnsi="Times New Roman"/>
          <w:sz w:val="18"/>
          <w:szCs w:val="18"/>
          <w:b w:val="1"/>
          <w:bCs w:val="1"/>
          <w:color w:val="auto"/>
        </w:rPr>
      </w:pPr>
    </w:p>
    <w:p>
      <w:pPr>
        <w:jc w:val="both"/>
        <w:ind w:left="460" w:right="20" w:hanging="454"/>
        <w:spacing w:after="0" w:line="252" w:lineRule="auto"/>
        <w:tabs>
          <w:tab w:leader="none" w:pos="4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 contrary in this Agreement, nothing in this Agreement will require Pactiv to operate its warehousing and transportation functions in a materially different manner than it did in the trailing twelve (12) month period prior to the Effective Date. To the extent that Reynolds anticipates any significant change in its sales or supply chain operations (“</w:t>
      </w:r>
      <w:r>
        <w:rPr>
          <w:rFonts w:ascii="Times New Roman" w:cs="Times New Roman" w:eastAsia="Times New Roman" w:hAnsi="Times New Roman"/>
          <w:sz w:val="18"/>
          <w:szCs w:val="18"/>
          <w:u w:val="single" w:color="auto"/>
          <w:color w:val="auto"/>
        </w:rPr>
        <w:t>Operations Change</w:t>
      </w:r>
      <w:r>
        <w:rPr>
          <w:rFonts w:ascii="Times New Roman" w:cs="Times New Roman" w:eastAsia="Times New Roman" w:hAnsi="Times New Roman"/>
          <w:sz w:val="18"/>
          <w:szCs w:val="18"/>
          <w:color w:val="auto"/>
        </w:rPr>
        <w:t>”), such as (i) commencing sales of a materially different new Reynolds Product that will require different handling procedures, (ii) adding new manufacturing or sourcing locations for production of Reynolds Products to be shipped to the Warehouses or transported using the Freight Services, or (iii) commencing sales to a new customer that has different or unique requirements that will cause a material change in the order fulfillment process or timeframes; then, Reynolds will provide Pactiv as much prior notice of such Operations Change as possible but in no case less than thirty (30) days prior notice. Upon notification of an Operations Change, Pactiv will have not less than ten (10) days to assess whether the Operations Change is likely to cause a material change in its performance of the Warehousing and/or Freight Services hereunder and will have an impact on Pactiv’s ability to provide the Warehousing and/or Freight Services to Reynolds (“</w:t>
      </w:r>
      <w:r>
        <w:rPr>
          <w:rFonts w:ascii="Times New Roman" w:cs="Times New Roman" w:eastAsia="Times New Roman" w:hAnsi="Times New Roman"/>
          <w:sz w:val="18"/>
          <w:szCs w:val="18"/>
          <w:u w:val="single" w:color="auto"/>
          <w:color w:val="auto"/>
        </w:rPr>
        <w:t>Material Impact</w:t>
      </w:r>
      <w:r>
        <w:rPr>
          <w:rFonts w:ascii="Times New Roman" w:cs="Times New Roman" w:eastAsia="Times New Roman" w:hAnsi="Times New Roman"/>
          <w:sz w:val="18"/>
          <w:szCs w:val="18"/>
          <w:color w:val="auto"/>
        </w:rPr>
        <w:t>”). If Pactiv determines that there will be a Material Impact, it will notify Reynolds and the Parties will meet to adjust the Services, pricing or any related matter under this Agreement in a fair and equitable manner given the Operations Change; provided, however, that Pactiv will not be penalized or absorb any additional liabilities, costs or expenses due any Operations Change of Reynolds and an Operations Change will not be implemented unless and until the Parties reach a mutually acceptable signed written agreement on the Operations Change.</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II. Warehouse Services</w:t>
      </w:r>
    </w:p>
    <w:p>
      <w:pPr>
        <w:spacing w:after="0" w:line="229"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18"/>
          <w:szCs w:val="18"/>
          <w:color w:val="auto"/>
        </w:rPr>
        <w:t xml:space="preserve">Pactiv will provide Reynolds with the Warehouse Services at the Warehouses listed on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The amount of Warehouse storage in cubic feet available to Reynolds at each Warehouse on the terms and conditions of this Agreement and the Service Expiration Date for each Warehouse are listed on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The terms and conditions of providing, using and paying for the Warehouse Services are set forth in </w:t>
      </w:r>
      <w:r>
        <w:rPr>
          <w:rFonts w:ascii="Times New Roman" w:cs="Times New Roman" w:eastAsia="Times New Roman" w:hAnsi="Times New Roman"/>
          <w:sz w:val="18"/>
          <w:szCs w:val="18"/>
          <w:u w:val="single" w:color="auto"/>
          <w:color w:val="auto"/>
        </w:rPr>
        <w:t>Schedule 1-B</w:t>
      </w:r>
      <w:r>
        <w:rPr>
          <w:rFonts w:ascii="Times New Roman" w:cs="Times New Roman" w:eastAsia="Times New Roman" w:hAnsi="Times New Roman"/>
          <w:sz w:val="18"/>
          <w:szCs w:val="18"/>
          <w:color w:val="auto"/>
        </w:rPr>
        <w:t>. Notwithstanding anything in this Agreement to the contrary, Pactiv may, but will not be required to, perform Services at a Warehouse that would require, involve or result in Pactiv having to perform Services at a Warehouse or otherwise operate its business in a materially different manner than how Pactiv performed Services at the Warehouses for Reynolds, and Pactiv operated its business, during the trailing twelve (12) month period immediately preceding the Effective Date. By way of example, Pactiv will not be required to perform Services at a Warehouse or otherwise operate its business in compliance with a new standard or other requirement adopted by Reynolds or any of its customers unless Pactiv has expressly agreed to do so in the SOPs or in a signed written amendment to this Agreement</w:t>
      </w:r>
    </w:p>
    <w:p>
      <w:pPr>
        <w:sectPr>
          <w:pgSz w:w="11900" w:h="16838" w:orient="portrait"/>
          <w:cols w:equalWidth="0" w:num="1">
            <w:col w:w="11220"/>
          </w:cols>
          <w:pgMar w:left="340" w:top="1440" w:right="339" w:bottom="1440" w:gutter="0" w:footer="0" w:header="0"/>
        </w:sectPr>
      </w:pPr>
    </w:p>
    <w:bookmarkStart w:id="44" w:name="page45"/>
    <w:bookmarkEnd w:id="44"/>
    <w:p>
      <w:pPr>
        <w:spacing w:after="0" w:line="28" w:lineRule="exact"/>
        <w:rPr>
          <w:sz w:val="20"/>
          <w:szCs w:val="20"/>
          <w:color w:val="auto"/>
        </w:rPr>
      </w:pPr>
    </w:p>
    <w:p>
      <w:pPr>
        <w:jc w:val="both"/>
        <w:ind w:left="454" w:hanging="454"/>
        <w:spacing w:after="0" w:line="246" w:lineRule="auto"/>
        <w:tabs>
          <w:tab w:leader="none" w:pos="45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Pricing, Invoice and Payment Terms</w:t>
      </w:r>
      <w:r>
        <w:rPr>
          <w:rFonts w:ascii="Times New Roman" w:cs="Times New Roman" w:eastAsia="Times New Roman" w:hAnsi="Times New Roman"/>
          <w:sz w:val="18"/>
          <w:szCs w:val="18"/>
          <w:color w:val="auto"/>
        </w:rPr>
        <w:t>. During the Term, Reynolds will pay Pactiv fees for each Warehouse that is included in the Agreement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on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Base Storage Fee</w:t>
      </w:r>
      <w:r>
        <w:rPr>
          <w:rFonts w:ascii="Times New Roman" w:cs="Times New Roman" w:eastAsia="Times New Roman" w:hAnsi="Times New Roman"/>
          <w:sz w:val="18"/>
          <w:szCs w:val="18"/>
          <w:color w:val="auto"/>
        </w:rPr>
        <w:t>,” which is the fee for the fixed cubic feet of warehouse space made available by Pactiv to Reynolds for each Warehouse under this Agreement, and “</w:t>
      </w:r>
      <w:r>
        <w:rPr>
          <w:rFonts w:ascii="Times New Roman" w:cs="Times New Roman" w:eastAsia="Times New Roman" w:hAnsi="Times New Roman"/>
          <w:sz w:val="18"/>
          <w:szCs w:val="18"/>
          <w:u w:val="single" w:color="auto"/>
          <w:color w:val="auto"/>
        </w:rPr>
        <w:t>Additional Storage Fee</w:t>
      </w:r>
      <w:r>
        <w:rPr>
          <w:rFonts w:ascii="Times New Roman" w:cs="Times New Roman" w:eastAsia="Times New Roman" w:hAnsi="Times New Roman"/>
          <w:sz w:val="18"/>
          <w:szCs w:val="18"/>
          <w:color w:val="auto"/>
        </w:rPr>
        <w:t>,” which is the fee per cubic foot of space above the Base Storage Space that Reynolds may access at the Warehouses on the terms and conditions in this Agreement, will increase by one and one-half percent (1.5%) on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each calendar year of the Term starting on January 1, 2021. Reynolds will pay Pactiv the Base Storage Fee of a Warehouse on or before the first day of each calendar month during its Warehouse Service Period without notice by Pactiv and regardless of the quantity of Reynolds Products actually stored in a Warehouse. If Pactiv has used Additional Storage Capacity of a Warehouse to store Reynolds Products in a calendar month of its Warehouse Service Period, Pactiv will invoice Reynolds for the amount and duration of Additional Storage Capacity used to store Reynolds Products in the calendar month. Reynolds will pay Pactiv the amount owed for the Additional Storage Capacity used to store Reynolds Products in a calendar month within thirty (30) days of invoice. Further details on pricing, invoicing and payment terms may be provided in the SOPs.</w:t>
      </w:r>
    </w:p>
    <w:p>
      <w:pPr>
        <w:spacing w:after="0" w:line="371" w:lineRule="exact"/>
        <w:rPr>
          <w:sz w:val="20"/>
          <w:szCs w:val="20"/>
          <w:color w:val="auto"/>
        </w:rPr>
      </w:pPr>
    </w:p>
    <w:p>
      <w:pPr>
        <w:jc w:val="both"/>
        <w:ind w:left="454" w:hanging="454"/>
        <w:spacing w:after="0" w:line="256" w:lineRule="auto"/>
        <w:tabs>
          <w:tab w:leader="none" w:pos="45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and Risk of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Title to, and risk of loss of, all Reynolds Products delivered to and accepted by Pactiv at a Warehouse will be and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Reynolds at all times. Notwithstanding the foregoing, Pactiv will be liable to Reynolds for any damage to or loss of Reynolds Goods caused by the breach, negligence or intentional misconduct of Pactiv or its employees, agents or suppliers except for Excluded Loss and Damage. The phrase “</w:t>
      </w:r>
      <w:r>
        <w:rPr>
          <w:rFonts w:ascii="Times New Roman" w:cs="Times New Roman" w:eastAsia="Times New Roman" w:hAnsi="Times New Roman"/>
          <w:sz w:val="18"/>
          <w:szCs w:val="18"/>
          <w:u w:val="single" w:color="auto"/>
          <w:color w:val="auto"/>
        </w:rPr>
        <w:t>Excluded Loss or Damage</w:t>
      </w:r>
      <w:r>
        <w:rPr>
          <w:rFonts w:ascii="Times New Roman" w:cs="Times New Roman" w:eastAsia="Times New Roman" w:hAnsi="Times New Roman"/>
          <w:sz w:val="18"/>
          <w:szCs w:val="18"/>
          <w:color w:val="auto"/>
        </w:rPr>
        <w:t>” means loss or damage of Reynolds Products occurring in the Warehouses or otherwise while in the custody of Pactiv:</w:t>
      </w:r>
    </w:p>
    <w:p>
      <w:pPr>
        <w:spacing w:after="0" w:line="3" w:lineRule="exact"/>
        <w:rPr>
          <w:rFonts w:ascii="Times New Roman" w:cs="Times New Roman" w:eastAsia="Times New Roman" w:hAnsi="Times New Roman"/>
          <w:sz w:val="18"/>
          <w:szCs w:val="18"/>
          <w:b w:val="1"/>
          <w:bCs w:val="1"/>
          <w:color w:val="auto"/>
        </w:rPr>
      </w:pPr>
    </w:p>
    <w:p>
      <w:pPr>
        <w:jc w:val="both"/>
        <w:ind w:left="454"/>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required to be covered by the insurance of Reynolds under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or actually covered by the insurance of Reynolds, or (b) in a calendar year of the Term, an amount of Reynolds Products that represents less than three-tenths of one percent (0.30%) of the total quantity of cases of Reynolds Products stored in the Warehouses in the calendar year.</w:t>
      </w:r>
    </w:p>
    <w:p>
      <w:pPr>
        <w:sectPr>
          <w:pgSz w:w="11900" w:h="16838" w:orient="portrait"/>
          <w:cols w:equalWidth="0" w:num="1">
            <w:col w:w="11194"/>
          </w:cols>
          <w:pgMar w:left="346" w:top="1440" w:right="359" w:bottom="1440" w:gutter="0" w:footer="0" w:header="0"/>
        </w:sectPr>
      </w:pPr>
    </w:p>
    <w:bookmarkStart w:id="45" w:name="page46"/>
    <w:bookmarkEnd w:id="45"/>
    <w:p>
      <w:pPr>
        <w:spacing w:after="0" w:line="28" w:lineRule="exact"/>
        <w:rPr>
          <w:sz w:val="20"/>
          <w:szCs w:val="20"/>
          <w:color w:val="auto"/>
        </w:rPr>
      </w:pPr>
    </w:p>
    <w:p>
      <w:pPr>
        <w:jc w:val="both"/>
        <w:ind w:left="454" w:hanging="454"/>
        <w:spacing w:after="0" w:line="252" w:lineRule="auto"/>
        <w:tabs>
          <w:tab w:leader="none" w:pos="45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Protection of Reynolds’ Ownership of the Reynolds Products</w:t>
      </w:r>
      <w:r>
        <w:rPr>
          <w:rFonts w:ascii="Times New Roman" w:cs="Times New Roman" w:eastAsia="Times New Roman" w:hAnsi="Times New Roman"/>
          <w:sz w:val="18"/>
          <w:szCs w:val="18"/>
          <w:color w:val="auto"/>
        </w:rPr>
        <w:t>. Pactiv will identify Reynolds Products received, stored and delivered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Warehouses as being owned by Reynolds in Pactiv’s records. Reynolds may file a UCC-1 financing statement or other public or private notices required or permitted under Applicable Laws to inform third-parties of the ownership interest of Reynolds in Reynolds Products received, stored and delivered at the Warehouses and to otherwise protect such ownership interest. For the purposes of this Agreement,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laws of the United States of America, its states and territories, their respective districts, municipalities and other political subdivisions, and the branches, departments, administrative agencies, commissions, courts and other tribunals of the foregoing. For Reynolds Products received, stored and delivered at the Warehouse in Bolton, Ontario, the phrase “Applicable Laws” will also mean the laws of the Canada, its provinces and territories, their respective districts, municipalities and other political subdivisions, and the branches, departments, administrative agencies, commissions, courts and other tribunals of the foregoing. Reynolds will promptly provide Pactiv with copies of any financing statements or other public or private notices filed or sent by Reynolds to protect its ownership interest in Reynolds Products stored in a Warehouse. After all Reynolds Products have been removed from a Warehouse and the Warehouse Services Period of a Warehouse has ended or the Warehouse has otherwise been excluded from this Agreement, Reynolds will promptly cancel any financing statement and other public or private notice previously filed or sent by Reynolds to protect its ownership interest in Reynolds Products stored in a Warehouses. Pactiv will cooperate in good faith with the lawful actions of Reynolds to protect its ownership rights in Reynolds Products received, stored and delivered at the Warehouses, but Pactiv will not have to incur any expense, risk or liability in extending its cooperation unless the action is required as a result of a breach of this Agreement by Pactiv. Pactiv will not: (a) permit, or cause to be created, any interest, pledge, mortgage, encumbrance or other lien or restriction of any kind or nature arising by, through or under Pactiv in Reynolds Products received, stored or delivered at the Warehouse; (b) permit the removal of Reynolds Products from the Warehouse other than as expressly authorized by Reynolds under this Agreement or as required by an order of a court or other governmental entity that Pactiv believes in good faith has been issued in accordance with Applicable Laws; (c) knowingly and intentionally do anything to impair the value of any of Reynolds Products received, stored or delivered at the Warehouse or ownership interest of Reynolds in such goods; or (d) endeavor in good faith to avoid commingling Reynolds Products and Pactiv Products except in connection with filling an outbound delivery. Pactiv irrevocably waives any right it may now have or which it may acquire to claim or file any liens against Reynolds Products while in Pactiv’s possession at a Warehouse. Pactiv agrees to furnish Reynolds promptly with written notice of the seizure by any third party, under Applicable Laws or otherwise, of any of Reynolds Products stored at any Warehouse.</w:t>
      </w:r>
    </w:p>
    <w:p>
      <w:pPr>
        <w:spacing w:after="0" w:line="359" w:lineRule="exact"/>
        <w:rPr>
          <w:rFonts w:ascii="Times New Roman" w:cs="Times New Roman" w:eastAsia="Times New Roman" w:hAnsi="Times New Roman"/>
          <w:sz w:val="18"/>
          <w:szCs w:val="18"/>
          <w:b w:val="1"/>
          <w:bCs w:val="1"/>
          <w:color w:val="auto"/>
        </w:rPr>
      </w:pPr>
    </w:p>
    <w:p>
      <w:pPr>
        <w:jc w:val="both"/>
        <w:ind w:left="454" w:hanging="454"/>
        <w:spacing w:after="0" w:line="259" w:lineRule="auto"/>
        <w:tabs>
          <w:tab w:leader="none" w:pos="45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Warehouse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Pactiv will create and keep for not less than three (3) years after the date of creation records (whether in printed, electronic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reproducible format) of: (i) the quantity and type of Reynolds Products received at, stored in and delivered from each Warehouse, (ii) damage to or loss of a Reynolds Products prior to or while in the custody of Pactiv at a Warehouse and (iii) amounts invoiced to and paid by Reynolds under this Agreement. Pactiv will provide Reynolds with copies of these Warehouse records within five (5) business days after Reynolds’ written request made during and for a period of three (3) years after the Term.</w:t>
      </w:r>
    </w:p>
    <w:p>
      <w:pPr>
        <w:spacing w:after="0" w:line="314" w:lineRule="exact"/>
        <w:rPr>
          <w:sz w:val="20"/>
          <w:szCs w:val="20"/>
          <w:color w:val="auto"/>
        </w:rPr>
      </w:pPr>
    </w:p>
    <w:p>
      <w:pPr>
        <w:ind w:left="5134" w:hanging="306"/>
        <w:spacing w:after="0"/>
        <w:tabs>
          <w:tab w:leader="none" w:pos="5134" w:val="left"/>
        </w:tabs>
        <w:numPr>
          <w:ilvl w:val="1"/>
          <w:numId w:val="3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Freight Services</w:t>
      </w:r>
    </w:p>
    <w:p>
      <w:pPr>
        <w:spacing w:after="0" w:line="279" w:lineRule="exact"/>
        <w:rPr>
          <w:rFonts w:ascii="Times New Roman" w:cs="Times New Roman" w:eastAsia="Times New Roman" w:hAnsi="Times New Roman"/>
          <w:sz w:val="18"/>
          <w:szCs w:val="18"/>
          <w:b w:val="1"/>
          <w:bCs w:val="1"/>
          <w:u w:val="single" w:color="auto"/>
          <w:color w:val="auto"/>
        </w:rPr>
      </w:pPr>
    </w:p>
    <w:p>
      <w:pPr>
        <w:jc w:val="both"/>
        <w:ind w:left="454" w:hanging="454"/>
        <w:spacing w:after="0" w:line="257" w:lineRule="auto"/>
        <w:tabs>
          <w:tab w:leader="none" w:pos="454"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Description of Freight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Effective Date until the Freight Services Expiration Date, Reynolds may order shipping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Reynolds’ goods (Reynolds’ goods for which Pactiv arranges shipping on behalf of Reynolds may be referred to herein as “</w:t>
      </w:r>
      <w:r>
        <w:rPr>
          <w:rFonts w:ascii="Times New Roman" w:cs="Times New Roman" w:eastAsia="Times New Roman" w:hAnsi="Times New Roman"/>
          <w:sz w:val="18"/>
          <w:szCs w:val="18"/>
          <w:u w:val="single" w:color="auto"/>
          <w:color w:val="auto"/>
        </w:rPr>
        <w:t>Freight</w:t>
      </w:r>
      <w:r>
        <w:rPr>
          <w:rFonts w:ascii="Times New Roman" w:cs="Times New Roman" w:eastAsia="Times New Roman" w:hAnsi="Times New Roman"/>
          <w:sz w:val="18"/>
          <w:szCs w:val="18"/>
          <w:color w:val="auto"/>
        </w:rPr>
        <w:t>”) from Pactiv. Pactiv will arrange for, manage and pay the third-party carriers (“</w:t>
      </w:r>
      <w:r>
        <w:rPr>
          <w:rFonts w:ascii="Times New Roman" w:cs="Times New Roman" w:eastAsia="Times New Roman" w:hAnsi="Times New Roman"/>
          <w:sz w:val="18"/>
          <w:szCs w:val="18"/>
          <w:u w:val="single" w:color="auto"/>
          <w:color w:val="auto"/>
        </w:rPr>
        <w:t>Carriers</w:t>
      </w:r>
      <w:r>
        <w:rPr>
          <w:rFonts w:ascii="Times New Roman" w:cs="Times New Roman" w:eastAsia="Times New Roman" w:hAnsi="Times New Roman"/>
          <w:sz w:val="18"/>
          <w:szCs w:val="18"/>
          <w:color w:val="auto"/>
        </w:rPr>
        <w:t xml:space="preserve">”), brokers, freight payment agent and other third parties involved in the transportation of Reynolds Freight. Reynolds will be the designated shipper of record on all shipments of Freight managed by Pactiv on Reynolds behalf. Pactiv will also manage all cargo loss claims against carriers and brokers. A more detailed description of the Freight Services is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of this Agreement.</w:t>
      </w:r>
    </w:p>
    <w:p>
      <w:pPr>
        <w:sectPr>
          <w:pgSz w:w="11900" w:h="16838" w:orient="portrait"/>
          <w:cols w:equalWidth="0" w:num="1">
            <w:col w:w="11194"/>
          </w:cols>
          <w:pgMar w:left="346" w:top="1440" w:right="359" w:bottom="1440" w:gutter="0" w:footer="0" w:header="0"/>
        </w:sectPr>
      </w:pPr>
    </w:p>
    <w:bookmarkStart w:id="46" w:name="page47"/>
    <w:bookmarkEnd w:id="46"/>
    <w:p>
      <w:pPr>
        <w:spacing w:after="0" w:line="28" w:lineRule="exact"/>
        <w:rPr>
          <w:sz w:val="20"/>
          <w:szCs w:val="20"/>
          <w:color w:val="auto"/>
        </w:rPr>
      </w:pPr>
    </w:p>
    <w:p>
      <w:pPr>
        <w:jc w:val="both"/>
        <w:ind w:left="460" w:hanging="454"/>
        <w:spacing w:after="0" w:line="268" w:lineRule="auto"/>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Disclaimer of Cargo Liability</w:t>
      </w:r>
      <w:r>
        <w:rPr>
          <w:rFonts w:ascii="Times New Roman" w:cs="Times New Roman" w:eastAsia="Times New Roman" w:hAnsi="Times New Roman"/>
          <w:sz w:val="18"/>
          <w:szCs w:val="18"/>
          <w:color w:val="auto"/>
        </w:rPr>
        <w:t>. Pactiv is not a carrier and Pactiv’s sole obligation under this Agreement is the management of certain of Reynolds’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transportation requirements for the efficient shipment of Reynolds’s Freight. Reynolds therefore releases and agrees to hold harmless and defend Pactiv from any and all liability for cargo loss, damage or destruction claims arising out of the shipment of Reynolds’s Freight.</w:t>
      </w:r>
    </w:p>
    <w:p>
      <w:pPr>
        <w:spacing w:after="0" w:line="346" w:lineRule="exact"/>
        <w:rPr>
          <w:rFonts w:ascii="Times New Roman" w:cs="Times New Roman" w:eastAsia="Times New Roman" w:hAnsi="Times New Roman"/>
          <w:sz w:val="18"/>
          <w:szCs w:val="18"/>
          <w:b w:val="1"/>
          <w:bCs w:val="1"/>
          <w:color w:val="auto"/>
        </w:rPr>
      </w:pPr>
    </w:p>
    <w:p>
      <w:pPr>
        <w:ind w:left="460" w:hanging="454"/>
        <w:spacing w:after="0" w:line="286" w:lineRule="auto"/>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Pricing and Payment Terms for Freight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Pactiv will invoice Reynolds for the actual shipping costs and its service fees for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as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All invoices issued for Freight Services hereunder shall be payable within thirty (30) days of receipt.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IV. Taxes</w:t>
      </w:r>
    </w:p>
    <w:p>
      <w:pPr>
        <w:spacing w:after="0" w:line="279" w:lineRule="exact"/>
        <w:rPr>
          <w:sz w:val="20"/>
          <w:szCs w:val="20"/>
          <w:color w:val="auto"/>
        </w:rPr>
      </w:pPr>
    </w:p>
    <w:p>
      <w:pPr>
        <w:jc w:val="both"/>
        <w:ind w:left="460" w:hanging="454"/>
        <w:spacing w:after="0" w:line="257" w:lineRule="auto"/>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Reynolds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Reynolds will bear all government taxes, levies, fees and other impositions on the Reynolds Products, their storage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Warehouses and otherwise required to be paid by recipients of the Services under Applicable Laws (collectively “</w:t>
      </w:r>
      <w:r>
        <w:rPr>
          <w:rFonts w:ascii="Times New Roman" w:cs="Times New Roman" w:eastAsia="Times New Roman" w:hAnsi="Times New Roman"/>
          <w:sz w:val="18"/>
          <w:szCs w:val="18"/>
          <w:u w:val="single" w:color="auto"/>
          <w:color w:val="auto"/>
        </w:rPr>
        <w:t>Reynolds Taxes</w:t>
      </w:r>
      <w:r>
        <w:rPr>
          <w:rFonts w:ascii="Times New Roman" w:cs="Times New Roman" w:eastAsia="Times New Roman" w:hAnsi="Times New Roman"/>
          <w:sz w:val="18"/>
          <w:szCs w:val="18"/>
          <w:color w:val="auto"/>
        </w:rPr>
        <w:t>”). If required or permitted under Applicable Laws, Reynolds will prepare and file any required reports or returns for such Reynolds Taxes directly with, and pay the Reynolds Taxes owed directly to, the appropriate governmental authorities. If Pactiv is required under Applicable Laws to prepare and file any required reports or returns for such Reynolds Taxes directly with, and to collect and remit the Reynolds Taxes owed directly to, the appropriate governmental authorities, Pactiv will do so and invoice and collect the amount of such Reynolds Taxes from Reynolds.</w:t>
      </w:r>
    </w:p>
    <w:p>
      <w:pPr>
        <w:spacing w:after="0" w:line="357" w:lineRule="exact"/>
        <w:rPr>
          <w:rFonts w:ascii="Times New Roman" w:cs="Times New Roman" w:eastAsia="Times New Roman" w:hAnsi="Times New Roman"/>
          <w:sz w:val="18"/>
          <w:szCs w:val="18"/>
          <w:b w:val="1"/>
          <w:bCs w:val="1"/>
          <w:color w:val="auto"/>
        </w:rPr>
      </w:pPr>
    </w:p>
    <w:p>
      <w:pPr>
        <w:jc w:val="both"/>
        <w:ind w:left="460" w:hanging="454"/>
        <w:spacing w:after="0" w:line="268" w:lineRule="auto"/>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Pactiv Taxes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Pactiv will bear all government taxes, levies, fees and other impositions on the ownership, lease and operation of the Warehouses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required to be paid by providers of the Services under Applicable Laws (collectively “</w:t>
      </w:r>
      <w:r>
        <w:rPr>
          <w:rFonts w:ascii="Times New Roman" w:cs="Times New Roman" w:eastAsia="Times New Roman" w:hAnsi="Times New Roman"/>
          <w:sz w:val="18"/>
          <w:szCs w:val="18"/>
          <w:u w:val="single" w:color="auto"/>
          <w:color w:val="auto"/>
        </w:rPr>
        <w:t>Pactiv Taxes</w:t>
      </w:r>
      <w:r>
        <w:rPr>
          <w:rFonts w:ascii="Times New Roman" w:cs="Times New Roman" w:eastAsia="Times New Roman" w:hAnsi="Times New Roman"/>
          <w:sz w:val="18"/>
          <w:szCs w:val="18"/>
          <w:color w:val="auto"/>
        </w:rPr>
        <w:t>”). Pactiv will prepare and file any required reports or returns for such Pactiv Taxes directly with, and pay the Pactiv Taxes owed directly to, the appropriate governmental authorities.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 Representations and Warranties</w:t>
      </w:r>
    </w:p>
    <w:p>
      <w:pPr>
        <w:spacing w:after="0" w:line="279" w:lineRule="exact"/>
        <w:rPr>
          <w:sz w:val="20"/>
          <w:szCs w:val="20"/>
          <w:color w:val="auto"/>
        </w:rPr>
      </w:pPr>
    </w:p>
    <w:p>
      <w:pPr>
        <w:ind w:left="460" w:hanging="454"/>
        <w:spacing w:after="0" w:line="286" w:lineRule="auto"/>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Representations, Warranties and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represents, warrants and covenants on the Effective Date and at all times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that:</w:t>
      </w:r>
    </w:p>
    <w:p>
      <w:pPr>
        <w:spacing w:after="0" w:line="307" w:lineRule="exact"/>
        <w:rPr>
          <w:rFonts w:ascii="Times New Roman" w:cs="Times New Roman" w:eastAsia="Times New Roman" w:hAnsi="Times New Roman"/>
          <w:sz w:val="18"/>
          <w:szCs w:val="18"/>
          <w:b w:val="1"/>
          <w:bCs w:val="1"/>
          <w:color w:val="auto"/>
        </w:rPr>
      </w:pPr>
    </w:p>
    <w:p>
      <w:pPr>
        <w:ind w:left="1040" w:hanging="589"/>
        <w:spacing w:after="0"/>
        <w:tabs>
          <w:tab w:leader="none" w:pos="10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Party is formed, registered, licensed and operating its business in compliance with Applicable Laws.</w:t>
      </w:r>
    </w:p>
    <w:p>
      <w:pPr>
        <w:spacing w:after="0" w:line="360" w:lineRule="exact"/>
        <w:rPr>
          <w:rFonts w:ascii="Times New Roman" w:cs="Times New Roman" w:eastAsia="Times New Roman" w:hAnsi="Times New Roman"/>
          <w:sz w:val="18"/>
          <w:szCs w:val="18"/>
          <w:b w:val="1"/>
          <w:bCs w:val="1"/>
          <w:color w:val="auto"/>
        </w:rPr>
      </w:pPr>
    </w:p>
    <w:p>
      <w:pPr>
        <w:ind w:left="1040" w:hanging="589"/>
        <w:spacing w:after="0"/>
        <w:tabs>
          <w:tab w:leader="none" w:pos="10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Party is operating its business in compliance with a commercially reasonable code of ethics adopted by such Party.</w:t>
      </w:r>
    </w:p>
    <w:p>
      <w:pPr>
        <w:spacing w:after="0" w:line="360" w:lineRule="exact"/>
        <w:rPr>
          <w:rFonts w:ascii="Times New Roman" w:cs="Times New Roman" w:eastAsia="Times New Roman" w:hAnsi="Times New Roman"/>
          <w:sz w:val="18"/>
          <w:szCs w:val="18"/>
          <w:b w:val="1"/>
          <w:bCs w:val="1"/>
          <w:color w:val="auto"/>
        </w:rPr>
      </w:pPr>
    </w:p>
    <w:p>
      <w:pPr>
        <w:ind w:left="1040" w:hanging="589"/>
        <w:spacing w:after="0" w:line="237" w:lineRule="auto"/>
        <w:tabs>
          <w:tab w:leader="none" w:pos="10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Party may enter into and perform its obligations under this Agreement without being in conflict with, or in breach of, any other agreement of the Party.</w:t>
      </w:r>
    </w:p>
    <w:p>
      <w:pPr>
        <w:spacing w:after="0" w:line="333" w:lineRule="exact"/>
        <w:rPr>
          <w:rFonts w:ascii="Times New Roman" w:cs="Times New Roman" w:eastAsia="Times New Roman" w:hAnsi="Times New Roman"/>
          <w:sz w:val="18"/>
          <w:szCs w:val="18"/>
          <w:b w:val="1"/>
          <w:bCs w:val="1"/>
          <w:color w:val="auto"/>
        </w:rPr>
      </w:pPr>
    </w:p>
    <w:p>
      <w:pPr>
        <w:ind w:left="1040" w:hanging="589"/>
        <w:spacing w:after="0"/>
        <w:tabs>
          <w:tab w:leader="none" w:pos="10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Party is solvent, is capable of paying its debts as and when they become due and is paying its debts as and when due.</w:t>
      </w:r>
    </w:p>
    <w:p>
      <w:pPr>
        <w:spacing w:after="0" w:line="360" w:lineRule="exact"/>
        <w:rPr>
          <w:rFonts w:ascii="Times New Roman" w:cs="Times New Roman" w:eastAsia="Times New Roman" w:hAnsi="Times New Roman"/>
          <w:sz w:val="18"/>
          <w:szCs w:val="18"/>
          <w:b w:val="1"/>
          <w:bCs w:val="1"/>
          <w:color w:val="auto"/>
        </w:rPr>
      </w:pPr>
    </w:p>
    <w:p>
      <w:pPr>
        <w:jc w:val="both"/>
        <w:ind w:left="1040" w:hanging="589"/>
        <w:spacing w:after="0" w:line="231" w:lineRule="auto"/>
        <w:tabs>
          <w:tab w:leader="none" w:pos="104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Party is not the subject of a criminal investigation nor a defendant in any criminal indictment, petition, complaint or proceeding that carries a potential sentence involving incarceration in excess of one year for any director or executive officer of the Party involved in the alleged criminal misconduct or a fine in excess of $100,000 USD.</w:t>
      </w:r>
    </w:p>
    <w:p>
      <w:pPr>
        <w:sectPr>
          <w:pgSz w:w="11900" w:h="16838" w:orient="portrait"/>
          <w:cols w:equalWidth="0" w:num="1">
            <w:col w:w="11200"/>
          </w:cols>
          <w:pgMar w:left="340" w:top="1440" w:right="359" w:bottom="1440" w:gutter="0" w:footer="0" w:header="0"/>
        </w:sectPr>
      </w:pPr>
    </w:p>
    <w:bookmarkStart w:id="47" w:name="page48"/>
    <w:bookmarkEnd w:id="47"/>
    <w:p>
      <w:pPr>
        <w:jc w:val="both"/>
        <w:ind w:left="414"/>
        <w:spacing w:after="0" w:line="255" w:lineRule="auto"/>
        <w:rPr>
          <w:sz w:val="20"/>
          <w:szCs w:val="20"/>
          <w:color w:val="auto"/>
        </w:rPr>
      </w:pPr>
      <w:r>
        <w:rPr>
          <w:rFonts w:ascii="Times New Roman" w:cs="Times New Roman" w:eastAsia="Times New Roman" w:hAnsi="Times New Roman"/>
          <w:sz w:val="18"/>
          <w:szCs w:val="18"/>
          <w:color w:val="auto"/>
        </w:rPr>
        <w:t xml:space="preserve">A Party will promptly notify the other Party of any change in circumstance during the Term in which the Party is no longer in compliance with the foregoing general representations, warranties and covenants. An incident of actual, alleged or suspected non-compliance by a Party with a warranty under this Section being investigated, contested or corrected in good faith by the Party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which, regardless of outcome, will have no material adverse effect on the Party or its performance under this Agreement or on the other Party, will not be considered a breach of this clause. An incident of actual, alleged or suspected non-compliance by a Party of this Section or any other Section of this Agreement will be grounds for the other Party to demand adequate assurances of performance as provided by Section 2-609 of the Illinois Uniform Commercial Code. A Party will have ten (10) days to provide adequate assurances of performance to the other Party in a form acceptable to the other Party in its good faith discretion.</w:t>
      </w:r>
    </w:p>
    <w:p>
      <w:pPr>
        <w:spacing w:after="0" w:line="239" w:lineRule="exact"/>
        <w:rPr>
          <w:sz w:val="20"/>
          <w:szCs w:val="20"/>
          <w:color w:val="auto"/>
        </w:rPr>
      </w:pPr>
    </w:p>
    <w:p>
      <w:pPr>
        <w:ind w:left="454" w:right="20" w:hanging="454"/>
        <w:spacing w:after="0" w:line="286" w:lineRule="auto"/>
        <w:tabs>
          <w:tab w:leader="none" w:pos="45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Reynolds Specific Representations, Warranties and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Reynolds represents, warrants and covenants to Pactiv that each Reynolds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delivered to and stored with Pactiv or delivered to a Carrier under this Agreement:</w:t>
      </w:r>
    </w:p>
    <w:p>
      <w:pPr>
        <w:spacing w:after="0" w:line="320" w:lineRule="exact"/>
        <w:rPr>
          <w:rFonts w:ascii="Times New Roman" w:cs="Times New Roman" w:eastAsia="Times New Roman" w:hAnsi="Times New Roman"/>
          <w:sz w:val="18"/>
          <w:szCs w:val="18"/>
          <w:b w:val="1"/>
          <w:bCs w:val="1"/>
          <w:color w:val="auto"/>
        </w:rPr>
      </w:pPr>
    </w:p>
    <w:p>
      <w:pPr>
        <w:ind w:left="1034" w:hanging="589"/>
        <w:spacing w:after="0"/>
        <w:tabs>
          <w:tab w:leader="none" w:pos="103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delivered to the Carrier or to the Warehouse in new and undamaged condition.</w:t>
      </w:r>
    </w:p>
    <w:p>
      <w:pPr>
        <w:spacing w:after="0" w:line="346" w:lineRule="exact"/>
        <w:rPr>
          <w:rFonts w:ascii="Times New Roman" w:cs="Times New Roman" w:eastAsia="Times New Roman" w:hAnsi="Times New Roman"/>
          <w:sz w:val="18"/>
          <w:szCs w:val="18"/>
          <w:b w:val="1"/>
          <w:bCs w:val="1"/>
          <w:color w:val="auto"/>
        </w:rPr>
      </w:pPr>
    </w:p>
    <w:p>
      <w:pPr>
        <w:ind w:left="1034" w:right="20" w:hanging="589"/>
        <w:spacing w:after="0" w:line="250" w:lineRule="auto"/>
        <w:tabs>
          <w:tab w:leader="none" w:pos="103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 been delivered to Pactiv or the Carrier in compliance with Applicable Laws, including without limitation with food safety regulations issued by the United States Food and Drug Administration that are applicable to the Reynolds Product.</w:t>
      </w:r>
    </w:p>
    <w:p>
      <w:pPr>
        <w:spacing w:after="0" w:line="324" w:lineRule="exact"/>
        <w:rPr>
          <w:rFonts w:ascii="Times New Roman" w:cs="Times New Roman" w:eastAsia="Times New Roman" w:hAnsi="Times New Roman"/>
          <w:sz w:val="18"/>
          <w:szCs w:val="18"/>
          <w:b w:val="1"/>
          <w:bCs w:val="1"/>
          <w:color w:val="auto"/>
        </w:rPr>
      </w:pPr>
    </w:p>
    <w:p>
      <w:pPr>
        <w:ind w:left="1034" w:right="40" w:hanging="589"/>
        <w:spacing w:after="0" w:line="237" w:lineRule="auto"/>
        <w:tabs>
          <w:tab w:leader="none" w:pos="103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inbound delivered in a properly blocked and braced condition to prevent shifting or toppling of the Reynolds Products upon opening and unloading of a truck trailer at the loading dock of the Warehouse.</w:t>
      </w:r>
    </w:p>
    <w:p>
      <w:pPr>
        <w:spacing w:after="0" w:line="347" w:lineRule="exact"/>
        <w:rPr>
          <w:rFonts w:ascii="Times New Roman" w:cs="Times New Roman" w:eastAsia="Times New Roman" w:hAnsi="Times New Roman"/>
          <w:sz w:val="18"/>
          <w:szCs w:val="18"/>
          <w:b w:val="1"/>
          <w:bCs w:val="1"/>
          <w:color w:val="auto"/>
        </w:rPr>
      </w:pPr>
    </w:p>
    <w:p>
      <w:pPr>
        <w:jc w:val="both"/>
        <w:ind w:left="1034" w:right="20" w:hanging="589"/>
        <w:spacing w:after="0" w:line="217" w:lineRule="auto"/>
        <w:tabs>
          <w:tab w:leader="none" w:pos="103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packaged and delivered on appropriate pallets for storage in the Warehouses in accordance with the customary and usual practices of the Parties. Reynolds may use non-standard pallets for customer requests for promotions, shippers and so forth but Reynolds must notify Pactiv of any non-standard pallets prior to delivering the Reynolds Products to any Warehouse and the amount of any non-standard pallets must be commercially reasonable. Reynolds acknowledges and agrees that the use of any special pallets may require an adjustment in the cube allocation resulting in fewer pallets fitting into the Base or Additional Storage Capacity. Any Reynolds Product delivered to a Warehouse that is not capable of being stacked four pallets high will be allotted cubic feet of storage as if it were occupying four pallets high of storage space. Calculation of cubic feet for storage will be set out in the SOP’s.</w:t>
      </w:r>
    </w:p>
    <w:p>
      <w:pPr>
        <w:spacing w:after="0" w:line="323" w:lineRule="exact"/>
        <w:rPr>
          <w:rFonts w:ascii="Times New Roman" w:cs="Times New Roman" w:eastAsia="Times New Roman" w:hAnsi="Times New Roman"/>
          <w:sz w:val="18"/>
          <w:szCs w:val="18"/>
          <w:b w:val="1"/>
          <w:bCs w:val="1"/>
          <w:color w:val="auto"/>
        </w:rPr>
      </w:pPr>
    </w:p>
    <w:p>
      <w:pPr>
        <w:ind w:left="1034" w:right="20" w:hanging="589"/>
        <w:spacing w:after="0" w:line="250" w:lineRule="auto"/>
        <w:tabs>
          <w:tab w:leader="none" w:pos="103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and will remain at all times while in the custody of Pactiv, owned solely Reynolds free and clear of all liens, encumbrances and claims (other than those arising by, under or through Pactiv for which Pactiv will be responsible under this Agreement).</w:t>
      </w:r>
    </w:p>
    <w:p>
      <w:pPr>
        <w:spacing w:after="0" w:line="324" w:lineRule="exact"/>
        <w:rPr>
          <w:rFonts w:ascii="Times New Roman" w:cs="Times New Roman" w:eastAsia="Times New Roman" w:hAnsi="Times New Roman"/>
          <w:sz w:val="18"/>
          <w:szCs w:val="18"/>
          <w:b w:val="1"/>
          <w:bCs w:val="1"/>
          <w:color w:val="auto"/>
        </w:rPr>
      </w:pPr>
    </w:p>
    <w:p>
      <w:pPr>
        <w:ind w:left="1034" w:right="20" w:hanging="589"/>
        <w:spacing w:after="0" w:line="237" w:lineRule="auto"/>
        <w:tabs>
          <w:tab w:leader="none" w:pos="103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Does not infringe on any patent, trademark, copyright, trade secret or other the intellectual property of any third-party registered or otherwise recognized and enforceable under Applicable Laws.</w:t>
      </w:r>
    </w:p>
    <w:p>
      <w:pPr>
        <w:spacing w:after="0" w:line="347" w:lineRule="exact"/>
        <w:rPr>
          <w:rFonts w:ascii="Times New Roman" w:cs="Times New Roman" w:eastAsia="Times New Roman" w:hAnsi="Times New Roman"/>
          <w:sz w:val="18"/>
          <w:szCs w:val="18"/>
          <w:b w:val="1"/>
          <w:bCs w:val="1"/>
          <w:color w:val="auto"/>
        </w:rPr>
      </w:pPr>
    </w:p>
    <w:p>
      <w:pPr>
        <w:ind w:left="1034" w:right="20" w:hanging="589"/>
        <w:spacing w:after="0" w:line="237" w:lineRule="auto"/>
        <w:tabs>
          <w:tab w:leader="none" w:pos="1034"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Does not represent nor create a material risk of injury, damage or other harm to Pactiv or any third-party being received, storage and delivered at the Warehouses.</w:t>
      </w:r>
    </w:p>
    <w:p>
      <w:pPr>
        <w:spacing w:after="0" w:line="185" w:lineRule="exact"/>
        <w:rPr>
          <w:sz w:val="20"/>
          <w:szCs w:val="20"/>
          <w:color w:val="auto"/>
        </w:rPr>
      </w:pPr>
    </w:p>
    <w:p>
      <w:pPr>
        <w:jc w:val="both"/>
        <w:ind w:left="974"/>
        <w:spacing w:after="0" w:line="258" w:lineRule="auto"/>
        <w:rPr>
          <w:sz w:val="20"/>
          <w:szCs w:val="20"/>
          <w:color w:val="auto"/>
        </w:rPr>
      </w:pPr>
      <w:r>
        <w:rPr>
          <w:rFonts w:ascii="Times New Roman" w:cs="Times New Roman" w:eastAsia="Times New Roman" w:hAnsi="Times New Roman"/>
          <w:sz w:val="18"/>
          <w:szCs w:val="18"/>
          <w:color w:val="auto"/>
        </w:rPr>
        <w:t xml:space="preserve">If Pactiv receives a Reynolds Product that fails to conform to these representations, warranties and covenants, the sole remedy of Pactiv for the breach will be to: (1) notify Reynolds within seven (7) business days of receipt that the Reynolds Product is non-conforming and handle or dispose of the non-conforming Reynolds Product at Reynolds’ expense as instructed in writing by Reynolds or, if not so instructed, in accordance with commercially reasonable business practices at Reynolds’ expense; and (2) obtain indemnification from Reynolds for any Indemnified Claim arising from or related to the breach as provided in </w:t>
      </w:r>
      <w:r>
        <w:rPr>
          <w:rFonts w:ascii="Times New Roman" w:cs="Times New Roman" w:eastAsia="Times New Roman" w:hAnsi="Times New Roman"/>
          <w:sz w:val="18"/>
          <w:szCs w:val="18"/>
          <w:u w:val="single" w:color="auto"/>
          <w:color w:val="auto"/>
        </w:rPr>
        <w:t>Section VI</w:t>
      </w:r>
      <w:r>
        <w:rPr>
          <w:rFonts w:ascii="Times New Roman" w:cs="Times New Roman" w:eastAsia="Times New Roman" w:hAnsi="Times New Roman"/>
          <w:sz w:val="18"/>
          <w:szCs w:val="18"/>
          <w:color w:val="auto"/>
        </w:rPr>
        <w:t>.</w:t>
      </w:r>
    </w:p>
    <w:p>
      <w:pPr>
        <w:sectPr>
          <w:pgSz w:w="11900" w:h="16838" w:orient="portrait"/>
          <w:cols w:equalWidth="0" w:num="1">
            <w:col w:w="11214"/>
          </w:cols>
          <w:pgMar w:left="346" w:top="1417" w:right="339" w:bottom="1440" w:gutter="0" w:footer="0" w:header="0"/>
        </w:sectPr>
      </w:pPr>
    </w:p>
    <w:bookmarkStart w:id="48" w:name="page49"/>
    <w:bookmarkEnd w:id="48"/>
    <w:p>
      <w:pPr>
        <w:spacing w:after="0" w:line="28" w:lineRule="exact"/>
        <w:rPr>
          <w:sz w:val="20"/>
          <w:szCs w:val="20"/>
          <w:color w:val="auto"/>
        </w:rPr>
      </w:pPr>
    </w:p>
    <w:p>
      <w:pPr>
        <w:ind w:left="460" w:hanging="454"/>
        <w:spacing w:after="0"/>
        <w:tabs>
          <w:tab w:leader="none" w:pos="4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Pactiv Specific Representations, Warranties and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Pactiv represents, warrants and covenants to Reynolds that:</w:t>
      </w:r>
    </w:p>
    <w:p>
      <w:pPr>
        <w:spacing w:after="0" w:line="391" w:lineRule="exact"/>
        <w:rPr>
          <w:rFonts w:ascii="Times New Roman" w:cs="Times New Roman" w:eastAsia="Times New Roman" w:hAnsi="Times New Roman"/>
          <w:sz w:val="18"/>
          <w:szCs w:val="18"/>
          <w:b w:val="1"/>
          <w:bCs w:val="1"/>
          <w:color w:val="auto"/>
        </w:rPr>
      </w:pPr>
    </w:p>
    <w:p>
      <w:pPr>
        <w:ind w:left="1040" w:right="20" w:hanging="589"/>
        <w:spacing w:after="0" w:line="237" w:lineRule="auto"/>
        <w:tabs>
          <w:tab w:leader="none" w:pos="10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Products will be received, stored and delivered at the Warehouse using the same or a greater standard of care that Pactiv uses in receiving, storing and delivering Pactiv Products at the Warehouse.</w:t>
      </w:r>
    </w:p>
    <w:p>
      <w:pPr>
        <w:spacing w:after="0" w:line="333" w:lineRule="exact"/>
        <w:rPr>
          <w:rFonts w:ascii="Times New Roman" w:cs="Times New Roman" w:eastAsia="Times New Roman" w:hAnsi="Times New Roman"/>
          <w:sz w:val="18"/>
          <w:szCs w:val="18"/>
          <w:b w:val="1"/>
          <w:bCs w:val="1"/>
          <w:color w:val="auto"/>
        </w:rPr>
      </w:pPr>
    </w:p>
    <w:p>
      <w:pPr>
        <w:ind w:left="1040" w:right="20" w:hanging="589"/>
        <w:spacing w:after="0" w:line="250" w:lineRule="auto"/>
        <w:tabs>
          <w:tab w:leader="none" w:pos="10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Products will be delivered at the Warehouse in the same condition and packaging as received at the Warehouse except for ordinary wear and tear, damage or loss caused by an event of Force Majeure and Excluded Loss and Damage.</w:t>
      </w:r>
    </w:p>
    <w:p>
      <w:pPr>
        <w:spacing w:after="0" w:line="324" w:lineRule="exact"/>
        <w:rPr>
          <w:rFonts w:ascii="Times New Roman" w:cs="Times New Roman" w:eastAsia="Times New Roman" w:hAnsi="Times New Roman"/>
          <w:sz w:val="18"/>
          <w:szCs w:val="18"/>
          <w:b w:val="1"/>
          <w:bCs w:val="1"/>
          <w:color w:val="auto"/>
        </w:rPr>
      </w:pPr>
    </w:p>
    <w:p>
      <w:pPr>
        <w:jc w:val="both"/>
        <w:ind w:left="1040" w:right="20" w:hanging="589"/>
        <w:spacing w:after="0" w:line="231" w:lineRule="auto"/>
        <w:tabs>
          <w:tab w:leader="none" w:pos="10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Warehouses will be operated and maintained, and Services will otherwise be performed, in a commercially reasonable condition and manner in compliance with Applicable Laws, including without limitation with food safety regulations issued by the United States Food and Drug Administration that are applicable to the storage of Reynolds Products.</w:t>
      </w:r>
    </w:p>
    <w:p>
      <w:pPr>
        <w:spacing w:after="0" w:line="333" w:lineRule="exact"/>
        <w:rPr>
          <w:rFonts w:ascii="Times New Roman" w:cs="Times New Roman" w:eastAsia="Times New Roman" w:hAnsi="Times New Roman"/>
          <w:sz w:val="18"/>
          <w:szCs w:val="18"/>
          <w:b w:val="1"/>
          <w:bCs w:val="1"/>
          <w:color w:val="auto"/>
        </w:rPr>
      </w:pPr>
    </w:p>
    <w:p>
      <w:pPr>
        <w:ind w:left="1040" w:hanging="589"/>
        <w:spacing w:after="0"/>
        <w:tabs>
          <w:tab w:leader="none" w:pos="10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Products will remain at all times free and clear of all liens, encumbrances and claims arising by, through or under Pactiv.</w:t>
      </w:r>
    </w:p>
    <w:p>
      <w:pPr>
        <w:spacing w:after="0" w:line="346" w:lineRule="exact"/>
        <w:rPr>
          <w:rFonts w:ascii="Times New Roman" w:cs="Times New Roman" w:eastAsia="Times New Roman" w:hAnsi="Times New Roman"/>
          <w:sz w:val="18"/>
          <w:szCs w:val="18"/>
          <w:b w:val="1"/>
          <w:bCs w:val="1"/>
          <w:color w:val="auto"/>
        </w:rPr>
      </w:pPr>
    </w:p>
    <w:p>
      <w:pPr>
        <w:ind w:left="1040" w:right="20" w:hanging="589"/>
        <w:spacing w:after="0" w:line="250" w:lineRule="auto"/>
        <w:tabs>
          <w:tab w:leader="none" w:pos="10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Services will be performed in a manner which do not infringe on any patent, trademark, copyright, trade secret or other the intellectual property of any third-party registered or otherwise recognized and enforceable under Applicable Laws.</w:t>
      </w:r>
    </w:p>
    <w:p>
      <w:pPr>
        <w:spacing w:after="0" w:line="176" w:lineRule="exact"/>
        <w:rPr>
          <w:sz w:val="20"/>
          <w:szCs w:val="20"/>
          <w:color w:val="auto"/>
        </w:rPr>
      </w:pPr>
    </w:p>
    <w:p>
      <w:pPr>
        <w:jc w:val="both"/>
        <w:ind w:left="420"/>
        <w:spacing w:after="0" w:line="256" w:lineRule="auto"/>
        <w:rPr>
          <w:sz w:val="20"/>
          <w:szCs w:val="20"/>
          <w:color w:val="auto"/>
        </w:rPr>
      </w:pPr>
      <w:r>
        <w:rPr>
          <w:rFonts w:ascii="Times New Roman" w:cs="Times New Roman" w:eastAsia="Times New Roman" w:hAnsi="Times New Roman"/>
          <w:sz w:val="18"/>
          <w:szCs w:val="18"/>
          <w:color w:val="auto"/>
        </w:rPr>
        <w:t>If Pactiv receives without rejecting a Reynolds Product but fails to deliver it to Reynolds or a party shipping products for Reynolds, a Reynolds customer, or a Carrier in conformance with these representations, warranties and covenants, the sole remedy of Reynolds for the breach of this Agreement will be to: (1) obtain reimbursement from Pactiv for the actual out of pocket cost to Reynolds of the non-conforming Reynolds Product, except for Excluded Loss or Damage, by notifying Pactiv within thirty (30) days from when Reynolds had or reasonably should have had actual knowledge of the loss, but in no event more than one year after the loss; and (2) obtain indemnification from Pactiv for any Indemnified Claim arising from or related to the breach as provided in the next Section.</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VI. Indemnification</w:t>
      </w:r>
    </w:p>
    <w:p>
      <w:pPr>
        <w:spacing w:after="0" w:line="283" w:lineRule="exact"/>
        <w:rPr>
          <w:sz w:val="20"/>
          <w:szCs w:val="20"/>
          <w:color w:val="auto"/>
        </w:rPr>
      </w:pPr>
    </w:p>
    <w:p>
      <w:pPr>
        <w:jc w:val="both"/>
        <w:ind w:left="460" w:right="20" w:hanging="454"/>
        <w:spacing w:after="0" w:line="254" w:lineRule="auto"/>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claim that a Party (referred to at times in this Section as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is required to defend and indemnify the other Party (referred to at times in this Section as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under this Agreement is referred to at times in this Section as an “</w:t>
      </w:r>
      <w:r>
        <w:rPr>
          <w:rFonts w:ascii="Times New Roman" w:cs="Times New Roman" w:eastAsia="Times New Roman" w:hAnsi="Times New Roman"/>
          <w:sz w:val="18"/>
          <w:szCs w:val="18"/>
          <w:u w:val="single" w:color="auto"/>
          <w:color w:val="auto"/>
        </w:rPr>
        <w:t>Indemnified Claim</w:t>
      </w:r>
      <w:r>
        <w:rPr>
          <w:rFonts w:ascii="Times New Roman" w:cs="Times New Roman" w:eastAsia="Times New Roman" w:hAnsi="Times New Roman"/>
          <w:sz w:val="18"/>
          <w:szCs w:val="18"/>
          <w:color w:val="auto"/>
        </w:rPr>
        <w:t>”. Defense and indemnification under this Section will include, without limitation, (1) paying or reimbursing the actual, reasonable, substantiated out-of-pocket expenses incurred in connection with the investigation, defense and settlement of any civil, criminal or administrative action, suit, arbitration, mediation, hearing, audit, investigation or other proceeding threatened or commenced against an Indemnified Party on an Indemnified Claim (e.g., fees and expenses of attorneys, accountants, auditors, investigators, consulting experts, testifying experts and other consultants; fees and expenses of an arbitrator or mediator; filing fees and costs imposed by any court, administrative agency or other tribunal; etc.), and (2) satisfying any judgment, award, order, lien, levy, fine, penalty or other sanction imposed against an Indemnified Party on an Indemnified Claim.</w:t>
      </w:r>
    </w:p>
    <w:p>
      <w:pPr>
        <w:sectPr>
          <w:pgSz w:w="11900" w:h="16838" w:orient="portrait"/>
          <w:cols w:equalWidth="0" w:num="1">
            <w:col w:w="11220"/>
          </w:cols>
          <w:pgMar w:left="340" w:top="1440" w:right="339" w:bottom="1440" w:gutter="0" w:footer="0" w:header="0"/>
        </w:sectPr>
      </w:pPr>
    </w:p>
    <w:bookmarkStart w:id="49" w:name="page50"/>
    <w:bookmarkEnd w:id="49"/>
    <w:p>
      <w:pPr>
        <w:spacing w:after="0" w:line="18" w:lineRule="exact"/>
        <w:rPr>
          <w:sz w:val="20"/>
          <w:szCs w:val="20"/>
          <w:color w:val="auto"/>
        </w:rPr>
      </w:pPr>
    </w:p>
    <w:p>
      <w:pPr>
        <w:jc w:val="both"/>
        <w:ind w:left="454" w:hanging="454"/>
        <w:spacing w:after="0" w:line="214" w:lineRule="auto"/>
        <w:tabs>
          <w:tab w:leader="none" w:pos="45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defend and indemnify Reynolds against: (1) any third-party claim for personal injury, damage to tangible property or other loss to the extent caused by any actual or alleged breach of this Agreement by Pactiv in receiving, storing or delivering Reynolds Products at a Warehouse under this Agreement or in the performance of any other obligation of Pactiv under this Agreement; (2) any third-party claim for personal injury, damage to tangible property or other loss to the extent caused by any actual or alleged negligence or other legally culpable misconduct of Pactiv in receiving, storing or delivering Reynolds Products at a Warehouse or in the performance of any other obligation of Pactiv under this Agreement;</w:t>
      </w:r>
    </w:p>
    <w:p>
      <w:pPr>
        <w:spacing w:after="0" w:line="1" w:lineRule="exact"/>
        <w:rPr>
          <w:rFonts w:ascii="Times New Roman" w:cs="Times New Roman" w:eastAsia="Times New Roman" w:hAnsi="Times New Roman"/>
          <w:sz w:val="18"/>
          <w:szCs w:val="18"/>
          <w:b w:val="1"/>
          <w:bCs w:val="1"/>
          <w:color w:val="auto"/>
        </w:rPr>
      </w:pPr>
    </w:p>
    <w:p>
      <w:pPr>
        <w:jc w:val="both"/>
        <w:ind w:left="454" w:hanging="9"/>
        <w:spacing w:after="0" w:line="214" w:lineRule="auto"/>
        <w:tabs>
          <w:tab w:leader="none" w:pos="71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claim for actual or alleged infringement by Pactiv in performing the Services under this Agreement (except to the extent that the infringement relates to a Reynolds Product or its packaging or is based on intellectual property that that Reynolds has represented and warranted to Pactiv that Reynolds owns and that Reynolds has licensed to Pactiv and that Pactiv has used in compliance with the license terms in performing the Services under this Agreement); (4) the threat or imposition of any fine, penalty or other sanction by a governmental authority on Reynolds to the extent caused by any actual or alleged violation by Pactiv of Applicable Laws; or (5) any actual or alleged claim for compensation or other payment of a Pactiv employee, agent or vendor for goods and services furnished in connection with Pactiv receiving, storing or delivering Reynolds Products at a Warehouse under this Agreement.</w:t>
      </w:r>
    </w:p>
    <w:p>
      <w:pPr>
        <w:spacing w:after="0" w:line="335" w:lineRule="exact"/>
        <w:rPr>
          <w:rFonts w:ascii="Times New Roman" w:cs="Times New Roman" w:eastAsia="Times New Roman" w:hAnsi="Times New Roman"/>
          <w:sz w:val="18"/>
          <w:szCs w:val="18"/>
          <w:color w:val="auto"/>
        </w:rPr>
      </w:pPr>
    </w:p>
    <w:p>
      <w:pPr>
        <w:jc w:val="both"/>
        <w:ind w:left="454" w:hanging="454"/>
        <w:spacing w:after="0" w:line="212" w:lineRule="auto"/>
        <w:tabs>
          <w:tab w:leader="none" w:pos="45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will defend and indemnify Pactiv against: (1) any third-party claim for personal injury, damage to tangible property or other loss to the extent caused by any actual or alleged breach of this Agreement by Reynolds in receiving, storing or delivering Reynolds Products at a Warehouse under this Agreement or in the performance of any other obligation of Reynolds under this Agreement; (2) any third-party claim for personal injury, damage to tangible property or other loss to the extent caused by any actual or alleged negligence or other legally culpable misconduct of Reynolds in receiving, storing or delivering Reynolds Products at a Warehouse under this Agreement or in the performance of any other obligation of Reynolds under this Agreement; (3) any third-party claim for personal injury, damage to tangible property, or other loss to the extent related the design, manufacture, storage, sale, delivery or use of a Reynolds Product by any person; (4) any third-party claim for actual or alleged infringement by Pactiv in performing the Services under this Agreement (except to the extent that the infringement relates to a Reynolds Product or its packaging or is based on intellectual property that that Reynolds has represented and warranted to Pactiv that Reynolds owns and that Reynolds has licensed to Pactiv and that Pactiv has used in compliance with the license terms in performing the Services under this Agreement); or delivery by Pactiv under this Agreement or in the performance of any other obligation of Pactiv under this Agreement to the extent based on intellectual property that Reynolds has represented and warranted to Pactiv that Reynolds owns and that Reynolds has licensed to Pactiv and that Pactiv has used in compliance with the license term in supplying the product; (4) the threat or imposition of any fine, penalty or other sanction by governmental authority on Pactiv to the extent caused by any actual or alleged violation by Reynolds of Applicable Laws; or (5) any actual or alleged claim or ownership, custody or compensation or other payment by a Reynolds employee, agent, customer, supplier or creditor or any unrelated third-party for Reynolds Products received, stored and delivered at a Warehouse under this Agreement.</w:t>
      </w:r>
    </w:p>
    <w:p>
      <w:pPr>
        <w:spacing w:after="0" w:line="328" w:lineRule="exact"/>
        <w:rPr>
          <w:rFonts w:ascii="Times New Roman" w:cs="Times New Roman" w:eastAsia="Times New Roman" w:hAnsi="Times New Roman"/>
          <w:sz w:val="18"/>
          <w:szCs w:val="18"/>
          <w:b w:val="1"/>
          <w:bCs w:val="1"/>
          <w:color w:val="auto"/>
        </w:rPr>
      </w:pPr>
    </w:p>
    <w:p>
      <w:pPr>
        <w:ind w:left="454" w:hanging="454"/>
        <w:spacing w:after="0"/>
        <w:tabs>
          <w:tab w:leader="none" w:pos="45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of receiving defense and indemnification under this Section for an Indemnified Claim, the Indemnified Party must:</w:t>
      </w:r>
    </w:p>
    <w:p>
      <w:pPr>
        <w:spacing w:after="0" w:line="360" w:lineRule="exact"/>
        <w:rPr>
          <w:rFonts w:ascii="Times New Roman" w:cs="Times New Roman" w:eastAsia="Times New Roman" w:hAnsi="Times New Roman"/>
          <w:sz w:val="18"/>
          <w:szCs w:val="18"/>
          <w:b w:val="1"/>
          <w:bCs w:val="1"/>
          <w:color w:val="auto"/>
        </w:rPr>
      </w:pPr>
    </w:p>
    <w:p>
      <w:pPr>
        <w:ind w:left="1034" w:hanging="589"/>
        <w:spacing w:after="0" w:line="237" w:lineRule="auto"/>
        <w:tabs>
          <w:tab w:leader="none" w:pos="103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notify and tender the defense of an Indemnified Claim to the Indemnifying Party promptly after the Indemnified Party learns of the Indemnified Claim; and</w:t>
      </w:r>
    </w:p>
    <w:p>
      <w:pPr>
        <w:spacing w:after="0" w:line="347" w:lineRule="exact"/>
        <w:rPr>
          <w:rFonts w:ascii="Times New Roman" w:cs="Times New Roman" w:eastAsia="Times New Roman" w:hAnsi="Times New Roman"/>
          <w:sz w:val="18"/>
          <w:szCs w:val="18"/>
          <w:b w:val="1"/>
          <w:bCs w:val="1"/>
          <w:color w:val="auto"/>
        </w:rPr>
      </w:pPr>
    </w:p>
    <w:p>
      <w:pPr>
        <w:jc w:val="both"/>
        <w:ind w:left="1034" w:hanging="589"/>
        <w:spacing w:after="0" w:line="226" w:lineRule="auto"/>
        <w:tabs>
          <w:tab w:leader="none" w:pos="1034"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 information and cooperation reasonably requested by the Indemnifying Party in the investigation, defense, settlement and satisfaction of the Indemnified Claim. An Indemnifying Party will reimburse the Indemnified Party of any reasonable, actual, substantiated out-of-pocket expense incurred in providing the requested information or cooperation.</w:t>
      </w:r>
    </w:p>
    <w:p>
      <w:pPr>
        <w:spacing w:after="0" w:line="333" w:lineRule="exact"/>
        <w:rPr>
          <w:rFonts w:ascii="Times New Roman" w:cs="Times New Roman" w:eastAsia="Times New Roman" w:hAnsi="Times New Roman"/>
          <w:sz w:val="18"/>
          <w:szCs w:val="18"/>
          <w:b w:val="1"/>
          <w:bCs w:val="1"/>
          <w:color w:val="auto"/>
        </w:rPr>
      </w:pPr>
    </w:p>
    <w:p>
      <w:pPr>
        <w:ind w:left="454" w:hanging="454"/>
        <w:spacing w:after="0"/>
        <w:tabs>
          <w:tab w:leader="none" w:pos="45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Indemnifying Party accepts the tender of defense of an Indemnified Claim, with or without reservation, the Indemnifying Party will:</w:t>
      </w:r>
    </w:p>
    <w:p>
      <w:pPr>
        <w:spacing w:after="0" w:line="360" w:lineRule="exact"/>
        <w:rPr>
          <w:rFonts w:ascii="Times New Roman" w:cs="Times New Roman" w:eastAsia="Times New Roman" w:hAnsi="Times New Roman"/>
          <w:sz w:val="18"/>
          <w:szCs w:val="18"/>
          <w:b w:val="1"/>
          <w:bCs w:val="1"/>
          <w:color w:val="auto"/>
        </w:rPr>
      </w:pPr>
    </w:p>
    <w:p>
      <w:pPr>
        <w:ind w:left="1034" w:hanging="589"/>
        <w:spacing w:after="0"/>
        <w:tabs>
          <w:tab w:leader="none" w:pos="1034"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promptly notify the Indemnified Party of the acceptance of the tender of defense of the Indemnified Claim.</w:t>
      </w:r>
    </w:p>
    <w:p>
      <w:pPr>
        <w:sectPr>
          <w:pgSz w:w="11900" w:h="16838" w:orient="portrait"/>
          <w:cols w:equalWidth="0" w:num="1">
            <w:col w:w="11194"/>
          </w:cols>
          <w:pgMar w:left="346" w:top="1440" w:right="359" w:bottom="1440" w:gutter="0" w:footer="0" w:header="0"/>
        </w:sectPr>
      </w:pPr>
    </w:p>
    <w:bookmarkStart w:id="50" w:name="page51"/>
    <w:bookmarkEnd w:id="50"/>
    <w:p>
      <w:pPr>
        <w:spacing w:after="0" w:line="18" w:lineRule="exact"/>
        <w:rPr>
          <w:sz w:val="20"/>
          <w:szCs w:val="20"/>
          <w:color w:val="auto"/>
        </w:rPr>
      </w:pPr>
    </w:p>
    <w:p>
      <w:pPr>
        <w:jc w:val="both"/>
        <w:ind w:left="1040" w:right="20" w:hanging="589"/>
        <w:spacing w:after="0" w:line="224" w:lineRule="auto"/>
        <w:tabs>
          <w:tab w:leader="none" w:pos="104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control the investigation, defense, settlement and satisfaction of the Indemnified Claim, including, without limitation, the selection of licensed, qualified and reputable attorneys, expert witnesses and other consultants and all decisions over settlement and litigation strategy. The Indemnifying Party must act in good faith in exercising control over the investigation, defense, settlement and satisfaction of the Indemnified Claim.</w:t>
      </w:r>
    </w:p>
    <w:p>
      <w:pPr>
        <w:spacing w:after="0" w:line="361" w:lineRule="exact"/>
        <w:rPr>
          <w:rFonts w:ascii="Times New Roman" w:cs="Times New Roman" w:eastAsia="Times New Roman" w:hAnsi="Times New Roman"/>
          <w:sz w:val="18"/>
          <w:szCs w:val="18"/>
          <w:b w:val="1"/>
          <w:bCs w:val="1"/>
          <w:color w:val="auto"/>
        </w:rPr>
      </w:pPr>
    </w:p>
    <w:p>
      <w:pPr>
        <w:ind w:left="1040" w:right="20" w:hanging="589"/>
        <w:spacing w:after="0" w:line="237" w:lineRule="auto"/>
        <w:tabs>
          <w:tab w:leader="none" w:pos="104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 information reasonably requested by the Indemnified Party regarding the investigation, defense, settlement and satisfaction of the Indemnified Claim</w:t>
      </w:r>
    </w:p>
    <w:p>
      <w:pPr>
        <w:spacing w:after="0" w:line="333" w:lineRule="exact"/>
        <w:rPr>
          <w:rFonts w:ascii="Times New Roman" w:cs="Times New Roman" w:eastAsia="Times New Roman" w:hAnsi="Times New Roman"/>
          <w:sz w:val="18"/>
          <w:szCs w:val="18"/>
          <w:b w:val="1"/>
          <w:bCs w:val="1"/>
          <w:color w:val="auto"/>
        </w:rPr>
      </w:pPr>
    </w:p>
    <w:p>
      <w:pPr>
        <w:jc w:val="both"/>
        <w:ind w:left="460" w:right="20" w:hanging="454"/>
        <w:spacing w:after="0" w:line="216" w:lineRule="auto"/>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Indemnifying Party, acting in good faith, may elect to settle an Indemnified Claim for which it is responsible under this Agreement involving infringement on the intellectual property of a third-party by: (1) obtaining a license from the third-party allowing the required use of its intellectual property; (2) modifying a product, equipment or process in a manner which avoids infringing on the intellectual property of the third-party; or</w:t>
      </w:r>
    </w:p>
    <w:p>
      <w:pPr>
        <w:spacing w:after="0" w:line="1" w:lineRule="exact"/>
        <w:rPr>
          <w:rFonts w:ascii="Times New Roman" w:cs="Times New Roman" w:eastAsia="Times New Roman" w:hAnsi="Times New Roman"/>
          <w:sz w:val="18"/>
          <w:szCs w:val="18"/>
          <w:b w:val="1"/>
          <w:bCs w:val="1"/>
          <w:color w:val="auto"/>
        </w:rPr>
      </w:pPr>
    </w:p>
    <w:p>
      <w:pPr>
        <w:ind w:left="460" w:right="20" w:hanging="9"/>
        <w:spacing w:after="0" w:line="233" w:lineRule="auto"/>
        <w:tabs>
          <w:tab w:leader="none" w:pos="71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withdrawing the infringing product from the market and either refunding the amount paid by the Indemnified Party for the infringing product or replacing the infringing product with a non-infringing product.</w:t>
      </w:r>
    </w:p>
    <w:p>
      <w:pPr>
        <w:spacing w:after="0" w:line="334" w:lineRule="exact"/>
        <w:rPr>
          <w:rFonts w:ascii="Times New Roman" w:cs="Times New Roman" w:eastAsia="Times New Roman" w:hAnsi="Times New Roman"/>
          <w:sz w:val="18"/>
          <w:szCs w:val="18"/>
          <w:color w:val="auto"/>
        </w:rPr>
      </w:pPr>
    </w:p>
    <w:p>
      <w:pPr>
        <w:jc w:val="both"/>
        <w:ind w:left="460" w:right="20" w:hanging="454"/>
        <w:spacing w:after="0" w:line="216" w:lineRule="auto"/>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may disagree on whether a claim is an Indemnified Claim under this Agreement, which Party should be considered the Indemnifying Party and Indemnified Party for an Indemnified Claim or whether each Party is solely or partially liable for an Indemnified Claim and whether and how liability for an Indemnified Claim should be allocated between them. In these and other circumstances in which an actual or potential conflict of interest exists or arises between the Parties with regards to an alleged or agreed upon Indemnified Claim that would preclude their joint representation by a single defense counsel, the Parties will endeavor in good faith to attempt to resolve the conflict. If the Parties are able to resolve the actual or potential conflict of interest, the Parties will memorialize the agreed upon resolution in a written joint defense agreement signed by officers of each Party and their joint defense counsel. If the Parties are unable to resolve the actual or potential conflict of interest, each Party will independently and separately investigate, defend, settle and satisfy the claim subject to their right to pursue payment or reimbursement for costs incurred in doing so from the other Party as provided in this Agreement.</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VII. Insurance</w:t>
      </w:r>
    </w:p>
    <w:p>
      <w:pPr>
        <w:spacing w:after="0" w:line="229" w:lineRule="exact"/>
        <w:rPr>
          <w:sz w:val="20"/>
          <w:szCs w:val="20"/>
          <w:color w:val="auto"/>
        </w:rPr>
      </w:pPr>
    </w:p>
    <w:p>
      <w:pPr>
        <w:jc w:val="both"/>
        <w:ind w:left="420"/>
        <w:spacing w:after="0" w:line="266" w:lineRule="auto"/>
        <w:rPr>
          <w:sz w:val="20"/>
          <w:szCs w:val="20"/>
          <w:color w:val="auto"/>
        </w:rPr>
      </w:pPr>
      <w:r>
        <w:rPr>
          <w:rFonts w:ascii="Times New Roman" w:cs="Times New Roman" w:eastAsia="Times New Roman" w:hAnsi="Times New Roman"/>
          <w:sz w:val="18"/>
          <w:szCs w:val="18"/>
          <w:color w:val="auto"/>
        </w:rPr>
        <w:t xml:space="preserve">During the Term of this Agreement, each Party will maintain the minimum types and amounts of insurance set forth in the schedule appended as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of this Agreement. By way of confirmation, Reynolds, at its expense, will maintain the “all risk” property insurance required under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on all Reynolds Products received, stored and delivered at the Warehouses,</w:t>
      </w:r>
    </w:p>
    <w:p>
      <w:pPr>
        <w:sectPr>
          <w:pgSz w:w="11900" w:h="16838" w:orient="portrait"/>
          <w:cols w:equalWidth="0" w:num="1">
            <w:col w:w="11220"/>
          </w:cols>
          <w:pgMar w:left="340" w:top="1440" w:right="339" w:bottom="1440" w:gutter="0" w:footer="0" w:header="0"/>
        </w:sectPr>
      </w:pPr>
    </w:p>
    <w:bookmarkStart w:id="51" w:name="page52"/>
    <w:bookmarkEnd w:id="51"/>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VIII. Limitations on Liability</w:t>
      </w:r>
    </w:p>
    <w:p>
      <w:pPr>
        <w:spacing w:after="0" w:line="279" w:lineRule="exact"/>
        <w:rPr>
          <w:sz w:val="20"/>
          <w:szCs w:val="20"/>
          <w:color w:val="auto"/>
        </w:rPr>
      </w:pPr>
    </w:p>
    <w:p>
      <w:pPr>
        <w:jc w:val="both"/>
        <w:ind w:left="460" w:hanging="454"/>
        <w:spacing w:after="0" w:line="253" w:lineRule="auto"/>
        <w:tabs>
          <w:tab w:leader="none" w:pos="4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Disclaimer of Representations and Warranties</w:t>
      </w:r>
      <w:r>
        <w:rPr>
          <w:rFonts w:ascii="Times New Roman" w:cs="Times New Roman" w:eastAsia="Times New Roman" w:hAnsi="Times New Roman"/>
          <w:sz w:val="18"/>
          <w:szCs w:val="18"/>
          <w:color w:val="auto"/>
        </w:rPr>
        <w:t>. Each Party: (1) disclaims all representations and warranties regarding its products,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supplied information or business, whether oral or written, express or implied, arising by operation of law or otherwise, including, without limitation, the implied warranty of merchantability and the implied warranty of fitness for a particular purpose, other than those express representations and warranties of the Party in this Agreement; (2) acknowledges that the Party has not relied on, and will not rely on, any representations and warranties of the other Party regarding its products, performance, supplied information or business, whether oral or written, express or implied, arising by operation of law or otherwise, other than those express representations and warranties of the other Party in this Agreement; and (3) waives any claim that the Party may have based, in whole or in part, on any representations and warranties of the other Party regarding its products, performance, supplied information or business, whether oral or written, express or implied, arising by operation of law or otherwise, other than those express representations and warranties of the other Party in this Agreement. Notwithstanding the foregoing, a Party is entitled to rely on (i) the descriptive information in transaction documents issued by either Party in the ordinary course of business during the Term identifying the Reynolds Products (e.g., the type and quantity of Reynolds Products being received, stored or delivered at a Warehouse under this Agreement and the scheduled delivery date and location) and (ii) FDA guaranty letters, material safety data sheets and other similar written assurances issued by Reynolds on its standard forms to Pactiv and other U.S. customers in the ordinance course of business during the Term certifying that a Reynolds Product complies with Applicable Laws and providing any information on the Reynolds Product required under Applicable Laws.</w:t>
      </w:r>
    </w:p>
    <w:p>
      <w:pPr>
        <w:spacing w:after="0" w:line="387" w:lineRule="exact"/>
        <w:rPr>
          <w:rFonts w:ascii="Times New Roman" w:cs="Times New Roman" w:eastAsia="Times New Roman" w:hAnsi="Times New Roman"/>
          <w:sz w:val="18"/>
          <w:szCs w:val="18"/>
          <w:b w:val="1"/>
          <w:bCs w:val="1"/>
          <w:color w:val="auto"/>
        </w:rPr>
      </w:pPr>
    </w:p>
    <w:p>
      <w:pPr>
        <w:jc w:val="both"/>
        <w:ind w:left="460" w:hanging="454"/>
        <w:spacing w:after="0" w:line="254" w:lineRule="auto"/>
        <w:tabs>
          <w:tab w:leader="none" w:pos="4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Exclusion of Indirect Damages. </w:t>
      </w:r>
      <w:r>
        <w:rPr>
          <w:rFonts w:ascii="Times New Roman" w:cs="Times New Roman" w:eastAsia="Times New Roman" w:hAnsi="Times New Roman"/>
          <w:sz w:val="18"/>
          <w:szCs w:val="18"/>
          <w:color w:val="auto"/>
        </w:rPr>
        <w:t>A Party that breaches this Agreement will only be liable to the other Party for direct damages arising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breach. Each Party waives any right to recover consequential, incidental, indirect, exemplary, punitive or any other types of indirect damages from the other Party for a breach of this Agreement. Each Party waives any right to recover damages or loss from the other Party arising from or related to this Agreement to the extent the damage or loss incurred by the Party is required to be covered by the insurance of such Party under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or to the extent the damage or loss is actually covered by the insurance of such Party. Notwithstanding the preceding sentence, this Subsection will not limit the liability of a Party for any amount or type of damages for: (1) the defense and indemnification of an Indemnified Claim on which the Party is the Indemnifying Party; (2) infringement by the Party on the intellectual property of the other Party; (3) the unauthorized disclosure or use by the Party of the Confidential Information of the other Party; (4) payment or reimbursement of any amount expressly required to be paid or reimbursed by the Party under a provision of this Agreement; or (5) the intentional misconduct of the Party in violation of Applicable Laws.</w:t>
      </w:r>
    </w:p>
    <w:p>
      <w:pPr>
        <w:sectPr>
          <w:pgSz w:w="11900" w:h="16838" w:orient="portrait"/>
          <w:cols w:equalWidth="0" w:num="1">
            <w:col w:w="11200"/>
          </w:cols>
          <w:pgMar w:left="340" w:top="1440" w:right="359" w:bottom="1440" w:gutter="0" w:footer="0" w:header="0"/>
        </w:sectPr>
      </w:pPr>
    </w:p>
    <w:bookmarkStart w:id="52" w:name="page53"/>
    <w:bookmarkEnd w:id="52"/>
    <w:p>
      <w:pPr>
        <w:spacing w:after="0" w:line="28" w:lineRule="exact"/>
        <w:rPr>
          <w:sz w:val="20"/>
          <w:szCs w:val="20"/>
          <w:color w:val="auto"/>
        </w:rPr>
      </w:pPr>
    </w:p>
    <w:p>
      <w:pPr>
        <w:jc w:val="both"/>
        <w:ind w:left="454" w:hanging="454"/>
        <w:spacing w:after="0" w:line="266" w:lineRule="auto"/>
        <w:tabs>
          <w:tab w:leader="none" w:pos="454"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Force Majeure</w:t>
      </w:r>
      <w:r>
        <w:rPr>
          <w:rFonts w:ascii="Times New Roman" w:cs="Times New Roman" w:eastAsia="Times New Roman" w:hAnsi="Times New Roman"/>
          <w:sz w:val="17"/>
          <w:szCs w:val="17"/>
          <w:color w:val="auto"/>
        </w:rPr>
        <w:t>. A Party will not be considered in breach of this Agreement or liable to the other Party for any interruption or delay in performance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 this Agreement to the extent caused by an event outside of the ability of the performing Party to foresee and avoid with the exercise of commercially reasonable efforts (such an event is referred to at times as an event of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Examples of events of Force Majeure include, without limitation: natural disasters; war; acts of terrorism; government action; accident; strikes, slowdowns and other labor disputes; shortages in, or inability to obtain, transportation in required quantities or at commercially reasonable prices or rates; any breach, negligence, criminal misconduct or other act or omission of any third-party; or fire or other insured or uninsured casualty. A Party whose performance is interrupted or delayed by an event of Force Majeure will be excused from the interruption or delay in performance during the event of Force Majeure and for a commercially reasonable period of additional time after the event of Force Majeure that the Party needs to recover from the event of Force Majeure and restore performance. Notwithstanding the foregoing, a Party will only be excused for an interruption or delay in performance under this Subsection for an event of Force Majeure only if the Party: (1) promptly notifies the other Party of the event of Force Majeure and provides information regarding the event of Force Majeure, including its extent and likely duration, and the efforts undertaken by the Party to foresee and avoid interruption or delay in its performance before the occurrence of the event, to mitigate interruption or delay in performance during the event, and to recover from and restore performance following the event; and (2) the Party exercises commercially reasonable efforts to mitigate, recover from and restore performance following the event of Force Majeure. During, and while recovering from and restoring performance following, an event of Force Majeure, Pactiv will act in good faith in allocating its available storage capacity at a Warehouse to store Reynolds Products under this Agreement and any products of Pactiv and its other customers. If an event of Force Majeure interrupts or delays Pactiv from receiving, storing and delivering a Reynolds Product to Reynolds under this Agreement in the quantities and timetable required by Reynolds, Reynolds may cancel any unfilled service orders for the Reynolds Products and procure the required storage capacity for Reynolds Products from one or more other sources until Pactiv has recovered from and restored its ability to perform following the event of Force Majeure. If Pactiv is not able to provide the Base Storage Capacity or Additional Storage Capacity or other Services at a Warehouse because of an event of Force Majeure, Reynolds may enter into warehouse services agreements or make other arrangements to procure the required quantities of storage capacity for the Reynolds Products from one or more other sources for a duration and on terms acceptable to Reynolds in its good faith discretion. In such a circumstance, Reynolds may, but will not be obligated to, resume storing Reynolds Products at Warehouses under this Agreement after Pactiv has recovered from and restored its ability to perform following the event of Force Majeure. If the interruption or delay in the storage of a Reynolds Product at a Warehouse under this Agreement because of an event of Force Majeure has exceeded, or is reasonably likely to exceed, one hundred eighty (180) days, either Party may exclude the Warehouse from this Agreement by delivering written notice to the other Party in which event the Service Expiration Date of the Warehouse will be the date specified in the written notice. The temporary interruption in Service at a Warehouse, or the exclusion of a Warehouse from this Agreement, as a result of an event of Force Majeure will not reduce nor release Reynolds of its obligation to pay the Base Storage Fee on the Warehouse through the date of the Force Majeure event. For example, if a leased Warehouse is destroyed by fire or other casualty and the lessor elects to exercise a right to terminate the lease before it Service Expiration Date and releases Pactiv of its rights and obligations to operate the Warehouse and pay rent and expenses on the Warehouse, Reynolds will be released from its obligation to pay the Base Storage Fee on the Warehouse from and after the Force Majeure date. This Subsection will not excuse nor extend a deadline by which a Party must pay an amount owed under this Agreement or Applicable Laws or by which a Party must exercise any right or remedy under this Agreement or Applicable Laws.</w:t>
      </w:r>
    </w:p>
    <w:p>
      <w:pPr>
        <w:sectPr>
          <w:pgSz w:w="11900" w:h="16838" w:orient="portrait"/>
          <w:cols w:equalWidth="0" w:num="1">
            <w:col w:w="11194"/>
          </w:cols>
          <w:pgMar w:left="346" w:top="1440"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IX. Confidential Information and Other Intellectual Property</w:t>
      </w:r>
    </w:p>
    <w:p>
      <w:pPr>
        <w:spacing w:after="0" w:line="283" w:lineRule="exact"/>
        <w:rPr>
          <w:sz w:val="20"/>
          <w:szCs w:val="20"/>
          <w:color w:val="auto"/>
        </w:rPr>
      </w:pPr>
    </w:p>
    <w:p>
      <w:pPr>
        <w:jc w:val="both"/>
        <w:ind w:left="460" w:hanging="454"/>
        <w:spacing w:after="0" w:line="261" w:lineRule="auto"/>
        <w:tabs>
          <w:tab w:leader="none" w:pos="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anticipate exchanging Confidential Information (as defined in in the next Subsection) over the Term of this Agreement for the purpose of negotiating and entering into Purchase Schedules and amendments to this Agreement, transacting business with one another in accordance with this Agreement and exercising their rights and performing their obligations under this Agreement and Applicable Laws, accounting standards and securities exchange requirements (collectively referred to as the “</w:t>
      </w:r>
      <w:r>
        <w:rPr>
          <w:rFonts w:ascii="Times New Roman" w:cs="Times New Roman" w:eastAsia="Times New Roman" w:hAnsi="Times New Roman"/>
          <w:sz w:val="18"/>
          <w:szCs w:val="18"/>
          <w:u w:val="single" w:color="auto"/>
          <w:color w:val="auto"/>
        </w:rPr>
        <w:t>Authorized Purposes</w:t>
      </w:r>
      <w:r>
        <w:rPr>
          <w:rFonts w:ascii="Times New Roman" w:cs="Times New Roman" w:eastAsia="Times New Roman" w:hAnsi="Times New Roman"/>
          <w:sz w:val="18"/>
          <w:szCs w:val="18"/>
          <w:color w:val="auto"/>
        </w:rPr>
        <w:t>”).</w:t>
      </w:r>
    </w:p>
    <w:p>
      <w:pPr>
        <w:spacing w:after="0" w:line="355" w:lineRule="exact"/>
        <w:rPr>
          <w:rFonts w:ascii="Times New Roman" w:cs="Times New Roman" w:eastAsia="Times New Roman" w:hAnsi="Times New Roman"/>
          <w:sz w:val="18"/>
          <w:szCs w:val="18"/>
          <w:b w:val="1"/>
          <w:bCs w:val="1"/>
          <w:color w:val="auto"/>
        </w:rPr>
      </w:pPr>
    </w:p>
    <w:p>
      <w:pPr>
        <w:ind w:left="460" w:hanging="454"/>
        <w:spacing w:after="0"/>
        <w:tabs>
          <w:tab w:leader="none" w:pos="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phrase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information meeting all of the following criteria:</w:t>
      </w:r>
    </w:p>
    <w:p>
      <w:pPr>
        <w:spacing w:after="0" w:line="387" w:lineRule="exact"/>
        <w:rPr>
          <w:rFonts w:ascii="Times New Roman" w:cs="Times New Roman" w:eastAsia="Times New Roman" w:hAnsi="Times New Roman"/>
          <w:sz w:val="18"/>
          <w:szCs w:val="18"/>
          <w:b w:val="1"/>
          <w:bCs w:val="1"/>
          <w:color w:val="auto"/>
        </w:rPr>
      </w:pPr>
    </w:p>
    <w:p>
      <w:pPr>
        <w:ind w:left="1040" w:hanging="589"/>
        <w:spacing w:after="0" w:line="282" w:lineRule="auto"/>
        <w:tabs>
          <w:tab w:leader="none" w:pos="104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is a trade secret or other non-public, proprietary information owned by a Party or its direct and indirect subsidiaries under Applicable Laws (this Party is referred to at times in this Section as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and</w:t>
      </w:r>
    </w:p>
    <w:p>
      <w:pPr>
        <w:spacing w:after="0" w:line="337" w:lineRule="exact"/>
        <w:rPr>
          <w:rFonts w:ascii="Times New Roman" w:cs="Times New Roman" w:eastAsia="Times New Roman" w:hAnsi="Times New Roman"/>
          <w:sz w:val="18"/>
          <w:szCs w:val="18"/>
          <w:b w:val="1"/>
          <w:bCs w:val="1"/>
          <w:color w:val="auto"/>
        </w:rPr>
      </w:pPr>
    </w:p>
    <w:p>
      <w:pPr>
        <w:ind w:left="1040" w:hanging="589"/>
        <w:spacing w:after="0" w:line="282" w:lineRule="auto"/>
        <w:tabs>
          <w:tab w:leader="none" w:pos="104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other Party (referred to at times in this Section as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xml:space="preserve">”) requests such information from the Disclosing Party for the Authorized Purposes during the Term (i.e., neither Party wants </w:t>
      </w:r>
      <w:r>
        <w:rPr>
          <w:rFonts w:ascii="Times New Roman" w:cs="Times New Roman" w:eastAsia="Times New Roman" w:hAnsi="Times New Roman"/>
          <w:sz w:val="18"/>
          <w:szCs w:val="18"/>
          <w:i w:val="1"/>
          <w:iCs w:val="1"/>
          <w:color w:val="auto"/>
        </w:rPr>
        <w:t>unsolicited</w:t>
      </w:r>
      <w:r>
        <w:rPr>
          <w:rFonts w:ascii="Times New Roman" w:cs="Times New Roman" w:eastAsia="Times New Roman" w:hAnsi="Times New Roman"/>
          <w:sz w:val="18"/>
          <w:szCs w:val="18"/>
          <w:color w:val="auto"/>
        </w:rPr>
        <w:t xml:space="preserve"> Confidential Information from the other Party); and</w:t>
      </w:r>
    </w:p>
    <w:p>
      <w:pPr>
        <w:spacing w:after="0" w:line="323" w:lineRule="exact"/>
        <w:rPr>
          <w:rFonts w:ascii="Times New Roman" w:cs="Times New Roman" w:eastAsia="Times New Roman" w:hAnsi="Times New Roman"/>
          <w:sz w:val="18"/>
          <w:szCs w:val="18"/>
          <w:b w:val="1"/>
          <w:bCs w:val="1"/>
          <w:color w:val="auto"/>
        </w:rPr>
      </w:pPr>
    </w:p>
    <w:p>
      <w:pPr>
        <w:jc w:val="both"/>
        <w:ind w:left="1040" w:hanging="589"/>
        <w:spacing w:after="0" w:line="217" w:lineRule="auto"/>
        <w:tabs>
          <w:tab w:leader="none" w:pos="104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Disclosing Party discloses such requested information to the Receiving Party during the Term either labelled as “Confidential” or words of similar intent, or describes the disclosed information in reasonable detail in a written notice to the Receiving Party delivered, either at the time of disclosure or within five (5) days of disclosure. If a Disclosing Party neglects to label or deliver timely written notice to the Receiving Party identifying the disclosed information as confidential in nature, the disclosed information will only be treated as Confidential Information under this Agreement if the Disclosing Party is able to demonstrate by clear and convincing evidence that the Receiving Party knew that the disclosed information was a trade secret or other non-public, proprietary information of the Disclosing Party at the time of disclosure.</w:t>
      </w:r>
    </w:p>
    <w:p>
      <w:pPr>
        <w:spacing w:after="0" w:line="17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criteria in Clause (2) and Clause (3) will not apply to Confidential Information of a Disclosing Party observed or heard by a Receiving Party in a plant, warehouse, facility or system of the Disclosing Party. The existence and terms of this Agreement, and the existence, nature and extent of the business relationship between the Parties, will be considered the Confidential Information of each Party.</w:t>
      </w:r>
    </w:p>
    <w:p>
      <w:pPr>
        <w:spacing w:after="0" w:line="230" w:lineRule="exact"/>
        <w:rPr>
          <w:sz w:val="20"/>
          <w:szCs w:val="20"/>
          <w:color w:val="auto"/>
        </w:rPr>
      </w:pPr>
    </w:p>
    <w:p>
      <w:pPr>
        <w:jc w:val="both"/>
        <w:ind w:left="460" w:hanging="454"/>
        <w:spacing w:after="0" w:line="253" w:lineRule="auto"/>
        <w:tabs>
          <w:tab w:leader="none" w:pos="4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phrase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also means the Know-How of a Disclosing Party and its direct and indirect subsidiaries that a Receiving Party and its direct and indirect subsidiaries learned of, acquired or otherwise used prior to the Effective Date. The phrase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trade secret and other confidential, proprietary information of a Party or its Affiliate concerning the manufacture, storage, packaging, marketing, sale and delivery of its products. Examples of Know-How may be in the form of drawings, equipment specifications, formulae, formulations, guidelines, manuals, methods, plans, policies, procedures, processes, properties and applications of raw materials and products, tools, dies and molds. A Receiving Party and its direct and indirect subsidiaries may continue to use the Know-How of the Disclosing Party and its direct and indirect subsidiaries in the possession of the Receiving Party and its direct and indirect subsidiaries as of the Effective Date for the Authorized Purposes and in connection with the operation of the business of the Receiving Party and its direct and indirect subsidiaries. Nothing in this Subsection or any other provisions of this Agreement will obligate a Party to disclose or license the use of its Know-How of any kind and in any form arising, discovered, acquired or developed after the Effective Date to the other Party.</w:t>
      </w:r>
    </w:p>
    <w:p>
      <w:pPr>
        <w:spacing w:after="0" w:line="367" w:lineRule="exact"/>
        <w:rPr>
          <w:rFonts w:ascii="Times New Roman" w:cs="Times New Roman" w:eastAsia="Times New Roman" w:hAnsi="Times New Roman"/>
          <w:sz w:val="18"/>
          <w:szCs w:val="18"/>
          <w:b w:val="1"/>
          <w:bCs w:val="1"/>
          <w:color w:val="auto"/>
        </w:rPr>
      </w:pPr>
    </w:p>
    <w:p>
      <w:pPr>
        <w:ind w:left="460" w:hanging="454"/>
        <w:spacing w:after="0" w:line="284" w:lineRule="auto"/>
        <w:tabs>
          <w:tab w:leader="none" w:pos="4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phrase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does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include, and there will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be any duties of confidentiality or other restrictions under this Agreement for, the following types of information:</w:t>
      </w:r>
    </w:p>
    <w:p>
      <w:pPr>
        <w:sectPr>
          <w:pgSz w:w="11900" w:h="16838" w:orient="portrait"/>
          <w:cols w:equalWidth="0" w:num="1">
            <w:col w:w="11200"/>
          </w:cols>
          <w:pgMar w:left="340" w:top="1413" w:right="359" w:bottom="1440" w:gutter="0" w:footer="0" w:header="0"/>
        </w:sectPr>
      </w:pPr>
    </w:p>
    <w:bookmarkStart w:id="54" w:name="page55"/>
    <w:bookmarkEnd w:id="54"/>
    <w:p>
      <w:pPr>
        <w:spacing w:after="0" w:line="18" w:lineRule="exact"/>
        <w:rPr>
          <w:sz w:val="20"/>
          <w:szCs w:val="20"/>
          <w:color w:val="auto"/>
        </w:rPr>
      </w:pPr>
    </w:p>
    <w:p>
      <w:pPr>
        <w:ind w:left="1034" w:hanging="589"/>
        <w:spacing w:after="0" w:line="237" w:lineRule="auto"/>
        <w:tabs>
          <w:tab w:leader="none" w:pos="103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which is or becomes available as part of the public domain through any means other than as a result of a breach of this Agreement by the Receiving Party; or</w:t>
      </w:r>
    </w:p>
    <w:p>
      <w:pPr>
        <w:spacing w:after="0" w:line="374" w:lineRule="exact"/>
        <w:rPr>
          <w:rFonts w:ascii="Times New Roman" w:cs="Times New Roman" w:eastAsia="Times New Roman" w:hAnsi="Times New Roman"/>
          <w:sz w:val="18"/>
          <w:szCs w:val="18"/>
          <w:b w:val="1"/>
          <w:bCs w:val="1"/>
          <w:color w:val="auto"/>
        </w:rPr>
      </w:pPr>
    </w:p>
    <w:p>
      <w:pPr>
        <w:ind w:left="1034" w:hanging="589"/>
        <w:spacing w:after="0" w:line="237" w:lineRule="auto"/>
        <w:tabs>
          <w:tab w:leader="none" w:pos="103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other than Know-How received prior the Effective Date, which is known to the Receiving Party before the disclosure of the same information by the Disclosing Party; or</w:t>
      </w:r>
    </w:p>
    <w:p>
      <w:pPr>
        <w:spacing w:after="0" w:line="333" w:lineRule="exact"/>
        <w:rPr>
          <w:rFonts w:ascii="Times New Roman" w:cs="Times New Roman" w:eastAsia="Times New Roman" w:hAnsi="Times New Roman"/>
          <w:sz w:val="18"/>
          <w:szCs w:val="18"/>
          <w:b w:val="1"/>
          <w:bCs w:val="1"/>
          <w:color w:val="auto"/>
        </w:rPr>
      </w:pPr>
    </w:p>
    <w:p>
      <w:pPr>
        <w:ind w:left="1034" w:hanging="589"/>
        <w:spacing w:after="0" w:line="250" w:lineRule="auto"/>
        <w:tabs>
          <w:tab w:leader="none" w:pos="103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which is or becomes available to the Receiving Party from a third-party who is not under any duty to preserve the confidentiality of such information; or</w:t>
      </w:r>
    </w:p>
    <w:p>
      <w:pPr>
        <w:spacing w:after="0" w:line="324" w:lineRule="exact"/>
        <w:rPr>
          <w:rFonts w:ascii="Times New Roman" w:cs="Times New Roman" w:eastAsia="Times New Roman" w:hAnsi="Times New Roman"/>
          <w:sz w:val="18"/>
          <w:szCs w:val="18"/>
          <w:b w:val="1"/>
          <w:bCs w:val="1"/>
          <w:color w:val="auto"/>
        </w:rPr>
      </w:pPr>
    </w:p>
    <w:p>
      <w:pPr>
        <w:ind w:left="1034" w:hanging="589"/>
        <w:spacing w:after="0" w:line="237" w:lineRule="auto"/>
        <w:tabs>
          <w:tab w:leader="none" w:pos="103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which is furnished by the Disclosing Party to a third-party without imposing any duty on the third-party to preserve the confidentiality of such information; or</w:t>
      </w:r>
    </w:p>
    <w:p>
      <w:pPr>
        <w:spacing w:after="0" w:line="347" w:lineRule="exact"/>
        <w:rPr>
          <w:rFonts w:ascii="Times New Roman" w:cs="Times New Roman" w:eastAsia="Times New Roman" w:hAnsi="Times New Roman"/>
          <w:sz w:val="18"/>
          <w:szCs w:val="18"/>
          <w:b w:val="1"/>
          <w:bCs w:val="1"/>
          <w:color w:val="auto"/>
        </w:rPr>
      </w:pPr>
    </w:p>
    <w:p>
      <w:pPr>
        <w:jc w:val="both"/>
        <w:ind w:left="1034" w:hanging="589"/>
        <w:spacing w:after="0" w:line="226" w:lineRule="auto"/>
        <w:tabs>
          <w:tab w:leader="none" w:pos="103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which is independently developed by the Receiving Party without the use of or reliance on any trade secret or other non-public, proprietary information provided by the Disclosing Party as Confidential Information under this Agreement or under any prior agreement between the Parties; or</w:t>
      </w:r>
    </w:p>
    <w:p>
      <w:pPr>
        <w:spacing w:after="0" w:line="333" w:lineRule="exact"/>
        <w:rPr>
          <w:rFonts w:ascii="Times New Roman" w:cs="Times New Roman" w:eastAsia="Times New Roman" w:hAnsi="Times New Roman"/>
          <w:sz w:val="18"/>
          <w:szCs w:val="18"/>
          <w:b w:val="1"/>
          <w:bCs w:val="1"/>
          <w:color w:val="auto"/>
        </w:rPr>
      </w:pPr>
    </w:p>
    <w:p>
      <w:pPr>
        <w:jc w:val="both"/>
        <w:ind w:left="1034" w:hanging="589"/>
        <w:spacing w:after="0" w:line="231" w:lineRule="auto"/>
        <w:tabs>
          <w:tab w:leader="none" w:pos="1034"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that ceases to be a trade secret or other non-public, proprietary information of the Disclosing Party under Applicable Laws through any means other than those enumerated above and that does not involve nor result from a breach of this Agreement by the Receiving Party.</w:t>
      </w:r>
    </w:p>
    <w:p>
      <w:pPr>
        <w:spacing w:after="0" w:line="333" w:lineRule="exact"/>
        <w:rPr>
          <w:rFonts w:ascii="Times New Roman" w:cs="Times New Roman" w:eastAsia="Times New Roman" w:hAnsi="Times New Roman"/>
          <w:sz w:val="18"/>
          <w:szCs w:val="18"/>
          <w:b w:val="1"/>
          <w:bCs w:val="1"/>
          <w:color w:val="auto"/>
        </w:rPr>
      </w:pPr>
    </w:p>
    <w:p>
      <w:pPr>
        <w:jc w:val="both"/>
        <w:ind w:left="454" w:hanging="454"/>
        <w:spacing w:after="0" w:line="215" w:lineRule="auto"/>
        <w:tabs>
          <w:tab w:leader="none" w:pos="45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Party may request and disclose Confidential Information in any form or medium. Confidential Information may include, without limitation, information concerning the assets, liabilities, financing, financial statements, ownership, goods, services, customers, suppliers, marketing, manufacturing, equipment, software, technology, supply chain, business strategies, plans, models, policies, methods, processes, formulae, specifications, drawings, schematics, software and technical know-how of a Disclosing Party. A Receiving Party will take all commercially reasonable actions required to safeguard the Confidential Information of a Disclosing Party in the possession of such Receiving Party against the unauthorized disclosure or use of the Confidential Information by other persons. A Receiving Party will promptly notify the Disclosing Party if the Receiving Party learns of any unauthorized disclosure or use of the Confidential Information of the Disclosing Party by any person. A Receiving Party will cooperate in good faith with the Disclosing Party to prevent any unauthorized disclosure or use of the Confidential Information of the Disclosing Party by any person. A Receiving Party will not be obligated to incur any liability, expense or risk in extending such cooperation to a Disclosing Party, however.</w:t>
      </w:r>
    </w:p>
    <w:p>
      <w:pPr>
        <w:spacing w:after="0" w:line="332" w:lineRule="exact"/>
        <w:rPr>
          <w:rFonts w:ascii="Times New Roman" w:cs="Times New Roman" w:eastAsia="Times New Roman" w:hAnsi="Times New Roman"/>
          <w:sz w:val="18"/>
          <w:szCs w:val="18"/>
          <w:b w:val="1"/>
          <w:bCs w:val="1"/>
          <w:color w:val="auto"/>
        </w:rPr>
      </w:pPr>
    </w:p>
    <w:p>
      <w:pPr>
        <w:ind w:left="454" w:hanging="454"/>
        <w:spacing w:after="0"/>
        <w:tabs>
          <w:tab w:leader="none" w:pos="454"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Receiving Party will not disclose nor use the Confidential Information of a Disclosing Party except as follows:</w:t>
      </w:r>
    </w:p>
    <w:p>
      <w:pPr>
        <w:spacing w:after="0" w:line="360" w:lineRule="exact"/>
        <w:rPr>
          <w:rFonts w:ascii="Times New Roman" w:cs="Times New Roman" w:eastAsia="Times New Roman" w:hAnsi="Times New Roman"/>
          <w:sz w:val="18"/>
          <w:szCs w:val="18"/>
          <w:b w:val="1"/>
          <w:bCs w:val="1"/>
          <w:color w:val="auto"/>
        </w:rPr>
      </w:pPr>
    </w:p>
    <w:p>
      <w:pPr>
        <w:jc w:val="both"/>
        <w:ind w:left="1034" w:hanging="589"/>
        <w:spacing w:after="0" w:line="253" w:lineRule="auto"/>
        <w:tabs>
          <w:tab w:leader="none" w:pos="1034"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Receiving Party and its Representatives may use the Confidential Information of a Disclosing Party for the Authorized Purposes. A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the Affiliates of a Party and the directors, officers, managers, employees, accountants, attorneys, auditors and other agents and consultants of a Party and its Affiliates.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Party means a legal entity that owns and controls, or is owned and controlled by, or is under common ownership and control with, a Party (other than the other Party or any of its direct and indirect subsidiaries), with ownership and control of a legal entity being determined by the ownership of the majority voting interest in the legal entity. A Receiving Party may disclose Confidential Information of a Disclosing Party on a “</w:t>
      </w:r>
      <w:r>
        <w:rPr>
          <w:rFonts w:ascii="Times New Roman" w:cs="Times New Roman" w:eastAsia="Times New Roman" w:hAnsi="Times New Roman"/>
          <w:sz w:val="18"/>
          <w:szCs w:val="18"/>
          <w:i w:val="1"/>
          <w:iCs w:val="1"/>
          <w:color w:val="auto"/>
        </w:rPr>
        <w:t>need to know</w:t>
      </w:r>
      <w:r>
        <w:rPr>
          <w:rFonts w:ascii="Times New Roman" w:cs="Times New Roman" w:eastAsia="Times New Roman" w:hAnsi="Times New Roman"/>
          <w:sz w:val="18"/>
          <w:szCs w:val="18"/>
          <w:color w:val="auto"/>
        </w:rPr>
        <w:t>” basis to only those Representatives of the Receiving Party who require such information for the Authorized Purposes. Before making such a disclosure, the Receiving Party will advise the Representatives of the confidential nature of the information being shared and ensure that duties and restrictions are, or have been, imposed on the Representatives receiving the Confidential Information similar to those imposed on the Receiving Party under this Agreement. A Receiving Party will be liable for any breach of this Agreement by its Representatives.</w:t>
      </w:r>
    </w:p>
    <w:p>
      <w:pPr>
        <w:sectPr>
          <w:pgSz w:w="11900" w:h="16838" w:orient="portrait"/>
          <w:cols w:equalWidth="0" w:num="1">
            <w:col w:w="11194"/>
          </w:cols>
          <w:pgMar w:left="346" w:top="1440" w:right="359" w:bottom="1440" w:gutter="0" w:footer="0" w:header="0"/>
        </w:sectPr>
      </w:pPr>
    </w:p>
    <w:bookmarkStart w:id="55" w:name="page56"/>
    <w:bookmarkEnd w:id="55"/>
    <w:p>
      <w:pPr>
        <w:spacing w:after="0" w:line="18" w:lineRule="exact"/>
        <w:rPr>
          <w:sz w:val="20"/>
          <w:szCs w:val="20"/>
          <w:color w:val="auto"/>
        </w:rPr>
      </w:pPr>
    </w:p>
    <w:p>
      <w:pPr>
        <w:jc w:val="both"/>
        <w:ind w:left="1034" w:right="20" w:hanging="589"/>
        <w:spacing w:after="0" w:line="217" w:lineRule="auto"/>
        <w:tabs>
          <w:tab w:leader="none" w:pos="103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Receiving Party may disclose Confidential Information of a Disclosing Party to a court, governmental entity or any other person in order for the Receiving Party and its Affiliates to comply with Applicable Laws, accounting standards and securities exchange requirements. If legally permissible and reasonably possible, a Receiving Party will notify the Disclosing Party prior to disclosing its Confidential Information pursuant to this Section and cooperate in good faith with any lawful efforts by the Disclosing Party to avoid or limit the disclosure of its Confidential Information. A Receiving Party will not be obligated to incur any liability, expense or risk in extending such cooperation to a Disclosing Party. Based on legal advice of its attorney, a Receiving Party may disclose the Confidential Information of the Disclosing Party by any deadline established under an Applicable Laws, accounting standard and securities exchange requirement.</w:t>
      </w:r>
    </w:p>
    <w:p>
      <w:pPr>
        <w:spacing w:after="0" w:line="363" w:lineRule="exact"/>
        <w:rPr>
          <w:rFonts w:ascii="Times New Roman" w:cs="Times New Roman" w:eastAsia="Times New Roman" w:hAnsi="Times New Roman"/>
          <w:sz w:val="18"/>
          <w:szCs w:val="18"/>
          <w:b w:val="1"/>
          <w:bCs w:val="1"/>
          <w:color w:val="auto"/>
        </w:rPr>
      </w:pPr>
    </w:p>
    <w:p>
      <w:pPr>
        <w:jc w:val="both"/>
        <w:ind w:left="1034" w:right="20" w:hanging="589"/>
        <w:spacing w:after="0" w:line="220" w:lineRule="auto"/>
        <w:tabs>
          <w:tab w:leader="none" w:pos="103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Receiving Party may disclose and use the Confidential Information of a Disclosing Party to enforce or interpret this Agreement or any other agreement with the Disclosing Party in any arbitration, court or other legal proceeding. A Receiving Party may disclose and use this Confidential Information of a Disclosing Party to defend the Receiving Party or its Affiliates or their respective Representatives in any arbitration, court or other legal proceeding. In either circumstance, the Receiving Party will ensure that a protective order, agreement or other mechanism is in place to preserve the confidentiality of the Confidential Information.</w:t>
      </w:r>
    </w:p>
    <w:p>
      <w:pPr>
        <w:spacing w:after="0" w:line="333" w:lineRule="exact"/>
        <w:rPr>
          <w:rFonts w:ascii="Times New Roman" w:cs="Times New Roman" w:eastAsia="Times New Roman" w:hAnsi="Times New Roman"/>
          <w:sz w:val="18"/>
          <w:szCs w:val="18"/>
          <w:b w:val="1"/>
          <w:bCs w:val="1"/>
          <w:color w:val="auto"/>
        </w:rPr>
      </w:pPr>
    </w:p>
    <w:p>
      <w:pPr>
        <w:jc w:val="both"/>
        <w:ind w:left="1034" w:right="40" w:hanging="589"/>
        <w:spacing w:after="0" w:line="231" w:lineRule="auto"/>
        <w:tabs>
          <w:tab w:leader="none" w:pos="1034"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Receiving Party and its Representatives may disclose and use the Confidential Information for any other purpose consented to by a Disclosing Party in a written notice signed by an officer of the Disclosing Party delivered to the Receiving Party. The other purpose described in the written notice will become one of the “Authorized Purposes” from and after the date of such written notice.</w:t>
      </w:r>
    </w:p>
    <w:p>
      <w:pPr>
        <w:spacing w:after="0" w:line="333" w:lineRule="exact"/>
        <w:rPr>
          <w:rFonts w:ascii="Times New Roman" w:cs="Times New Roman" w:eastAsia="Times New Roman" w:hAnsi="Times New Roman"/>
          <w:sz w:val="18"/>
          <w:szCs w:val="18"/>
          <w:b w:val="1"/>
          <w:bCs w:val="1"/>
          <w:color w:val="auto"/>
        </w:rPr>
      </w:pPr>
    </w:p>
    <w:p>
      <w:pPr>
        <w:ind w:left="454" w:hanging="454"/>
        <w:spacing w:after="0"/>
        <w:tabs>
          <w:tab w:leader="none" w:pos="45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disclosing its Confidential Information to a Receiving Party, a Disclosing Party represents, warrants and covenants to the Receiving Party that:</w:t>
      </w:r>
    </w:p>
    <w:p>
      <w:pPr>
        <w:spacing w:after="0" w:line="360" w:lineRule="exact"/>
        <w:rPr>
          <w:rFonts w:ascii="Times New Roman" w:cs="Times New Roman" w:eastAsia="Times New Roman" w:hAnsi="Times New Roman"/>
          <w:sz w:val="18"/>
          <w:szCs w:val="18"/>
          <w:b w:val="1"/>
          <w:bCs w:val="1"/>
          <w:color w:val="auto"/>
        </w:rPr>
      </w:pPr>
    </w:p>
    <w:p>
      <w:pPr>
        <w:ind w:left="1034" w:hanging="589"/>
        <w:spacing w:after="0"/>
        <w:tabs>
          <w:tab w:leader="none" w:pos="1034"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Disclosing Party owns and has the right to disclose and authorize the use of Confidential Information as provided in this Agreement.</w:t>
      </w:r>
    </w:p>
    <w:p>
      <w:pPr>
        <w:spacing w:after="0" w:line="346" w:lineRule="exact"/>
        <w:rPr>
          <w:rFonts w:ascii="Times New Roman" w:cs="Times New Roman" w:eastAsia="Times New Roman" w:hAnsi="Times New Roman"/>
          <w:sz w:val="18"/>
          <w:szCs w:val="18"/>
          <w:b w:val="1"/>
          <w:bCs w:val="1"/>
          <w:color w:val="auto"/>
        </w:rPr>
      </w:pPr>
    </w:p>
    <w:p>
      <w:pPr>
        <w:ind w:left="1034" w:right="20" w:hanging="589"/>
        <w:spacing w:after="0" w:line="250" w:lineRule="auto"/>
        <w:tabs>
          <w:tab w:leader="none" w:pos="1034"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Receiving Party and its Representatives may use the Confidential Information of the Disclosing Party for the Authorized Purposes provided in this Agreement.</w:t>
      </w:r>
    </w:p>
    <w:p>
      <w:pPr>
        <w:spacing w:after="0" w:line="324" w:lineRule="exact"/>
        <w:rPr>
          <w:rFonts w:ascii="Times New Roman" w:cs="Times New Roman" w:eastAsia="Times New Roman" w:hAnsi="Times New Roman"/>
          <w:sz w:val="18"/>
          <w:szCs w:val="18"/>
          <w:b w:val="1"/>
          <w:bCs w:val="1"/>
          <w:color w:val="auto"/>
        </w:rPr>
      </w:pPr>
    </w:p>
    <w:p>
      <w:pPr>
        <w:jc w:val="both"/>
        <w:ind w:left="1034" w:right="20" w:hanging="589"/>
        <w:spacing w:after="0" w:line="224" w:lineRule="auto"/>
        <w:tabs>
          <w:tab w:leader="none" w:pos="1034"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Disclosing Party will indemnify, defend and hold harmless the Receiving Party and its Representatives against any claim of a third-party that the disclosure and use of the Confidential Information of the Disclosing Party as provided in this Agreement infringes on a patent, trademark, copyright, trade secret or other intellectual property of the third-party registered in or otherwise recognized and enforceable under Applicable Laws.</w:t>
      </w:r>
    </w:p>
    <w:p>
      <w:pPr>
        <w:spacing w:after="0" w:line="186" w:lineRule="exact"/>
        <w:rPr>
          <w:sz w:val="20"/>
          <w:szCs w:val="20"/>
          <w:color w:val="auto"/>
        </w:rPr>
      </w:pPr>
    </w:p>
    <w:p>
      <w:pPr>
        <w:jc w:val="both"/>
        <w:ind w:left="714"/>
        <w:spacing w:after="0" w:line="266" w:lineRule="auto"/>
        <w:rPr>
          <w:sz w:val="20"/>
          <w:szCs w:val="20"/>
          <w:color w:val="auto"/>
        </w:rPr>
      </w:pPr>
      <w:r>
        <w:rPr>
          <w:rFonts w:ascii="Times New Roman" w:cs="Times New Roman" w:eastAsia="Times New Roman" w:hAnsi="Times New Roman"/>
          <w:sz w:val="18"/>
          <w:szCs w:val="18"/>
          <w:color w:val="auto"/>
        </w:rPr>
        <w:t>Except for the limited representations and warranties in this Section, a Disclosing Party disclaims all other representations and warranties of any kind related to its Confidential Information, whether express, implied or arising by operation of law, including the disclaimer, without limitation, of any representation and warranties concerning merchantability, fitness for a particular purpose, truth, accuracy or completeness.</w:t>
      </w:r>
    </w:p>
    <w:p>
      <w:pPr>
        <w:spacing w:after="0" w:line="228" w:lineRule="exact"/>
        <w:rPr>
          <w:sz w:val="20"/>
          <w:szCs w:val="20"/>
          <w:color w:val="auto"/>
        </w:rPr>
      </w:pPr>
    </w:p>
    <w:p>
      <w:pPr>
        <w:jc w:val="both"/>
        <w:ind w:left="454" w:right="20" w:hanging="454"/>
        <w:spacing w:after="0" w:line="258" w:lineRule="auto"/>
        <w:tabs>
          <w:tab w:leader="none" w:pos="45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Confidential Information that is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a trade secret of a Disclosing Party under Applicable Laws, the rights and obligations of the Parties under this Section will continue until the earlier of (i) sixty (60) months from the date of disclosure to a Receiving Party or (ii) the date such information ceases to be considered Confidential Information under this Agreement. For Confidential Information that is a trade secret of a Disclosing Party under Applicable Laws, the rights and obligations of the Parties under this Section will continue until such information ceases to be a trade secret of the Disclosing Party under Applicable Laws.</w:t>
      </w:r>
    </w:p>
    <w:p>
      <w:pPr>
        <w:sectPr>
          <w:pgSz w:w="11900" w:h="16838" w:orient="portrait"/>
          <w:cols w:equalWidth="0" w:num="1">
            <w:col w:w="11214"/>
          </w:cols>
          <w:pgMar w:left="346" w:top="1440" w:right="339" w:bottom="1440" w:gutter="0" w:footer="0" w:header="0"/>
        </w:sectPr>
      </w:pPr>
    </w:p>
    <w:bookmarkStart w:id="56" w:name="page57"/>
    <w:bookmarkEnd w:id="56"/>
    <w:p>
      <w:pPr>
        <w:spacing w:after="0" w:line="18" w:lineRule="exact"/>
        <w:rPr>
          <w:sz w:val="20"/>
          <w:szCs w:val="20"/>
          <w:color w:val="auto"/>
        </w:rPr>
      </w:pPr>
    </w:p>
    <w:p>
      <w:pPr>
        <w:jc w:val="both"/>
        <w:ind w:left="460" w:hanging="454"/>
        <w:spacing w:after="0" w:line="216" w:lineRule="auto"/>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Receiving Party will return or destroy all forms of Confidential Information of the Disclosing Party in the custody of the Receiving Party and its Representatives within ten (10) days of receipt of a written request from the Disclosing Party and after the expiration or earlier termination of this Agreement. This will include, without limitation, all copies, records, documents and other information representing, comprising, containing, referencing or created based on Confidential Information of the Disclosing Party. Notwithstanding the foregoing, a Receiving Party and its Representatives may retain copies of Confidential Information of the Disclosing Party which (x) the Receiving Party and its Representatives are required to retain to comply with Applicable Laws, accounting standards and securities exchange requirements (but only for the duration and in the manner so required for these limited purposes); or (y) have been archived in electronic form by the Receiving Party and its Representatives and which would be unduly burdensome for the Receiving Party and its Representatives to have to search for and delete the Confidential Information of the Disclosing Party.</w:t>
      </w:r>
    </w:p>
    <w:p>
      <w:pPr>
        <w:spacing w:after="0" w:line="361" w:lineRule="exact"/>
        <w:rPr>
          <w:rFonts w:ascii="Times New Roman" w:cs="Times New Roman" w:eastAsia="Times New Roman" w:hAnsi="Times New Roman"/>
          <w:sz w:val="18"/>
          <w:szCs w:val="18"/>
          <w:b w:val="1"/>
          <w:bCs w:val="1"/>
          <w:color w:val="auto"/>
        </w:rPr>
      </w:pPr>
    </w:p>
    <w:p>
      <w:pPr>
        <w:jc w:val="both"/>
        <w:ind w:left="460" w:hanging="454"/>
        <w:spacing w:after="0" w:line="215" w:lineRule="auto"/>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for the limited right to disclose and use Confidential Information of a Disclosing Party for the Authorized Purposes provided in the this Section and except for any license of intellectual property granted by a Disclosing Party to the Receiving Party in a Purchase Schedule, this Agreement does not grant a Receiving Party or its Representatives any right, title, interest or ownership in the Confidential Information of the Disclosing Party nor in any patent, trademark, copyright or other intellectual property of the Disclosing Party. As between the Parties during the Term, to be effective, the grant of any right, title, interest and ownership in and to any Confidential Information of Party or in an patents, trademarks, copyrights and other intellectual property of the Party must be in writing and signed by the chief executive officers of the Parties. During the Term, a Party will not develop intellectual property for, on behalf of, or in collaboration with, the other Party unless the Parties have entered into a Purchase Schedule or other separate written agreement signed by an officer of each Party.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 Dispute Resolution</w:t>
      </w:r>
    </w:p>
    <w:p>
      <w:pPr>
        <w:spacing w:after="0" w:line="279" w:lineRule="exact"/>
        <w:rPr>
          <w:sz w:val="20"/>
          <w:szCs w:val="20"/>
          <w:color w:val="auto"/>
        </w:rPr>
      </w:pPr>
    </w:p>
    <w:p>
      <w:pPr>
        <w:jc w:val="both"/>
        <w:ind w:left="460" w:hanging="454"/>
        <w:spacing w:after="0" w:line="268" w:lineRule="auto"/>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Negotiation</w:t>
      </w:r>
      <w:r>
        <w:rPr>
          <w:rFonts w:ascii="Times New Roman" w:cs="Times New Roman" w:eastAsia="Times New Roman" w:hAnsi="Times New Roman"/>
          <w:sz w:val="18"/>
          <w:szCs w:val="18"/>
          <w:color w:val="auto"/>
        </w:rPr>
        <w:t>. If a Party believes that the other Party has breached this Agreement or if there is a dispute between the Parties over the interpretation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the Parties will endeavor to resolve the Dispute through good faith negotiation for a period of thirty (30) days after a Party notifies the other Party of the Dispute and before either Party requests mediation or files litigation to resolve the Dispute.</w:t>
      </w:r>
    </w:p>
    <w:p>
      <w:pPr>
        <w:spacing w:after="0" w:line="346" w:lineRule="exact"/>
        <w:rPr>
          <w:rFonts w:ascii="Times New Roman" w:cs="Times New Roman" w:eastAsia="Times New Roman" w:hAnsi="Times New Roman"/>
          <w:sz w:val="18"/>
          <w:szCs w:val="18"/>
          <w:b w:val="1"/>
          <w:bCs w:val="1"/>
          <w:color w:val="auto"/>
        </w:rPr>
      </w:pPr>
    </w:p>
    <w:p>
      <w:pPr>
        <w:jc w:val="both"/>
        <w:ind w:left="460" w:hanging="454"/>
        <w:spacing w:after="0" w:line="256" w:lineRule="auto"/>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Mediation</w:t>
      </w:r>
      <w:r>
        <w:rPr>
          <w:rFonts w:ascii="Times New Roman" w:cs="Times New Roman" w:eastAsia="Times New Roman" w:hAnsi="Times New Roman"/>
          <w:sz w:val="18"/>
          <w:szCs w:val="18"/>
          <w:color w:val="auto"/>
        </w:rPr>
        <w:t>. If the Parties have been unable to resolve a Dispute through good faith negotiation as provided in the prior Subsection, a Party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request that the Parties attempt to resolve the Dispute through mediation by notifying the other Party with a copy to JAMS. The Parties will attempt to select a mutually acceptable JAMS mediator, and a mediation location in Lake County, Illinois or Cook County, Illinois, within ten (10) days of the notice requesting mediation. If the Parties are unable to agree on a JAMS mediator or mediation location, JAMS will appoint the mediator and a mediation location in Lake County, Illinois or Cook County, Illinois. The mediation will be held at the selected mediation location within thirty (30) days of the notice requesting mediation before a JAMS mediator and in compliance with JAMS mediation guidelines. Each party will bear its own costs in preparing for and participating in the mediation and one-half of the fees and expenses charged by JAMS for conducting the mediation.</w:t>
      </w:r>
    </w:p>
    <w:p>
      <w:pPr>
        <w:sectPr>
          <w:pgSz w:w="11900" w:h="16838" w:orient="portrait"/>
          <w:cols w:equalWidth="0" w:num="1">
            <w:col w:w="11200"/>
          </w:cols>
          <w:pgMar w:left="340" w:top="1440" w:right="359" w:bottom="1440" w:gutter="0" w:footer="0" w:header="0"/>
        </w:sectPr>
      </w:pPr>
    </w:p>
    <w:bookmarkStart w:id="57" w:name="page58"/>
    <w:bookmarkEnd w:id="57"/>
    <w:p>
      <w:pPr>
        <w:spacing w:after="0" w:line="28" w:lineRule="exact"/>
        <w:rPr>
          <w:sz w:val="20"/>
          <w:szCs w:val="20"/>
          <w:color w:val="auto"/>
        </w:rPr>
      </w:pPr>
    </w:p>
    <w:p>
      <w:pPr>
        <w:jc w:val="both"/>
        <w:ind w:left="460" w:hanging="454"/>
        <w:spacing w:after="0" w:line="259" w:lineRule="auto"/>
        <w:tabs>
          <w:tab w:leader="none" w:pos="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If the Parties are unable to resolve a Dispute through negotiation or mediation as provided in the prior Subsections, a Party may file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 against the other Party in a court of competent jurisdiction in the United States of America. With respect to litigation involving only the Parties or their Affiliates, the Parties irrevocably consent to the exclusive personal jurisdiction and venue of the U.S. federal and Illinois state courts</w:t>
      </w:r>
    </w:p>
    <w:p>
      <w:pPr>
        <w:jc w:val="both"/>
        <w:ind w:left="460"/>
        <w:spacing w:after="0" w:line="250" w:lineRule="auto"/>
        <w:rPr>
          <w:sz w:val="20"/>
          <w:szCs w:val="20"/>
          <w:color w:val="auto"/>
        </w:rPr>
      </w:pPr>
      <w:r>
        <w:rPr>
          <w:rFonts w:ascii="Times New Roman" w:cs="Times New Roman" w:eastAsia="Times New Roman" w:hAnsi="Times New Roman"/>
          <w:sz w:val="18"/>
          <w:szCs w:val="18"/>
          <w:color w:val="auto"/>
        </w:rPr>
        <w:t>of competent subject matter jurisdiction located in Lake County, Illinois or Cook County, Illinois and their respective higher courts of appeal for the limited purpose of resolving a Dispute, and the Parties waive, to the fullest extent permitted by Applicable Laws, any defense of inconvenient forum. The Parties waive any right to trial by jury as to any Disputes resolved through litigation. Notwithstanding the foregoing, a Party may file litigation to resolve a Dispute without undergoing either negotiation or mediation as provided in the prior Subsections for any Dispute involving:</w:t>
      </w:r>
    </w:p>
    <w:p>
      <w:pPr>
        <w:spacing w:after="0" w:line="2" w:lineRule="exact"/>
        <w:rPr>
          <w:sz w:val="20"/>
          <w:szCs w:val="20"/>
          <w:color w:val="auto"/>
        </w:rPr>
      </w:pPr>
    </w:p>
    <w:p>
      <w:pPr>
        <w:ind w:left="460" w:hanging="9"/>
        <w:spacing w:after="0" w:line="260" w:lineRule="auto"/>
        <w:tabs>
          <w:tab w:leader="none" w:pos="70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on intellectual property; (ii) the unauthorized use or disclosure of Confidential Information; or (iii) a request for a temporary restraining order, a preliminary or permanent injunction or any similar types of equitable relief.</w:t>
      </w:r>
    </w:p>
    <w:p>
      <w:pPr>
        <w:spacing w:after="0" w:line="352" w:lineRule="exact"/>
        <w:rPr>
          <w:rFonts w:ascii="Times New Roman" w:cs="Times New Roman" w:eastAsia="Times New Roman" w:hAnsi="Times New Roman"/>
          <w:sz w:val="18"/>
          <w:szCs w:val="18"/>
          <w:color w:val="auto"/>
        </w:rPr>
      </w:pPr>
    </w:p>
    <w:p>
      <w:pPr>
        <w:jc w:val="both"/>
        <w:ind w:left="460" w:hanging="454"/>
        <w:spacing w:after="0" w:line="254" w:lineRule="auto"/>
        <w:tabs>
          <w:tab w:leader="none" w:pos="4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Remedies. </w:t>
      </w:r>
      <w:r>
        <w:rPr>
          <w:rFonts w:ascii="Times New Roman" w:cs="Times New Roman" w:eastAsia="Times New Roman" w:hAnsi="Times New Roman"/>
          <w:sz w:val="18"/>
          <w:szCs w:val="18"/>
          <w:color w:val="auto"/>
        </w:rPr>
        <w:t>Except as expressly limited in the preceding Subsections and the other provisions in this Agreement, a Party may immediately exercise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any rights and remedies available to the Party under Applicable Laws upon a breach of this Agreement by the other Party. A Party will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suspend performance under nor terminate this Agreement or any accepted purchase order for a product being purchased and sold under this Agreement unless: (1) the other Party is in material breach of this Agreement and has either refused to cure the material breach or has failed to cure the material breach within thirty (30) day of its receipt of written notice of the failure; and (2) the Parties have been unable to resolve the Dispute related to the material breach through negotiation or mediation, or the breaching Party has refused or failed to attempt to resolve the Dispute through negotiation or mediation, as provided in this Section. Notwithstanding the foregoing, a Party may suspend performance or terminate this Agreement or any accepted purchase order for Services being purchased and sold under this Agreement immediately on written notice to the other Party, and without providing the other Party an opportunity to cure the material breach or attempting to resolve a Dispute over the material breach by negotiation or mediation as provided in this Section, for a material breach by the other Party involving substantial harm to the reputation, goodwill and business of the non-breaching Party that cannot reasonably be avoided or fully redressed by providing the other Party an opportunity to cure the material breach.</w:t>
      </w:r>
    </w:p>
    <w:p>
      <w:pPr>
        <w:spacing w:after="0" w:line="344" w:lineRule="exact"/>
        <w:rPr>
          <w:rFonts w:ascii="Times New Roman" w:cs="Times New Roman" w:eastAsia="Times New Roman" w:hAnsi="Times New Roman"/>
          <w:sz w:val="18"/>
          <w:szCs w:val="18"/>
          <w:b w:val="1"/>
          <w:bCs w:val="1"/>
          <w:color w:val="auto"/>
        </w:rPr>
      </w:pPr>
    </w:p>
    <w:p>
      <w:pPr>
        <w:jc w:val="both"/>
        <w:ind w:left="460" w:hanging="454"/>
        <w:spacing w:after="0" w:line="256" w:lineRule="auto"/>
        <w:tabs>
          <w:tab w:leader="none" w:pos="4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Late Fees and Collection Costs</w:t>
      </w:r>
      <w:r>
        <w:rPr>
          <w:rFonts w:ascii="Times New Roman" w:cs="Times New Roman" w:eastAsia="Times New Roman" w:hAnsi="Times New Roman"/>
          <w:sz w:val="18"/>
          <w:szCs w:val="18"/>
          <w:color w:val="auto"/>
        </w:rPr>
        <w:t>. If a Party (the “Payor”) fails to pay the other Party (the “Payee”) an amount owed under this Agreement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due date, then the Payor will owe the Payee: (i) the delinquent amount; and (ii) a late payment fee equal to two percent (2%) of the delinquent amount for each full or partial calendar month past the due date that the delinquent amount remains unpaid. In addition, if the Payee has to file litigation to collect the amount owed and the Payee prevails in the litigation, Payor will reimburse Payee for actual, reasonable, substantiated out-of-pocket expenses incurred by Payee in collecting the delinquent amount and accrued late payment fees on the delinquent amount. Under no circumstance will the late payment fee payable to Payee exceed the amount that a creditor may lawfully impose on a debtor on a delinquent amount under Applicable Law.</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XI. Miscellaneous</w:t>
      </w:r>
    </w:p>
    <w:p>
      <w:pPr>
        <w:spacing w:after="0" w:line="279" w:lineRule="exact"/>
        <w:rPr>
          <w:sz w:val="20"/>
          <w:szCs w:val="20"/>
          <w:color w:val="auto"/>
        </w:rPr>
      </w:pPr>
    </w:p>
    <w:p>
      <w:pPr>
        <w:jc w:val="both"/>
        <w:ind w:left="460" w:hanging="454"/>
        <w:spacing w:after="0" w:line="257" w:lineRule="auto"/>
        <w:tabs>
          <w:tab w:leader="none" w:pos="4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Entire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including its appended Exhibits and Purchase Schedules entered into during the Term, constitutes the entire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between the Parties with respect to the receipt, storage and delivery of Reynolds Products at the Warehouses. This Agreement supersedes all prior and simultaneous representations, discussions, negotiations, letters, proposals, agreements and understandings, whether written or oral, with respect to this subject matter. This Agreement will not be binding on either Party unless and until signed by the chief executive officers of each Party. No handwritten or other addition, deletion or other modification to the printed portions of this Agreement will be binding upon either Party to this Agreement.</w:t>
      </w:r>
    </w:p>
    <w:p>
      <w:pPr>
        <w:sectPr>
          <w:pgSz w:w="11900" w:h="16838" w:orient="portrait"/>
          <w:cols w:equalWidth="0" w:num="1">
            <w:col w:w="11200"/>
          </w:cols>
          <w:pgMar w:left="340" w:top="1440" w:right="359" w:bottom="1440" w:gutter="0" w:footer="0" w:header="0"/>
        </w:sectPr>
      </w:pPr>
    </w:p>
    <w:bookmarkStart w:id="58" w:name="page59"/>
    <w:bookmarkEnd w:id="58"/>
    <w:p>
      <w:pPr>
        <w:spacing w:after="0" w:line="28" w:lineRule="exact"/>
        <w:rPr>
          <w:sz w:val="20"/>
          <w:szCs w:val="20"/>
          <w:color w:val="auto"/>
        </w:rPr>
      </w:pPr>
    </w:p>
    <w:p>
      <w:pPr>
        <w:jc w:val="both"/>
        <w:ind w:left="454" w:hanging="454"/>
        <w:spacing w:after="0" w:line="257" w:lineRule="auto"/>
        <w:tabs>
          <w:tab w:leader="none" w:pos="45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Party may not amend this Agreement nor supplement the terms and conditions in this Agreement through the inclusion of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different terms and conditions in any quotation, purchase order, invoice, bill of lading, letter, email or other document or communication. This Section does not prevent the reliance on the descriptive information in transaction documents identifying the ordered Products (e.g., the type and quantity of ordered products and scheduled date and location for delivery). No amendment of this Agreement will be valid or effective unless made in writing and signed and exchanged by officers of the Parties. A Party may approve or reject a request for an amendment in its sole and absolute discretion.</w:t>
      </w:r>
    </w:p>
    <w:p>
      <w:pPr>
        <w:spacing w:after="0" w:line="357" w:lineRule="exact"/>
        <w:rPr>
          <w:rFonts w:ascii="Times New Roman" w:cs="Times New Roman" w:eastAsia="Times New Roman" w:hAnsi="Times New Roman"/>
          <w:sz w:val="18"/>
          <w:szCs w:val="18"/>
          <w:b w:val="1"/>
          <w:bCs w:val="1"/>
          <w:color w:val="auto"/>
        </w:rPr>
      </w:pPr>
    </w:p>
    <w:p>
      <w:pPr>
        <w:jc w:val="both"/>
        <w:ind w:left="454" w:hanging="454"/>
        <w:spacing w:after="0" w:line="259" w:lineRule="auto"/>
        <w:tabs>
          <w:tab w:leader="none" w:pos="45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failure of either party to insist in any one or more instances upon strict performance of any of the provisions of this Agreement 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take advantage of any of its rights shall not operate as a continuing waiver of such rights. No right or obligation under this Agreement will be considered to have been waived by a Party unless such waiver is in writing and is signed by an officer of the waiving Party and delivered to the other Party. No consent to or waiver of a breach by either Party will constitute a consent to, waiver of, or excuse for any other, different, or subsequent breach by such Party.</w:t>
      </w:r>
    </w:p>
    <w:p>
      <w:pPr>
        <w:spacing w:after="0" w:line="341" w:lineRule="exact"/>
        <w:rPr>
          <w:rFonts w:ascii="Times New Roman" w:cs="Times New Roman" w:eastAsia="Times New Roman" w:hAnsi="Times New Roman"/>
          <w:sz w:val="18"/>
          <w:szCs w:val="18"/>
          <w:b w:val="1"/>
          <w:bCs w:val="1"/>
          <w:color w:val="auto"/>
        </w:rPr>
      </w:pPr>
    </w:p>
    <w:p>
      <w:pPr>
        <w:jc w:val="both"/>
        <w:ind w:left="454" w:hanging="454"/>
        <w:spacing w:after="0" w:line="262" w:lineRule="auto"/>
        <w:tabs>
          <w:tab w:leader="none" w:pos="45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and all claims or causes of action arising out of or related to this Agreement shall be governed in all respects,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as to validity, interpretation and effect, by the laws of the State of Illinois and the United States of America, without giving effect to its principles or rules of conflict of laws. The United Nations Convention on Contracts for the International Sale of Goods will not govern nor otherwise be applicable to this Agreement.</w:t>
      </w:r>
    </w:p>
    <w:p>
      <w:pPr>
        <w:spacing w:after="0" w:line="351" w:lineRule="exact"/>
        <w:rPr>
          <w:rFonts w:ascii="Times New Roman" w:cs="Times New Roman" w:eastAsia="Times New Roman" w:hAnsi="Times New Roman"/>
          <w:sz w:val="18"/>
          <w:szCs w:val="18"/>
          <w:b w:val="1"/>
          <w:bCs w:val="1"/>
          <w:color w:val="auto"/>
        </w:rPr>
      </w:pPr>
    </w:p>
    <w:p>
      <w:pPr>
        <w:jc w:val="both"/>
        <w:ind w:left="454" w:hanging="454"/>
        <w:spacing w:after="0" w:line="268" w:lineRule="auto"/>
        <w:tabs>
          <w:tab w:leader="none" w:pos="45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any term of provision of this Agreement, or the application thereof shall be found invalid, void or unenforceable by any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governmental organization having jurisdiction over the subject matter, the remaining provisions, and any application thereof, shall nevertheless continue in full force and effect.</w:t>
      </w:r>
    </w:p>
    <w:p>
      <w:pPr>
        <w:spacing w:after="0" w:line="346" w:lineRule="exact"/>
        <w:rPr>
          <w:rFonts w:ascii="Times New Roman" w:cs="Times New Roman" w:eastAsia="Times New Roman" w:hAnsi="Times New Roman"/>
          <w:sz w:val="18"/>
          <w:szCs w:val="18"/>
          <w:b w:val="1"/>
          <w:bCs w:val="1"/>
          <w:color w:val="auto"/>
        </w:rPr>
      </w:pPr>
    </w:p>
    <w:p>
      <w:pPr>
        <w:jc w:val="both"/>
        <w:ind w:left="454" w:hanging="454"/>
        <w:spacing w:after="0" w:line="253" w:lineRule="auto"/>
        <w:tabs>
          <w:tab w:leader="none" w:pos="45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Assignment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its rights and obligations, is not assignable nor otherwise transferable by either Party, in whole or in part, except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written consent of the other Party, which consent will not be unreasonably withheld, conditioned or delayed. Notwithstanding the foregoing, either Party may assign this Agreement in its entirety to any of its Affiliates or to a successor-in-interest in connection with any merger, consolidation, sale of assets or equity interests or other forms of strategic transaction written notice to, but without the prior written of, the other Party provided that: (i) the assignee assumes all rights, obligations and liabilities of the assignor under this Agreement; and (ii) the assignee is not a competitor of the other Party. An assignment of this Agreement, in whole or in part, will not release the assigning Party of its obligations and liabilities under this Agreement, whether arising before or after the effective date of the assignment, unless the other Party approves the release in a written notice to the assigning Party. The assigning Party will provide the other Party with written notice of such assignment prior to or promptly following the effective date of such assignment. A change of majority ownership of a Party will be deemed an assignment of this Agreement unless the assignment is the result of Reynolds Group Holdings Limited ceasing to control the majority ownership of a Party. The restrictions in this Section will not preclude a Party for authorizing one or more of its Affiliates to manufacture, store, purchase, sell or deliver a product, or exercise any other right or perform any other obligation, on behalf of the Party under this Agreement. Subject to the foregoing, all of the terms, conditions and provisions of this Agreement shall be binding upon and shall inure to the benefit of the successors and assignees of the respective Parties.</w:t>
      </w:r>
    </w:p>
    <w:p>
      <w:pPr>
        <w:spacing w:after="0" w:line="349" w:lineRule="exact"/>
        <w:rPr>
          <w:rFonts w:ascii="Times New Roman" w:cs="Times New Roman" w:eastAsia="Times New Roman" w:hAnsi="Times New Roman"/>
          <w:sz w:val="18"/>
          <w:szCs w:val="18"/>
          <w:b w:val="1"/>
          <w:bCs w:val="1"/>
          <w:color w:val="auto"/>
        </w:rPr>
      </w:pPr>
    </w:p>
    <w:p>
      <w:pPr>
        <w:ind w:left="454" w:hanging="454"/>
        <w:spacing w:after="0"/>
        <w:tabs>
          <w:tab w:leader="none" w:pos="45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Third Party Beneficiaries</w:t>
      </w:r>
      <w:r>
        <w:rPr>
          <w:rFonts w:ascii="Times New Roman" w:cs="Times New Roman" w:eastAsia="Times New Roman" w:hAnsi="Times New Roman"/>
          <w:sz w:val="18"/>
          <w:szCs w:val="18"/>
          <w:color w:val="auto"/>
        </w:rPr>
        <w:t>. There are no intended third-party beneficiaries of this Agreement.</w:t>
      </w:r>
    </w:p>
    <w:p>
      <w:pPr>
        <w:sectPr>
          <w:pgSz w:w="11900" w:h="16838" w:orient="portrait"/>
          <w:cols w:equalWidth="0" w:num="1">
            <w:col w:w="11194"/>
          </w:cols>
          <w:pgMar w:left="346" w:top="1440" w:right="359" w:bottom="1440" w:gutter="0" w:footer="0" w:header="0"/>
        </w:sectPr>
      </w:pPr>
    </w:p>
    <w:bookmarkStart w:id="59" w:name="page60"/>
    <w:bookmarkEnd w:id="59"/>
    <w:p>
      <w:pPr>
        <w:spacing w:after="0" w:line="28" w:lineRule="exact"/>
        <w:rPr>
          <w:sz w:val="20"/>
          <w:szCs w:val="20"/>
          <w:color w:val="auto"/>
        </w:rPr>
      </w:pPr>
    </w:p>
    <w:p>
      <w:pPr>
        <w:jc w:val="both"/>
        <w:ind w:left="454" w:hanging="454"/>
        <w:spacing w:after="0" w:line="259" w:lineRule="auto"/>
        <w:tabs>
          <w:tab w:leader="none" w:pos="45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Good Faith and Cooperation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where this Agreement states that a Party may expressly exercise a right or render a decision in its “sole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absolute discretion”, a Party will exercise its rights under this Agreement in its good faith business judgment. A Party will perform its obligations under this Agreement in a commercially reasonable manner consistent with industry practices and in compliance with Applicable Laws. A Party will promptly take such actions, provide such information and sign such documents as the other Party may reasonably request to obtain the benefits and exercise the rights granted, and to perform the obligations imposed, under this Agreement.</w:t>
      </w:r>
    </w:p>
    <w:p>
      <w:pPr>
        <w:spacing w:after="0" w:line="354" w:lineRule="exact"/>
        <w:rPr>
          <w:rFonts w:ascii="Times New Roman" w:cs="Times New Roman" w:eastAsia="Times New Roman" w:hAnsi="Times New Roman"/>
          <w:sz w:val="18"/>
          <w:szCs w:val="18"/>
          <w:b w:val="1"/>
          <w:bCs w:val="1"/>
          <w:color w:val="auto"/>
        </w:rPr>
      </w:pPr>
    </w:p>
    <w:p>
      <w:pPr>
        <w:jc w:val="both"/>
        <w:ind w:left="454" w:hanging="454"/>
        <w:spacing w:after="0" w:line="259" w:lineRule="auto"/>
        <w:tabs>
          <w:tab w:leader="none" w:pos="454"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Any notice required or permitted to be provided by a Party under this Agreement will be made to the notice address of the receiving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forth below or to an alternate notice address later designated by the receiving Party in accordance with this Subsection. Notices will be effective upon actual receipt by the receiving Party. An emailed notice will be effective against a receiving Party only if the Receiving Party acknowledge receipt of the emailed notice in a return notice to the notifying Party. A receiving Party agrees to acknowledge receipt of an email notice in good faith promptly following receipt. A Party may change its address for notice by giving notice to the other party Pursuant to this Subsection.</w:t>
      </w:r>
    </w:p>
    <w:p>
      <w:pPr>
        <w:spacing w:after="0" w:line="183"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Address for notice to Pactiv:</w:t>
      </w:r>
    </w:p>
    <w:p>
      <w:pPr>
        <w:spacing w:after="0" w:line="117"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Pactiv LLC</w:t>
      </w:r>
    </w:p>
    <w:p>
      <w:pPr>
        <w:spacing w:after="0" w:line="27"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1900 West Field Court</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Lake Forest, IL 60045</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Attn: John McGrath, Chief Executive Officer</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jmcgrath@pactiv.com</w:t>
      </w:r>
    </w:p>
    <w:p>
      <w:pPr>
        <w:spacing w:after="0" w:line="9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For any notice concerning an Operations Change, breach or termination, with a copy to:</w:t>
      </w:r>
    </w:p>
    <w:p>
      <w:pPr>
        <w:spacing w:after="0" w:line="117"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Pactiv LLC</w:t>
      </w:r>
    </w:p>
    <w:p>
      <w:pPr>
        <w:spacing w:after="0" w:line="27"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1900 West Field Court</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Lake Forest, IL 60045</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Attn: Steven R. Karl, General Counsel</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skarl@pactiv.com</w:t>
      </w:r>
    </w:p>
    <w:p>
      <w:pPr>
        <w:spacing w:after="0" w:line="9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Address for notices to RCP:</w:t>
      </w:r>
    </w:p>
    <w:p>
      <w:pPr>
        <w:spacing w:after="0" w:line="117"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Reynolds Consumer Products LLC</w:t>
      </w:r>
    </w:p>
    <w:p>
      <w:pPr>
        <w:spacing w:after="0" w:line="27"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1900 W. Field Court</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Lake Forest, IL 60045</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Attention: Lance Mitchell, Chief Executive Officer</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Lance.Mitchell@ReynoldsBrands.com</w:t>
      </w:r>
    </w:p>
    <w:p>
      <w:pPr>
        <w:spacing w:after="0" w:line="207"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For any notice concerning a breach or termination, with a copy to:</w:t>
      </w:r>
    </w:p>
    <w:p>
      <w:pPr>
        <w:spacing w:after="0" w:line="117"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Reynolds Consumer Products LLC</w:t>
      </w:r>
    </w:p>
    <w:p>
      <w:pPr>
        <w:spacing w:after="0" w:line="27"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1900 W. Field Court</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Lake Forest, IL 60045</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Attention: David Watson, General Counsel</w:t>
      </w:r>
    </w:p>
    <w:p>
      <w:pPr>
        <w:spacing w:after="0" w:line="9" w:lineRule="exact"/>
        <w:rPr>
          <w:sz w:val="20"/>
          <w:szCs w:val="20"/>
          <w:color w:val="auto"/>
        </w:rPr>
      </w:pPr>
    </w:p>
    <w:p>
      <w:pPr>
        <w:ind w:left="97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David.Watson@ReynoldsBrands.com</w:t>
      </w:r>
    </w:p>
    <w:p>
      <w:pPr>
        <w:spacing w:after="0" w:line="257" w:lineRule="exact"/>
        <w:rPr>
          <w:sz w:val="20"/>
          <w:szCs w:val="20"/>
          <w:color w:val="auto"/>
        </w:rPr>
      </w:pPr>
    </w:p>
    <w:p>
      <w:pPr>
        <w:jc w:val="both"/>
        <w:ind w:left="454" w:hanging="454"/>
        <w:spacing w:after="0" w:line="259" w:lineRule="auto"/>
        <w:tabs>
          <w:tab w:leader="none" w:pos="45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Independent Contractors</w:t>
      </w:r>
      <w:r>
        <w:rPr>
          <w:rFonts w:ascii="Times New Roman" w:cs="Times New Roman" w:eastAsia="Times New Roman" w:hAnsi="Times New Roman"/>
          <w:sz w:val="18"/>
          <w:szCs w:val="18"/>
          <w:color w:val="auto"/>
        </w:rPr>
        <w:t>. The relationship of the Parties established by this Agreement is that of independent contractors, and nothing contained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shall be construed to: (a) give either Party the power to direct and control the day-to-day activities of the other Party, (b) establish the Parties as partners, joint ventures, co-owners or otherwise as participants in a joint or common undertaking, or (c) allow a Party to bind the other Party in any manner or otherwise create or assume any obligation on behalf of the other Party for any purpose whatsoever. A Party will not be considered an agent of the other Party.</w:t>
      </w:r>
    </w:p>
    <w:p>
      <w:pPr>
        <w:sectPr>
          <w:pgSz w:w="11900" w:h="16838" w:orient="portrait"/>
          <w:cols w:equalWidth="0" w:num="1">
            <w:col w:w="11194"/>
          </w:cols>
          <w:pgMar w:left="346" w:top="1440" w:right="359" w:bottom="1440" w:gutter="0" w:footer="0" w:header="0"/>
        </w:sectPr>
      </w:pPr>
    </w:p>
    <w:bookmarkStart w:id="60" w:name="page61"/>
    <w:bookmarkEnd w:id="60"/>
    <w:p>
      <w:pPr>
        <w:spacing w:after="0" w:line="28" w:lineRule="exact"/>
        <w:rPr>
          <w:sz w:val="20"/>
          <w:szCs w:val="20"/>
          <w:color w:val="auto"/>
        </w:rPr>
      </w:pPr>
    </w:p>
    <w:p>
      <w:pPr>
        <w:jc w:val="both"/>
        <w:ind w:left="460" w:hanging="454"/>
        <w:spacing w:after="0" w:line="268" w:lineRule="auto"/>
        <w:tabs>
          <w:tab w:leader="none" w:pos="4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Non-Exclusive Supply Relationship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is not evidence of, nor does it create, any form of exclusive supply relationship between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Parties concerning the receipt, storage or delivery of Reynolds Products at any Warehouse. Nothing in the Agreement obligates Reynolds to store any Reynolds Products at a Warehouse during the Term.</w:t>
      </w:r>
    </w:p>
    <w:p>
      <w:pPr>
        <w:spacing w:after="0" w:line="346" w:lineRule="exact"/>
        <w:rPr>
          <w:rFonts w:ascii="Times New Roman" w:cs="Times New Roman" w:eastAsia="Times New Roman" w:hAnsi="Times New Roman"/>
          <w:sz w:val="18"/>
          <w:szCs w:val="18"/>
          <w:b w:val="1"/>
          <w:bCs w:val="1"/>
          <w:color w:val="auto"/>
        </w:rPr>
      </w:pPr>
    </w:p>
    <w:p>
      <w:pPr>
        <w:ind w:left="460" w:hanging="454"/>
        <w:spacing w:after="0"/>
        <w:tabs>
          <w:tab w:leader="none" w:pos="4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Construction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the context otherwise requires, the following rules of construction will be applied to in the interpretation of the agreement:</w:t>
      </w:r>
    </w:p>
    <w:p>
      <w:pPr>
        <w:spacing w:after="0" w:line="31" w:lineRule="exact"/>
        <w:rPr>
          <w:rFonts w:ascii="Times New Roman" w:cs="Times New Roman" w:eastAsia="Times New Roman" w:hAnsi="Times New Roman"/>
          <w:sz w:val="18"/>
          <w:szCs w:val="18"/>
          <w:b w:val="1"/>
          <w:bCs w:val="1"/>
          <w:color w:val="auto"/>
        </w:rPr>
      </w:pPr>
    </w:p>
    <w:p>
      <w:pPr>
        <w:ind w:left="700" w:hanging="249"/>
        <w:spacing w:after="0"/>
        <w:tabs>
          <w:tab w:leader="none" w:pos="70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headings are for convenience only and do not affect interpretation; (2) singular includes the plural and vice-versa; (3) gender includes all genders;</w:t>
      </w:r>
    </w:p>
    <w:p>
      <w:pPr>
        <w:spacing w:after="0" w:line="20" w:lineRule="exact"/>
        <w:rPr>
          <w:rFonts w:ascii="Times New Roman" w:cs="Times New Roman" w:eastAsia="Times New Roman" w:hAnsi="Times New Roman"/>
          <w:sz w:val="17"/>
          <w:szCs w:val="17"/>
          <w:color w:val="auto"/>
        </w:rPr>
      </w:pPr>
    </w:p>
    <w:p>
      <w:pPr>
        <w:jc w:val="both"/>
        <w:ind w:left="460" w:hanging="9"/>
        <w:spacing w:after="0" w:line="251" w:lineRule="auto"/>
        <w:tabs>
          <w:tab w:leader="none" w:pos="72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word or phrase is defined, its other grammatical forms have a corresponding meaning; (5) the meaning of general words is not limited by specific examples introduced by “includes”, “including” or “for example” or similar expressions; (6) the word “person” includes an individual, corporation, company, trust, partnership, limited partnership, unincorporated body, joint venture, consortium or other legal entity; (7) a reference in any Purchase Schedule or Exhibit to an section, subsection or clause is a reference to a section, subsection or clause in that Purchase Schedule or Exhibit unless otherwise identified; (8) reference to an Exhibit is a reference to an Exhibit described, appended or otherwise identified in this Agreement; (9) a reference to conduct includes, without limitation, an omission, statement or undertaking, whether or not in writing; (10) a reference to a third-party is a reference to a person who is not a Party to this agreement; (11) where a period of time is specified for the performance of any act and dates from a given day or the day of an act or event, the period shall be exclusive of that date; and (12) the Parties agree that this Agreement is the product of negotiation between sophisticated parties and individuals, all of whom were or have been given the opportunity to be represented by counsel, and each of whom had an opportunity to participate in, and did participate in, negotiation of the terms hereof; accordingly, the Parties acknowledge and agree that the Agreement is not a contract of adhesion and that ambiguities in the Agreement, if any, shall not be construed strictly or in favor of or against either Party, but rather shall be given a fair and reasonable construction.</w:t>
      </w:r>
    </w:p>
    <w:p>
      <w:pPr>
        <w:spacing w:after="0" w:line="350" w:lineRule="exact"/>
        <w:rPr>
          <w:rFonts w:ascii="Times New Roman" w:cs="Times New Roman" w:eastAsia="Times New Roman" w:hAnsi="Times New Roman"/>
          <w:sz w:val="18"/>
          <w:szCs w:val="18"/>
          <w:color w:val="auto"/>
        </w:rPr>
      </w:pPr>
    </w:p>
    <w:p>
      <w:pPr>
        <w:jc w:val="both"/>
        <w:ind w:left="460" w:hanging="454"/>
        <w:spacing w:after="0" w:line="268" w:lineRule="auto"/>
        <w:tabs>
          <w:tab w:leader="none" w:pos="4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Execution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may be executed in any number of counterparts, each of which shall be deemed an original as against the Party whose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signature appears thereon, but all of which taken together shall constitute but one and the same instrument. Acceptance of this Agreement may be made by e-mail, mail or other commercially reasonable means showing the signatures of the chief executive officers of the Parties.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 PAGE AND EXHIBITS FOLLOW</w:t>
      </w:r>
    </w:p>
    <w:p>
      <w:pPr>
        <w:sectPr>
          <w:pgSz w:w="11900" w:h="16838" w:orient="portrait"/>
          <w:cols w:equalWidth="0" w:num="1">
            <w:col w:w="11200"/>
          </w:cols>
          <w:pgMar w:left="340" w:top="144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Warehouse and Freight Services Supply Agreement effective as of the Effective Date.</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PACTIV LLC</w:t>
      </w:r>
    </w:p>
    <w:p>
      <w:pPr>
        <w:spacing w:after="0" w:line="310"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John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25374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John McGrath</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REYNOLDS CONSUMER PRODUCTS LLC</w:t>
      </w:r>
    </w:p>
    <w:p>
      <w:pPr>
        <w:spacing w:after="0" w:line="310"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17145</wp:posOffset>
            </wp:positionV>
            <wp:extent cx="27514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Lance Mitchell</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6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List of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1-A – Warehouses, Storage Capacities, Warehouse Service Expiration Dates, Warehousing Fees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1-B – Warehousing Services Terms and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Freight Services Terms and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 – Insurance Requirements</w:t>
      </w:r>
    </w:p>
    <w:p>
      <w:pPr>
        <w:sectPr>
          <w:pgSz w:w="11900" w:h="16838" w:orient="portrait"/>
          <w:cols w:equalWidth="0" w:num="1">
            <w:col w:w="10480"/>
          </w:cols>
          <w:pgMar w:left="320" w:top="1413" w:right="1099" w:bottom="1440" w:gutter="0" w:footer="0" w:header="0"/>
        </w:sectPr>
      </w:pPr>
    </w:p>
    <w:bookmarkStart w:id="62" w:name="page63"/>
    <w:bookmarkEnd w:id="62"/>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1-A</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WAREHOUSES</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820" w:type="dxa"/>
            <w:vAlign w:val="bottom"/>
            <w:tcBorders>
              <w:top w:val="single" w:sz="8" w:color="auto"/>
              <w:left w:val="single" w:sz="8" w:color="auto"/>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Warehouse Location</w:t>
            </w:r>
          </w:p>
        </w:tc>
        <w:tc>
          <w:tcPr>
            <w:tcW w:w="102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Hours of</w:t>
            </w:r>
          </w:p>
        </w:tc>
        <w:tc>
          <w:tcPr>
            <w:tcW w:w="114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Owned or</w:t>
            </w:r>
          </w:p>
        </w:tc>
        <w:tc>
          <w:tcPr>
            <w:tcW w:w="124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34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Base Storage</w:t>
            </w:r>
          </w:p>
        </w:tc>
        <w:tc>
          <w:tcPr>
            <w:tcW w:w="124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Base Storage Fee</w:t>
            </w:r>
          </w:p>
        </w:tc>
        <w:tc>
          <w:tcPr>
            <w:tcW w:w="108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Additional Storage</w:t>
            </w:r>
          </w:p>
        </w:tc>
      </w:tr>
      <w:tr>
        <w:trPr>
          <w:trHeight w:val="146"/>
        </w:trPr>
        <w:tc>
          <w:tcPr>
            <w:tcW w:w="182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Operation</w:t>
            </w:r>
          </w:p>
        </w:tc>
        <w:tc>
          <w:tcPr>
            <w:tcW w:w="114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Leased by Pactiv</w:t>
            </w:r>
          </w:p>
        </w:tc>
        <w:tc>
          <w:tcPr>
            <w:tcW w:w="124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134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Capacity in Cubic</w:t>
            </w:r>
          </w:p>
        </w:tc>
        <w:tc>
          <w:tcPr>
            <w:tcW w:w="124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per Month in USD</w:t>
            </w:r>
          </w:p>
        </w:tc>
        <w:tc>
          <w:tcPr>
            <w:tcW w:w="108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Storage</w:t>
            </w:r>
          </w:p>
        </w:tc>
        <w:tc>
          <w:tcPr>
            <w:tcW w:w="110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Storage Fee per</w:t>
            </w:r>
          </w:p>
        </w:tc>
        <w:tc>
          <w:tcPr>
            <w:tcW w:w="128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Fee per Cubic Foot</w:t>
            </w:r>
          </w:p>
        </w:tc>
      </w:tr>
      <w:tr>
        <w:trPr>
          <w:trHeight w:val="137"/>
        </w:trPr>
        <w:tc>
          <w:tcPr>
            <w:tcW w:w="182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Feet</w:t>
            </w:r>
          </w:p>
        </w:tc>
        <w:tc>
          <w:tcPr>
            <w:tcW w:w="12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Capacity in</w:t>
            </w:r>
          </w:p>
        </w:tc>
        <w:tc>
          <w:tcPr>
            <w:tcW w:w="110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Cubic Foot</w:t>
            </w:r>
          </w:p>
        </w:tc>
        <w:tc>
          <w:tcPr>
            <w:tcW w:w="128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prior to SAP</w:t>
            </w:r>
          </w:p>
        </w:tc>
      </w:tr>
      <w:tr>
        <w:trPr>
          <w:trHeight w:val="148"/>
        </w:trPr>
        <w:tc>
          <w:tcPr>
            <w:tcW w:w="182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Cubic Feet</w:t>
            </w:r>
          </w:p>
        </w:tc>
        <w:tc>
          <w:tcPr>
            <w:tcW w:w="11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after SAP</w:t>
            </w:r>
          </w:p>
        </w:tc>
        <w:tc>
          <w:tcPr>
            <w:tcW w:w="1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r>
      <w:tr>
        <w:trPr>
          <w:trHeight w:val="19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Separation</w:t>
            </w:r>
          </w:p>
        </w:tc>
        <w:tc>
          <w:tcPr>
            <w:tcW w:w="1280" w:type="dxa"/>
            <w:vAlign w:val="bottom"/>
            <w:tcBorders>
              <w:bottom w:val="single" w:sz="8" w:color="auto"/>
              <w:right w:val="single" w:sz="8" w:color="auto"/>
            </w:tcBorders>
          </w:tcPr>
          <w:p>
            <w:pPr>
              <w:spacing w:after="0"/>
              <w:rPr>
                <w:sz w:val="16"/>
                <w:szCs w:val="16"/>
                <w:color w:val="auto"/>
              </w:rPr>
            </w:pPr>
          </w:p>
        </w:tc>
      </w:tr>
      <w:tr>
        <w:trPr>
          <w:trHeight w:val="194"/>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Bolton, ON*</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Canandaigua, NY</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Covington, GA</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Frankfort, IL</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San Bernardino, CA</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Temple, TX</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Woodridge, IL</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Bakersfield, CA</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bl>
    <w:p>
      <w:pPr>
        <w:spacing w:after="0" w:line="31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*This Warehouse is owned and operated by Pactiv Canada, Inc., a wholly owned subsidiary of Pactiv. As such, Pactiv itself will not be performing Services at this Warehouse. Pactiv will arrange for Pactiv Canada, Inc. to perform the Services at this Warehouse in compliance with this Agreement. Pactiv waives any right to consent to Reynolds exercising its right to designate an Early Service Expiration Date for this Warehouse under Subsection 1.3 of this Agreement (i.e., Reynolds may end Warehouse Service at this Warehouse at any time on at least one hundred eighty (180) days advance written notice to Pactiv and without the consent of Pactiv).</w:t>
      </w:r>
    </w:p>
    <w:p>
      <w:pPr>
        <w:spacing w:after="0" w:line="210" w:lineRule="exact"/>
        <w:rPr>
          <w:sz w:val="20"/>
          <w:szCs w:val="20"/>
          <w:color w:val="auto"/>
        </w:rPr>
      </w:pPr>
    </w:p>
    <w:p>
      <w:pPr>
        <w:jc w:val="both"/>
        <w:ind w:right="20" w:firstLine="8"/>
        <w:spacing w:after="0" w:line="261" w:lineRule="auto"/>
        <w:tabs>
          <w:tab w:leader="none" w:pos="23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Pactiv's lease for this Warehouse ends earlier than the listed Service Expiration Date for any reason, The Service Expiration Date for this Warehouse will be automatically amended to be the earlier termination date of the lease. Notwithstanding the preceding sentence, if Pactiv's lease for this Warehouse ended earlier than the listed Service Expiration Date because of a breach on the part of Pactiv, Pactiv will remain liable to Reynolds for any direct damages incurred as a result of Services ending at the Warehouse prior to the listed Service Expiration Date.</w:t>
      </w:r>
    </w:p>
    <w:p>
      <w:pPr>
        <w:sectPr>
          <w:pgSz w:w="11900" w:h="16838" w:orient="portrait"/>
          <w:cols w:equalWidth="0" w:num="1">
            <w:col w:w="11260"/>
          </w:cols>
          <w:pgMar w:left="320" w:top="1413"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WAREHOUSE SERVICES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AND SPECIFIC TERMS AND CONDITIONS</w:t>
      </w:r>
    </w:p>
    <w:p>
      <w:pPr>
        <w:spacing w:after="0" w:line="230" w:lineRule="exact"/>
        <w:rPr>
          <w:sz w:val="20"/>
          <w:szCs w:val="20"/>
          <w:color w:val="auto"/>
        </w:rPr>
      </w:pPr>
    </w:p>
    <w:p>
      <w:pPr>
        <w:jc w:val="both"/>
        <w:ind w:firstLine="8"/>
        <w:spacing w:after="0" w:line="259" w:lineRule="auto"/>
        <w:tabs>
          <w:tab w:leader="none" w:pos="35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Storage Capacity</w:t>
      </w:r>
      <w:r>
        <w:rPr>
          <w:rFonts w:ascii="Times New Roman" w:cs="Times New Roman" w:eastAsia="Times New Roman" w:hAnsi="Times New Roman"/>
          <w:sz w:val="18"/>
          <w:szCs w:val="18"/>
          <w:color w:val="auto"/>
        </w:rPr>
        <w:t>. Pactiv will make available the Base Storage Capacity of each Warehouse for storage of Reynolds Products during its Warehouse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 Period as listed in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Pactiv agrees to make available up to the Additional Storage Capacity of a Warehouse listed in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for storage of Reynolds Products during its Warehouse Service Period, but only (a) if the Base Storage Capacity at the Warehouse is being fully utilized, and</w:t>
      </w:r>
    </w:p>
    <w:p>
      <w:pPr>
        <w:jc w:val="both"/>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Pactiv has determined based on Reynolds' customer order forecast that Reynolds will require Additional Storage Capacity in a Warehouse, and Reynolds uses such Additional Storage Capacity. If Reynolds seeks Additional Storage Capacity with less than thirty days' notice or seeks storage capacity in excess of the Base Storage Capacity and the Additional Storage Capacity, Pactiv will use commercially reasonable efforts to accommodate Reynolds needs in the Warehouse, but if there are costs above the standard warehousing costs to secure such additional space, Pactiv will notify Reynolds of such costs and if Reynolds agrees to use such additional storage in the Warehouse, Reynolds will bear such additional costs and Pactiv will identify such additional costs on its monthly invoice. During any period that the total storage capacity of a Warehouse is reduced or unavailable because of an event of Force Majeure Pactiv may reduce the Base Storage Capacity and Additional Storage Capacity of the Warehouse available for storage of Reynolds Products under this Agreement by a proportional amount without being considered in breach of this Agreement. For example, if ten percent (10%) of the total storage capacity of a Warehouse is unavailable because of an event of Force Majeure, Pactiv may reduce the Base Storage Capacity and Additional Storage Capacity at the Warehouse by ten percent (10%). In such event Reynolds' payment to Pactiv for the impacted time shall be reduced by the same percentage.</w:t>
      </w:r>
    </w:p>
    <w:p>
      <w:pPr>
        <w:spacing w:after="0" w:line="215"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69"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Forecasting and Planning for Storage of Reynolds Products in Warehouses</w:t>
      </w:r>
      <w:r>
        <w:rPr>
          <w:rFonts w:ascii="Times New Roman" w:cs="Times New Roman" w:eastAsia="Times New Roman" w:hAnsi="Times New Roman"/>
          <w:sz w:val="18"/>
          <w:szCs w:val="18"/>
          <w:color w:val="auto"/>
        </w:rPr>
        <w:t>. On or about the first day of each week of the Term, Reynolds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Pactiv with a rolling twelve (12) week forecast in the form of the following files electronically: 1) Monthly customer shipment forecast by Item/Location of outbound customer shipments 2) Weekly inbound shipment forecast by Item/Shipping Location/Destination Location (the later will begin to be available at the time that Pactiv's and Reynolds' SAP platforms become fully separated (“</w:t>
      </w:r>
      <w:r>
        <w:rPr>
          <w:rFonts w:ascii="Times New Roman" w:cs="Times New Roman" w:eastAsia="Times New Roman" w:hAnsi="Times New Roman"/>
          <w:sz w:val="18"/>
          <w:szCs w:val="18"/>
          <w:u w:val="single" w:color="auto"/>
          <w:color w:val="auto"/>
        </w:rPr>
        <w:t>SAP Separation</w:t>
      </w:r>
      <w:r>
        <w:rPr>
          <w:rFonts w:ascii="Times New Roman" w:cs="Times New Roman" w:eastAsia="Times New Roman" w:hAnsi="Times New Roman"/>
          <w:sz w:val="18"/>
          <w:szCs w:val="18"/>
          <w:color w:val="auto"/>
        </w:rPr>
        <w:t xml:space="preserve">”). If a forecast suggests capacity exceeds the Additional Storage Capacity level and/or the maximum number of deliveries per business day (i.e. days on which the applicable Warehouse is operating according to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for any Warehouse, Pactiv will promptly notify Reynolds of the extent to which Pactiv is unable to accommodate the forecasted inbound delivery, outbound delivery or required storage quantity of Reynolds Products. Further details on forecasting and planning for storage of Reynolds Products in the Warehouses may be provided in the SOPs.</w:t>
      </w:r>
    </w:p>
    <w:p>
      <w:pPr>
        <w:spacing w:after="0" w:line="211"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Inbound Orders Process.</w:t>
      </w:r>
    </w:p>
    <w:p>
      <w:pPr>
        <w:spacing w:after="0" w:line="256" w:lineRule="exact"/>
        <w:rPr>
          <w:sz w:val="20"/>
          <w:szCs w:val="20"/>
          <w:color w:val="auto"/>
        </w:rPr>
      </w:pPr>
    </w:p>
    <w:p>
      <w:pPr>
        <w:ind w:firstLine="8"/>
        <w:spacing w:after="0" w:line="282" w:lineRule="auto"/>
        <w:tabs>
          <w:tab w:leader="none" w:pos="38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will submit an electronic purchase requisition to Pactiv for inbound delivery of Reynolds Products to a Pactiv Warehouse. The purchase requisition will be provided at least one (1) business day prior to shipment from the Reynolds location by 12:00 Noon CST.</w:t>
      </w:r>
    </w:p>
    <w:p>
      <w:pPr>
        <w:spacing w:after="0" w:line="188"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acknowledge the requisition for inbound delivery that day and convert to a purchase order.</w:t>
      </w:r>
    </w:p>
    <w:p>
      <w:pPr>
        <w:spacing w:after="0" w:line="252" w:lineRule="exact"/>
        <w:rPr>
          <w:rFonts w:ascii="Times New Roman" w:cs="Times New Roman" w:eastAsia="Times New Roman" w:hAnsi="Times New Roman"/>
          <w:sz w:val="18"/>
          <w:szCs w:val="18"/>
          <w:b w:val="1"/>
          <w:bCs w:val="1"/>
          <w:color w:val="auto"/>
        </w:rPr>
      </w:pPr>
    </w:p>
    <w:p>
      <w:pPr>
        <w:ind w:right="20" w:firstLine="8"/>
        <w:spacing w:after="0" w:line="282" w:lineRule="auto"/>
        <w:tabs>
          <w:tab w:leader="none" w:pos="33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accept the requisition unless the inbound order would cause the amount of Reynolds Products stored at the Warehouse to exceed the Base Storage Capacity and Additional Storage Capacity level.</w:t>
      </w:r>
    </w:p>
    <w:p>
      <w:pPr>
        <w:spacing w:after="0" w:line="188"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32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Reynolds Product bound for a Warehouse leaves its point of origin, Reynolds will perform a Post Goods Issue (“</w:t>
      </w:r>
      <w:r>
        <w:rPr>
          <w:rFonts w:ascii="Times New Roman" w:cs="Times New Roman" w:eastAsia="Times New Roman" w:hAnsi="Times New Roman"/>
          <w:sz w:val="18"/>
          <w:szCs w:val="18"/>
          <w:u w:val="single" w:color="auto"/>
          <w:color w:val="auto"/>
        </w:rPr>
        <w:t>PGI</w:t>
      </w:r>
      <w:r>
        <w:rPr>
          <w:rFonts w:ascii="Times New Roman" w:cs="Times New Roman" w:eastAsia="Times New Roman" w:hAnsi="Times New Roman"/>
          <w:sz w:val="18"/>
          <w:szCs w:val="18"/>
          <w:color w:val="auto"/>
        </w:rPr>
        <w:t>”) upon truck departure. The PGI will include transmittal of an Advance Shipment Notice (“</w:t>
      </w:r>
      <w:r>
        <w:rPr>
          <w:rFonts w:ascii="Times New Roman" w:cs="Times New Roman" w:eastAsia="Times New Roman" w:hAnsi="Times New Roman"/>
          <w:sz w:val="18"/>
          <w:szCs w:val="18"/>
          <w:u w:val="single" w:color="auto"/>
          <w:color w:val="auto"/>
        </w:rPr>
        <w:t>ASN</w:t>
      </w:r>
      <w:r>
        <w:rPr>
          <w:rFonts w:ascii="Times New Roman" w:cs="Times New Roman" w:eastAsia="Times New Roman" w:hAnsi="Times New Roman"/>
          <w:sz w:val="18"/>
          <w:szCs w:val="18"/>
          <w:color w:val="auto"/>
        </w:rPr>
        <w:t>”) to Pactiv at the license plate level.</w:t>
      </w:r>
    </w:p>
    <w:p>
      <w:pPr>
        <w:spacing w:after="0" w:line="188"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can cancel without penalty a proposed inbound shipment up to the point of the PGI and issuance of the ASN to the Warehouse.</w:t>
      </w:r>
    </w:p>
    <w:p>
      <w:pPr>
        <w:sectPr>
          <w:pgSz w:w="11900" w:h="16838" w:orient="portrait"/>
          <w:cols w:equalWidth="0" w:num="1">
            <w:col w:w="11240"/>
          </w:cols>
          <w:pgMar w:left="320" w:top="1413" w:right="339" w:bottom="1440" w:gutter="0" w:footer="0" w:header="0"/>
        </w:sectPr>
      </w:pPr>
    </w:p>
    <w:bookmarkStart w:id="64" w:name="page65"/>
    <w:bookmarkEnd w:id="64"/>
    <w:p>
      <w:pPr>
        <w:ind w:left="-8" w:right="20" w:firstLine="8"/>
        <w:spacing w:after="0" w:line="282" w:lineRule="auto"/>
        <w:tabs>
          <w:tab w:leader="none" w:pos="312"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shall have the right to add additional source locations (i.e. shipping sites) upon thirty (30) days prior notice to Pactiv and such sites will be accepted by Pactiv provided that there is not a Material Impact to the operations of the affected Warehouse(s).</w:t>
      </w:r>
    </w:p>
    <w:p>
      <w:pPr>
        <w:spacing w:after="0" w:line="188" w:lineRule="exact"/>
        <w:rPr>
          <w:rFonts w:ascii="Times New Roman" w:cs="Times New Roman" w:eastAsia="Times New Roman" w:hAnsi="Times New Roman"/>
          <w:sz w:val="18"/>
          <w:szCs w:val="18"/>
          <w:b w:val="1"/>
          <w:bCs w:val="1"/>
          <w:color w:val="auto"/>
        </w:rPr>
      </w:pPr>
    </w:p>
    <w:p>
      <w:pPr>
        <w:jc w:val="both"/>
        <w:ind w:left="-8" w:firstLine="8"/>
        <w:spacing w:after="0" w:line="266" w:lineRule="auto"/>
        <w:tabs>
          <w:tab w:leader="none" w:pos="3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receive, store, handle and service existing and new Reynolds commercialization/ products provided that any new business is commercially reasonable and within the volume and shipment limitations of this Agreement and, provided further, that Reynolds has notified Pactiv of any Operations Change in accordance with the Agreement and there is no Material Impact or the Parties have met and addressed the same.</w:t>
      </w:r>
    </w:p>
    <w:p>
      <w:pPr>
        <w:spacing w:after="0" w:line="199" w:lineRule="exact"/>
        <w:rPr>
          <w:sz w:val="20"/>
          <w:szCs w:val="20"/>
          <w:color w:val="auto"/>
        </w:rPr>
      </w:pPr>
    </w:p>
    <w:p>
      <w:pPr>
        <w:jc w:val="both"/>
        <w:ind w:left="-8" w:firstLine="8"/>
        <w:spacing w:after="0" w:line="251" w:lineRule="auto"/>
        <w:tabs>
          <w:tab w:leader="none" w:pos="334"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Inbound Delivery of Reynolds Products</w:t>
      </w:r>
      <w:r>
        <w:rPr>
          <w:rFonts w:ascii="Times New Roman" w:cs="Times New Roman" w:eastAsia="Times New Roman" w:hAnsi="Times New Roman"/>
          <w:sz w:val="18"/>
          <w:szCs w:val="18"/>
          <w:color w:val="auto"/>
        </w:rPr>
        <w:t>. For an inbound delivery of Reynolds Products, Reynolds or its common carrier will deliver the Reynolds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either by “dropping” off a loaded truck trailer in the yard of the Warehouse or by “live” unloading of a truck trailer at the loading dock of the Warehouse, on the scheduled inbound delivery date within the delivery window approved by Pactiv in its electronic purchase order accepting Reynolds inbound shipment requisition. The significant majority of inbound deliveries are by dropping a loaded truck trailer in the yard of the Warehouse, and Reynolds will exercise good faith and commercially reasonable efforts to minimize the need for "live" unloading of a truck trailer at the loading dock of the Warehouse for inbound deliveries. Reynolds or its common carrier will be required to comply with the security, environmental, health, safety and other rules adopted and communicated to Reynolds by Pactiv for common carriers delivering inbound goods to the Warehouse. Pactiv will issue a confirmation of shipment receipt electronically to Reynolds within 1 hour of truck receipt at the Warehouse (referred to as the “</w:t>
      </w:r>
      <w:r>
        <w:rPr>
          <w:rFonts w:ascii="Times New Roman" w:cs="Times New Roman" w:eastAsia="Times New Roman" w:hAnsi="Times New Roman"/>
          <w:sz w:val="18"/>
          <w:szCs w:val="18"/>
          <w:u w:val="single" w:color="auto"/>
          <w:color w:val="auto"/>
        </w:rPr>
        <w:t>Post Goods Receipt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PGR</w:t>
      </w:r>
      <w:r>
        <w:rPr>
          <w:rFonts w:ascii="Times New Roman" w:cs="Times New Roman" w:eastAsia="Times New Roman" w:hAnsi="Times New Roman"/>
          <w:sz w:val="18"/>
          <w:szCs w:val="18"/>
          <w:color w:val="auto"/>
        </w:rPr>
        <w:t>”). Prior to accepting custody of an inbound delivery, Pactiv will inspect the cases of Reynolds Products and pallets used to deliver such cases received for damage. Pactiv may, but will not be obligated to, disassemble pallets, or open cases, of Reynolds Products to inspect for damage to the cases and pallets. Pactiv will maintain an active Overages, Shortages &amp; Damages (“</w:t>
      </w:r>
      <w:r>
        <w:rPr>
          <w:rFonts w:ascii="Times New Roman" w:cs="Times New Roman" w:eastAsia="Times New Roman" w:hAnsi="Times New Roman"/>
          <w:sz w:val="18"/>
          <w:szCs w:val="18"/>
          <w:u w:val="single" w:color="auto"/>
          <w:color w:val="auto"/>
        </w:rPr>
        <w:t>OS&amp;D</w:t>
      </w:r>
      <w:r>
        <w:rPr>
          <w:rFonts w:ascii="Times New Roman" w:cs="Times New Roman" w:eastAsia="Times New Roman" w:hAnsi="Times New Roman"/>
          <w:sz w:val="18"/>
          <w:szCs w:val="18"/>
          <w:color w:val="auto"/>
        </w:rPr>
        <w:t>”) log for any Reynolds Products received into each Warehouse; and report any such OS&amp;D to Reynolds originating shipping facility within seven (7) business days of receipt. Pactiv will store any damaged property separate from other Reynolds Products until such damaged property is delivered as part of an outbound delivery to Reynolds or otherwise disposed of in accordance with Reynolds’ instructions and at its expense. Pactiv will notify Reynolds within such seven (7) business day period of any damaged cases of Reynolds Products or damaged pallets used to deliver Reynolds Products that occurred or that Pactiv believes in good faith to have occurred, prior to Pactiv accepting custody of such property at a Warehouse and any types and quantities of overages and shortages of Reynolds Products in the inbound delivery. If Pactiv fails to notify Reynolds of damaged cases of Reynolds Products or damaged pallets used to deliver such products as part of an inbound delivery, and/or any types and quantities of overages and shortages of Reynolds Products in the inbound delivery, within 7 business days of the inbound delivery, Pactiv will be deemed to have received the types and quantities of Reynolds Products specified in the purchase order accepting Reynolds inbound shipping requisition and the pallets used to deliver such Reynolds Products, in undamaged condition (other than damage, overage or shortages that could not reasonably have been detected through an inspection of the exterior of the cases and pallets). Additionally, Reynolds customers may return Reynolds or Pactiv Products to the point of origin/shipment. Pactiv will accept Reynolds customer returns, place within a quality hold, inspect and notify Reynolds within seven (7) business days upon receipt of whether the goods are merchantable. Reynolds customer service will coordinate with Pactiv on making an appointment for receipt of the return. Upon passing a quality inspection, Pactiv will return merchantable product to active/available inventory. If the product is damaged or obsolete, Pactiv will follow standard protocol or Reynolds instructions for disposal/destruction at Reynolds expense.</w:t>
      </w:r>
    </w:p>
    <w:p>
      <w:pPr>
        <w:spacing w:after="0" w:line="231" w:lineRule="exact"/>
        <w:rPr>
          <w:rFonts w:ascii="Times New Roman" w:cs="Times New Roman" w:eastAsia="Times New Roman" w:hAnsi="Times New Roman"/>
          <w:sz w:val="18"/>
          <w:szCs w:val="18"/>
          <w:b w:val="1"/>
          <w:bCs w:val="1"/>
          <w:color w:val="auto"/>
        </w:rPr>
      </w:pPr>
    </w:p>
    <w:p>
      <w:pPr>
        <w:jc w:val="both"/>
        <w:ind w:left="-8" w:firstLine="8"/>
        <w:spacing w:after="0" w:line="257" w:lineRule="auto"/>
        <w:tabs>
          <w:tab w:leader="none" w:pos="307"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Storage of Reynolds Products</w:t>
      </w:r>
      <w:r>
        <w:rPr>
          <w:rFonts w:ascii="Times New Roman" w:cs="Times New Roman" w:eastAsia="Times New Roman" w:hAnsi="Times New Roman"/>
          <w:sz w:val="18"/>
          <w:szCs w:val="18"/>
          <w:color w:val="auto"/>
        </w:rPr>
        <w:t>. Pactiv will store Reynolds Products received into the Warehouse and not rejected within seven (7) business days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area of the Warehouse. Pactiv will utilize the same storage and handling methods for Reynolds products as it uses for its own products stored in the Warehouse. If Pactiv identifies damaged, slow-moving or obsolete Reynolds Products and/or pallets being stored in a Warehouse, Pactiv will notify Reynolds and Pactiv will return such Reynolds Products and/or pallets to Reynolds or dispose of them as instructed in writing by Reynolds. A return of damaged, slow-moving or obsolete Reynolds Products to Reynolds will be treated as part of an outbound delivery. Reynolds will pay or reimburse Pactiv for actual, reasonable, substantiated out-of-pocket expenses incurred by Pactiv in returning or disposing of such products.</w:t>
      </w:r>
    </w:p>
    <w:p>
      <w:pPr>
        <w:sectPr>
          <w:pgSz w:w="11900" w:h="16838" w:orient="portrait"/>
          <w:cols w:equalWidth="0" w:num="1">
            <w:col w:w="11232"/>
          </w:cols>
          <w:pgMar w:left="328" w:top="1417" w:right="339" w:bottom="1440" w:gutter="0" w:footer="0" w:header="0"/>
        </w:sectPr>
      </w:pPr>
    </w:p>
    <w:bookmarkStart w:id="65" w:name="page66"/>
    <w:bookmarkEnd w:id="65"/>
    <w:p>
      <w:pPr>
        <w:ind w:left="312" w:hanging="312"/>
        <w:spacing w:after="0"/>
        <w:tabs>
          <w:tab w:leader="none" w:pos="31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Inventory Reporting</w:t>
      </w:r>
      <w:r>
        <w:rPr>
          <w:rFonts w:ascii="Times New Roman" w:cs="Times New Roman" w:eastAsia="Times New Roman" w:hAnsi="Times New Roman"/>
          <w:sz w:val="18"/>
          <w:szCs w:val="18"/>
          <w:color w:val="auto"/>
        </w:rPr>
        <w:t>. Pactiv will provide Reynolds with the following reports on Reynolds Products stored in each Warehouse:</w:t>
      </w:r>
    </w:p>
    <w:p>
      <w:pPr>
        <w:spacing w:after="0" w:line="256" w:lineRule="exact"/>
        <w:rPr>
          <w:rFonts w:ascii="Times New Roman" w:cs="Times New Roman" w:eastAsia="Times New Roman" w:hAnsi="Times New Roman"/>
          <w:sz w:val="18"/>
          <w:szCs w:val="18"/>
          <w:b w:val="1"/>
          <w:bCs w:val="1"/>
          <w:color w:val="auto"/>
        </w:rPr>
      </w:pPr>
    </w:p>
    <w:p>
      <w:pPr>
        <w:ind w:left="652" w:hanging="328"/>
        <w:spacing w:after="0" w:line="282" w:lineRule="auto"/>
        <w:tabs>
          <w:tab w:leader="none" w:pos="652"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less than once per month, a report of the types and quantities of Reynolds Products in storage at each Warehouse and any damage or loss to those products while in the custody of Pact at the Warehouses.</w:t>
      </w:r>
    </w:p>
    <w:p>
      <w:pPr>
        <w:spacing w:after="0" w:line="188" w:lineRule="exact"/>
        <w:rPr>
          <w:rFonts w:ascii="Times New Roman" w:cs="Times New Roman" w:eastAsia="Times New Roman" w:hAnsi="Times New Roman"/>
          <w:sz w:val="18"/>
          <w:szCs w:val="18"/>
          <w:b w:val="1"/>
          <w:bCs w:val="1"/>
          <w:color w:val="auto"/>
        </w:rPr>
      </w:pPr>
    </w:p>
    <w:p>
      <w:pPr>
        <w:ind w:left="652" w:right="20" w:hanging="328"/>
        <w:spacing w:after="0" w:line="282" w:lineRule="auto"/>
        <w:tabs>
          <w:tab w:leader="none" w:pos="652"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less than once per month, cycle counts and reconciliations of Reynolds Products following Pactiv's standard inventory management process for the Warehouses.</w:t>
      </w:r>
    </w:p>
    <w:p>
      <w:pPr>
        <w:spacing w:after="0" w:line="188"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less than once per calendar quarter, cycle counts of every Warehouse bin containing Reynolds Products (expected accuracy of 99%).</w:t>
      </w:r>
    </w:p>
    <w:p>
      <w:pPr>
        <w:spacing w:after="0" w:line="248"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Outbound Orders Process.</w:t>
      </w:r>
    </w:p>
    <w:p>
      <w:pPr>
        <w:spacing w:after="0" w:line="256" w:lineRule="exact"/>
        <w:rPr>
          <w:sz w:val="20"/>
          <w:szCs w:val="20"/>
          <w:color w:val="auto"/>
        </w:rPr>
      </w:pPr>
    </w:p>
    <w:p>
      <w:pPr>
        <w:jc w:val="both"/>
        <w:ind w:left="-8" w:firstLine="8"/>
        <w:spacing w:after="0" w:line="253" w:lineRule="auto"/>
        <w:tabs>
          <w:tab w:leader="none" w:pos="347"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will submit an electronic purchase order to Pactiv for outbound delivery of Reynolds Products to a Reynolds customer from a Warehouse. Reynolds will use commercially reasonable efforts to submit its electronic purchase orders for outbound shipments with as much lead time as possible but in no event with materially shorter lead times than provided during the trailing twelve month period prior to the Effective Date of this Agreement. For most shipments, Reynolds will submit such orders at least four (4) days in advance of the shipment date (i.e., if the shipment date of an order is Friday, Reynolds will submit the order to Pactiv on Monday). In the case of outbound shipments to Walmart High Velocity distribution centers, Reynolds will submit such order orders at least three (3) days in advance of the shipment date (i.e., if the shipment date of an order is Friday, Reynolds will submit the order to Pactiv on Tuesday). In either case, Reynolds may request that Pactiv fill and ship orders with less than the standard order lead time, and Pactiv will exercise good faith and commercially reasonable efforts to do so, as provided in Subsection 7(g) of this Schedule. SAP Separation will result in an Operational Change in standard order lead times on for outbound deliveries from Warehouses and the Parties will cooperate in good faith to resolve any Material Impact arising from this Operational Change as provided in the Agreement.</w:t>
      </w:r>
    </w:p>
    <w:p>
      <w:pPr>
        <w:spacing w:after="0" w:line="221" w:lineRule="exact"/>
        <w:rPr>
          <w:rFonts w:ascii="Times New Roman" w:cs="Times New Roman" w:eastAsia="Times New Roman" w:hAnsi="Times New Roman"/>
          <w:sz w:val="18"/>
          <w:szCs w:val="18"/>
          <w:b w:val="1"/>
          <w:bCs w:val="1"/>
          <w:color w:val="auto"/>
        </w:rPr>
      </w:pPr>
    </w:p>
    <w:p>
      <w:pPr>
        <w:ind w:left="-8" w:firstLine="8"/>
        <w:spacing w:after="0" w:line="282" w:lineRule="auto"/>
        <w:tabs>
          <w:tab w:leader="none" w:pos="317"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will provide the outbound purchase order to the applicable Warehouse within 12 hours of its receipt from the customer. The order must have passed an ATP check and the inventory ordered must be confirmed available at the Warehouse.</w:t>
      </w:r>
    </w:p>
    <w:p>
      <w:pPr>
        <w:spacing w:after="0" w:line="188" w:lineRule="exact"/>
        <w:rPr>
          <w:rFonts w:ascii="Times New Roman" w:cs="Times New Roman" w:eastAsia="Times New Roman" w:hAnsi="Times New Roman"/>
          <w:sz w:val="18"/>
          <w:szCs w:val="18"/>
          <w:b w:val="1"/>
          <w:bCs w:val="1"/>
          <w:color w:val="auto"/>
        </w:rPr>
      </w:pPr>
    </w:p>
    <w:p>
      <w:pPr>
        <w:jc w:val="both"/>
        <w:ind w:left="-8" w:firstLine="8"/>
        <w:spacing w:after="0" w:line="266" w:lineRule="auto"/>
        <w:tabs>
          <w:tab w:leader="none" w:pos="32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provide Reynolds a firm “delivery window” for all orders for outbound deliveries to Reynolds customers. This should coincide/align with standard delivery requirements established by Reynolds’ customers in the form of a consumer packaging good (“</w:t>
      </w:r>
      <w:r>
        <w:rPr>
          <w:rFonts w:ascii="Times New Roman" w:cs="Times New Roman" w:eastAsia="Times New Roman" w:hAnsi="Times New Roman"/>
          <w:sz w:val="18"/>
          <w:szCs w:val="18"/>
          <w:u w:val="single" w:color="auto"/>
          <w:color w:val="auto"/>
        </w:rPr>
        <w:t>CPG</w:t>
      </w:r>
      <w:r>
        <w:rPr>
          <w:rFonts w:ascii="Times New Roman" w:cs="Times New Roman" w:eastAsia="Times New Roman" w:hAnsi="Times New Roman"/>
          <w:sz w:val="18"/>
          <w:szCs w:val="18"/>
          <w:color w:val="auto"/>
        </w:rPr>
        <w:t>”) industry recognized protocol which includes but is not limited to a Requested Arrival date (“</w:t>
      </w:r>
      <w:r>
        <w:rPr>
          <w:rFonts w:ascii="Times New Roman" w:cs="Times New Roman" w:eastAsia="Times New Roman" w:hAnsi="Times New Roman"/>
          <w:sz w:val="18"/>
          <w:szCs w:val="18"/>
          <w:u w:val="single" w:color="auto"/>
          <w:color w:val="auto"/>
        </w:rPr>
        <w:t>RAD</w:t>
      </w:r>
      <w:r>
        <w:rPr>
          <w:rFonts w:ascii="Times New Roman" w:cs="Times New Roman" w:eastAsia="Times New Roman" w:hAnsi="Times New Roman"/>
          <w:sz w:val="18"/>
          <w:szCs w:val="18"/>
          <w:color w:val="auto"/>
        </w:rPr>
        <w:t>”) or a Requested Delivery Date (“</w:t>
      </w:r>
      <w:r>
        <w:rPr>
          <w:rFonts w:ascii="Times New Roman" w:cs="Times New Roman" w:eastAsia="Times New Roman" w:hAnsi="Times New Roman"/>
          <w:sz w:val="18"/>
          <w:szCs w:val="18"/>
          <w:u w:val="single" w:color="auto"/>
          <w:color w:val="auto"/>
        </w:rPr>
        <w:t>ROD</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b w:val="1"/>
          <w:bCs w:val="1"/>
          <w:color w:val="auto"/>
        </w:rPr>
      </w:pPr>
    </w:p>
    <w:p>
      <w:pPr>
        <w:ind w:left="-8" w:firstLine="8"/>
        <w:spacing w:after="0" w:line="282" w:lineRule="auto"/>
        <w:tabs>
          <w:tab w:leader="none" w:pos="446"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schedule an "appointment window'' for an outbound delivery in which a Reynold’s customer will pickup of Reynolds’ goods at a Warehouse (a “</w:t>
      </w:r>
      <w:r>
        <w:rPr>
          <w:rFonts w:ascii="Times New Roman" w:cs="Times New Roman" w:eastAsia="Times New Roman" w:hAnsi="Times New Roman"/>
          <w:sz w:val="18"/>
          <w:szCs w:val="18"/>
          <w:u w:val="single" w:color="auto"/>
          <w:color w:val="auto"/>
        </w:rPr>
        <w:t>CPU</w:t>
      </w:r>
      <w:r>
        <w:rPr>
          <w:rFonts w:ascii="Times New Roman" w:cs="Times New Roman" w:eastAsia="Times New Roman" w:hAnsi="Times New Roman"/>
          <w:sz w:val="18"/>
          <w:szCs w:val="18"/>
          <w:color w:val="auto"/>
        </w:rPr>
        <w:t>”) as provided in Section 10 of this Schedule.</w:t>
      </w:r>
    </w:p>
    <w:p>
      <w:pPr>
        <w:spacing w:after="0" w:line="186" w:lineRule="exact"/>
        <w:rPr>
          <w:rFonts w:ascii="Times New Roman" w:cs="Times New Roman" w:eastAsia="Times New Roman" w:hAnsi="Times New Roman"/>
          <w:sz w:val="18"/>
          <w:szCs w:val="18"/>
          <w:b w:val="1"/>
          <w:bCs w:val="1"/>
          <w:color w:val="auto"/>
        </w:rPr>
      </w:pPr>
    </w:p>
    <w:p>
      <w:pPr>
        <w:ind w:left="-8" w:firstLine="8"/>
        <w:spacing w:after="0" w:line="284" w:lineRule="auto"/>
        <w:tabs>
          <w:tab w:leader="none" w:pos="39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Reynolds shall have the right to cancel an order without penalty up </w:t>
      </w:r>
      <w:r>
        <w:rPr>
          <w:rFonts w:ascii="Times New Roman" w:cs="Times New Roman" w:eastAsia="Times New Roman" w:hAnsi="Times New Roman"/>
          <w:sz w:val="18"/>
          <w:szCs w:val="18"/>
          <w:i w:val="1"/>
          <w:iCs w:val="1"/>
          <w:color w:val="auto"/>
        </w:rPr>
        <w:t>until the earlier of</w:t>
      </w:r>
      <w:r>
        <w:rPr>
          <w:rFonts w:ascii="Times New Roman" w:cs="Times New Roman" w:eastAsia="Times New Roman" w:hAnsi="Times New Roman"/>
          <w:sz w:val="18"/>
          <w:szCs w:val="18"/>
          <w:color w:val="auto"/>
        </w:rPr>
        <w:t xml:space="preserve"> (i) 24-hours prior to the scheduled time of the outbound shipment or (ii) Pactiv starts to assemble the order for shipment.</w:t>
      </w:r>
    </w:p>
    <w:p>
      <w:pPr>
        <w:spacing w:after="0" w:line="187" w:lineRule="exact"/>
        <w:rPr>
          <w:rFonts w:ascii="Times New Roman" w:cs="Times New Roman" w:eastAsia="Times New Roman" w:hAnsi="Times New Roman"/>
          <w:sz w:val="18"/>
          <w:szCs w:val="18"/>
          <w:b w:val="1"/>
          <w:bCs w:val="1"/>
          <w:color w:val="auto"/>
        </w:rPr>
      </w:pPr>
    </w:p>
    <w:p>
      <w:pPr>
        <w:jc w:val="both"/>
        <w:ind w:left="-8" w:firstLine="8"/>
        <w:spacing w:after="0" w:line="261" w:lineRule="auto"/>
        <w:tabs>
          <w:tab w:leader="none" w:pos="301"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provide Freight Services for outbound orders from the Warehouses to both existing and new Reynolds customers provided that the volume of shipments and nature of the business is commercially reasonable. If there is a change in the volume of the shipments or the nature of the business and such change has a Material Impact on Pactiv's costs or ability to perform the Warehousing Services, the Parties will address the change as an Operational Change.</w:t>
      </w:r>
    </w:p>
    <w:p>
      <w:pPr>
        <w:spacing w:after="0" w:line="206" w:lineRule="exact"/>
        <w:rPr>
          <w:rFonts w:ascii="Times New Roman" w:cs="Times New Roman" w:eastAsia="Times New Roman" w:hAnsi="Times New Roman"/>
          <w:sz w:val="18"/>
          <w:szCs w:val="18"/>
          <w:b w:val="1"/>
          <w:bCs w:val="1"/>
          <w:color w:val="auto"/>
        </w:rPr>
      </w:pPr>
    </w:p>
    <w:p>
      <w:pPr>
        <w:jc w:val="both"/>
        <w:ind w:left="-8" w:firstLine="8"/>
        <w:spacing w:after="0" w:line="261" w:lineRule="auto"/>
        <w:tabs>
          <w:tab w:leader="none" w:pos="359"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Reynolds submits an electronic purchase order for an outbound shipment with less than the standard order lead times outlined in Subsection 7(a) above, Pactiv will use commercially reasonable efforts to accommodate such shipment orders, but failure to meet such shipment orders will not be a default by Pactiv and will not be counted in any performance standard measurement. Pactiv undertakes to communicate to Reynolds in a commercially reasonable manner any failure or inability to meet any such shipment request.</w:t>
      </w:r>
    </w:p>
    <w:p>
      <w:pPr>
        <w:sectPr>
          <w:pgSz w:w="11900" w:h="16838" w:orient="portrait"/>
          <w:cols w:equalWidth="0" w:num="1">
            <w:col w:w="11232"/>
          </w:cols>
          <w:pgMar w:left="328" w:top="1413" w:right="339" w:bottom="1440" w:gutter="0" w:footer="0" w:header="0"/>
        </w:sectPr>
      </w:pPr>
    </w:p>
    <w:bookmarkStart w:id="66" w:name="page67"/>
    <w:bookmarkEnd w:id="66"/>
    <w:p>
      <w:pPr>
        <w:spacing w:after="0" w:line="217" w:lineRule="exact"/>
        <w:rPr>
          <w:sz w:val="20"/>
          <w:szCs w:val="20"/>
          <w:color w:val="auto"/>
        </w:rPr>
      </w:pPr>
    </w:p>
    <w:p>
      <w:pPr>
        <w:ind w:left="312" w:hanging="312"/>
        <w:spacing w:after="0"/>
        <w:tabs>
          <w:tab w:leader="none" w:pos="31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Shipment Requirements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jc w:val="both"/>
        <w:ind w:left="-8" w:firstLine="8"/>
        <w:spacing w:after="0" w:line="258" w:lineRule="auto"/>
        <w:tabs>
          <w:tab w:leader="none" w:pos="37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accept purchase orders from Reynolds for shipments from the Warehouses to Reynolds customers in full truckload quantities (“</w:t>
      </w:r>
      <w:r>
        <w:rPr>
          <w:rFonts w:ascii="Times New Roman" w:cs="Times New Roman" w:eastAsia="Times New Roman" w:hAnsi="Times New Roman"/>
          <w:sz w:val="18"/>
          <w:szCs w:val="18"/>
          <w:u w:val="single" w:color="auto"/>
          <w:color w:val="auto"/>
        </w:rPr>
        <w:t>FTL</w:t>
      </w:r>
      <w:r>
        <w:rPr>
          <w:rFonts w:ascii="Times New Roman" w:cs="Times New Roman" w:eastAsia="Times New Roman" w:hAnsi="Times New Roman"/>
          <w:sz w:val="18"/>
          <w:szCs w:val="18"/>
          <w:color w:val="auto"/>
        </w:rPr>
        <w:t>”). Pactiv will also accept orders from Reynolds for shipments from the Warehouses to Reynolds customers for less than full truckload quantities (“</w:t>
      </w:r>
      <w:r>
        <w:rPr>
          <w:rFonts w:ascii="Times New Roman" w:cs="Times New Roman" w:eastAsia="Times New Roman" w:hAnsi="Times New Roman"/>
          <w:sz w:val="18"/>
          <w:szCs w:val="18"/>
          <w:u w:val="single" w:color="auto"/>
          <w:color w:val="auto"/>
        </w:rPr>
        <w:t>LTL</w:t>
      </w:r>
      <w:r>
        <w:rPr>
          <w:rFonts w:ascii="Times New Roman" w:cs="Times New Roman" w:eastAsia="Times New Roman" w:hAnsi="Times New Roman"/>
          <w:sz w:val="18"/>
          <w:szCs w:val="18"/>
          <w:color w:val="auto"/>
        </w:rPr>
        <w:t>”) and parcel post deliveries in amounts matching historical norms (LTL and parcel post deliveries representing between 15% to 20% of total volume of monthly shipments). If Reynolds orders to ship LTL or parcel deliveries exceed historical percentages, Pactiv may charge Reynolds any additional costs for such LTL and parcel shipment requests. If such requests become excessive, the Parties will address the issue as an Operational Change.</w:t>
      </w:r>
    </w:p>
    <w:p>
      <w:pPr>
        <w:spacing w:after="0" w:line="210"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Orders can include a combination of full pallet, mixed pallets and partial pallets.</w:t>
      </w:r>
    </w:p>
    <w:p>
      <w:pPr>
        <w:spacing w:after="0" w:line="252" w:lineRule="exact"/>
        <w:rPr>
          <w:rFonts w:ascii="Times New Roman" w:cs="Times New Roman" w:eastAsia="Times New Roman" w:hAnsi="Times New Roman"/>
          <w:sz w:val="18"/>
          <w:szCs w:val="18"/>
          <w:b w:val="1"/>
          <w:bCs w:val="1"/>
          <w:color w:val="auto"/>
        </w:rPr>
      </w:pPr>
    </w:p>
    <w:p>
      <w:pPr>
        <w:ind w:left="-8" w:firstLine="8"/>
        <w:spacing w:after="0" w:line="282" w:lineRule="auto"/>
        <w:tabs>
          <w:tab w:leader="none" w:pos="3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not have to accept an order containing less than a full case of Reynolds Products at any Warehouse nor ship less than a full case of goods from any Warehouse.</w:t>
      </w:r>
    </w:p>
    <w:p>
      <w:pPr>
        <w:spacing w:after="0" w:line="188"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do the following for any outbound truck shipments:</w:t>
      </w:r>
    </w:p>
    <w:p>
      <w:pPr>
        <w:spacing w:after="0" w:line="252"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 trailers prior to loading outbound deliveries of Reynolds Products on them.</w:t>
      </w:r>
    </w:p>
    <w:p>
      <w:pPr>
        <w:spacing w:after="0" w:line="252"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current UCC 128 stickers to shipments to satisfy any Reynolds customer requirements.</w:t>
      </w:r>
    </w:p>
    <w:p>
      <w:pPr>
        <w:spacing w:after="0" w:line="252"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Load trailers with outbound deliveries of Reynolds Products.</w:t>
      </w:r>
    </w:p>
    <w:p>
      <w:pPr>
        <w:spacing w:after="0" w:line="252"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dunnage for blocking and bracing outbound deliveries of Reynolds Products.</w:t>
      </w:r>
    </w:p>
    <w:p>
      <w:pPr>
        <w:spacing w:after="0" w:line="252" w:lineRule="exact"/>
        <w:rPr>
          <w:rFonts w:ascii="Times New Roman" w:cs="Times New Roman" w:eastAsia="Times New Roman" w:hAnsi="Times New Roman"/>
          <w:sz w:val="18"/>
          <w:szCs w:val="18"/>
          <w:color w:val="auto"/>
        </w:rPr>
      </w:pPr>
    </w:p>
    <w:p>
      <w:pPr>
        <w:ind w:left="652" w:hanging="328"/>
        <w:spacing w:after="0"/>
        <w:tabs>
          <w:tab w:leader="none" w:pos="65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Reynolds of outbound delivery delays or carrier performance problems.</w:t>
      </w:r>
    </w:p>
    <w:p>
      <w:pPr>
        <w:spacing w:after="0" w:line="252" w:lineRule="exact"/>
        <w:rPr>
          <w:rFonts w:ascii="Times New Roman" w:cs="Times New Roman" w:eastAsia="Times New Roman" w:hAnsi="Times New Roman"/>
          <w:sz w:val="18"/>
          <w:szCs w:val="18"/>
          <w:color w:val="auto"/>
        </w:rPr>
      </w:pPr>
    </w:p>
    <w:p>
      <w:pPr>
        <w:jc w:val="both"/>
        <w:ind w:left="652" w:hanging="328"/>
        <w:spacing w:after="0" w:line="266" w:lineRule="auto"/>
        <w:tabs>
          <w:tab w:leader="none" w:pos="64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load tallies, ASNs and bills of lading for each outbound shipment of goods identified to Reynolds that contains Reynolds Products, detailing the order number, goods description, piece count and weight and the pallets used to transport the goods (collectively “</w:t>
      </w:r>
      <w:r>
        <w:rPr>
          <w:rFonts w:ascii="Times New Roman" w:cs="Times New Roman" w:eastAsia="Times New Roman" w:hAnsi="Times New Roman"/>
          <w:sz w:val="18"/>
          <w:szCs w:val="18"/>
          <w:u w:val="single" w:color="auto"/>
          <w:color w:val="auto"/>
        </w:rPr>
        <w:t>Shipping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perform the PGI upon truck departure from the Warehouse.</w:t>
      </w:r>
    </w:p>
    <w:p>
      <w:pPr>
        <w:spacing w:after="0" w:line="252" w:lineRule="exact"/>
        <w:rPr>
          <w:rFonts w:ascii="Times New Roman" w:cs="Times New Roman" w:eastAsia="Times New Roman" w:hAnsi="Times New Roman"/>
          <w:sz w:val="18"/>
          <w:szCs w:val="18"/>
          <w:b w:val="1"/>
          <w:bCs w:val="1"/>
          <w:color w:val="auto"/>
        </w:rPr>
      </w:pPr>
    </w:p>
    <w:p>
      <w:pPr>
        <w:ind w:left="-8" w:firstLine="8"/>
        <w:spacing w:after="0" w:line="282" w:lineRule="auto"/>
        <w:tabs>
          <w:tab w:leader="none" w:pos="331"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shall follow all mutually agreed transportation guides (used by Pactiv during the trailing twelve month period prior to the Effective Date) on outbound shipments.</w:t>
      </w:r>
    </w:p>
    <w:p>
      <w:pPr>
        <w:spacing w:after="0" w:line="188"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shall process ASN’s to Reynolds customers (and send Reynolds a copy) within 1 hour of PGI/Truck Departure.</w:t>
      </w:r>
    </w:p>
    <w:p>
      <w:pPr>
        <w:spacing w:after="0" w:line="248" w:lineRule="exact"/>
        <w:rPr>
          <w:sz w:val="20"/>
          <w:szCs w:val="20"/>
          <w:color w:val="auto"/>
        </w:rPr>
      </w:pPr>
    </w:p>
    <w:p>
      <w:pPr>
        <w:ind w:left="312" w:hanging="312"/>
        <w:spacing w:after="0"/>
        <w:tabs>
          <w:tab w:leader="none" w:pos="312"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Outbound Shipments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left="-8" w:firstLine="8"/>
        <w:spacing w:after="0" w:line="254" w:lineRule="auto"/>
        <w:tabs>
          <w:tab w:leader="none" w:pos="343"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an outbound shipment of Reynolds Products from a Warehouse in FTL or LTL quantities, other than CPUs requiring a “live load” at the loading dock of the Warehouse as provided in Section 10 of this Schedule, Pactiv will load and deliver the Reynolds Products in a truck trailer in the yard of the Warehouse on the scheduled outbound delivery date within the delivery window approved by Pactiv in its electronic purchase order accepting Reynolds’ outbound shipment requisition. The truck trailer will be provided by Pactiv on behalf of Reynolds as part of the Freight Services (other than for CPUs). Reynolds, its customer and their respective common carriers (including Carriers) (collectively, the “</w:t>
      </w:r>
      <w:r>
        <w:rPr>
          <w:rFonts w:ascii="Times New Roman" w:cs="Times New Roman" w:eastAsia="Times New Roman" w:hAnsi="Times New Roman"/>
          <w:sz w:val="18"/>
          <w:szCs w:val="18"/>
          <w:u w:val="single" w:color="auto"/>
          <w:color w:val="auto"/>
        </w:rPr>
        <w:t>Reynolds Shipping Agents</w:t>
      </w:r>
      <w:r>
        <w:rPr>
          <w:rFonts w:ascii="Times New Roman" w:cs="Times New Roman" w:eastAsia="Times New Roman" w:hAnsi="Times New Roman"/>
          <w:sz w:val="18"/>
          <w:szCs w:val="18"/>
          <w:color w:val="auto"/>
        </w:rPr>
        <w:t>”) will be required to comply with the security, environmental, health, safety and other rules adopted and communicated by Pactiv for common carriers receiving outbound goods at the Warehouse. Prior to accepting custody of an outbound delivery, the Reynolds Shipping Agent will inspect the cases of Reynolds Products and pallets used to deliver such cases received as part of an outbound delivery for damage. The Reynolds Shipping Agent may, but will not be obligated to, disassemble pallets, or open cases, of the outbound goods to inspect for damage to the cases and pallets. The Reynolds Shipping Agent may</w:t>
      </w:r>
    </w:p>
    <w:p>
      <w:pPr>
        <w:sectPr>
          <w:pgSz w:w="11900" w:h="16838" w:orient="portrait"/>
          <w:cols w:equalWidth="0" w:num="1">
            <w:col w:w="11232"/>
          </w:cols>
          <w:pgMar w:left="328" w:top="1440"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reject and decline to accept custody of damaged cases of outbound goods or any damaged pallets. Reynolds will promptly notify Pactiv of any damaged cases of outbound goods or damaged pallets used to deliver such products occurring, or that Reynolds believes in good faith to have occurred, prior to the Reynolds Shipping Agent accepting custody of such property as part of an outbound delivery at a Warehouse and any types and quantities of overages and shortages of Reynolds and/or Pactiv Products in the outbound delivery.</w:t>
      </w:r>
    </w:p>
    <w:p>
      <w:pPr>
        <w:spacing w:after="0" w:line="207" w:lineRule="exact"/>
        <w:rPr>
          <w:sz w:val="20"/>
          <w:szCs w:val="20"/>
          <w:color w:val="auto"/>
        </w:rPr>
      </w:pPr>
    </w:p>
    <w:p>
      <w:pPr>
        <w:ind w:firstLine="8"/>
        <w:spacing w:after="0" w:line="282" w:lineRule="auto"/>
        <w:tabs>
          <w:tab w:leader="none" w:pos="362"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an outbound parcel delivery, Pactiv will deliver conforming goods to the parcel delivery agent at the Warehouse on the designated shipping date and will electronically confirm the shipment to Reynolds.</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61" w:lineRule="auto"/>
        <w:tabs>
          <w:tab w:leader="none" w:pos="387"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Reynolds fails to notify Pactiv of damaged cases of goods or damaged pallets (if a reusable pallet) used to deliver such products as part of an outbound delivery, or any types and quantities of overages and shortages of Reynolds or Pactiv Products in the outbound delivery, within thirty (30) days of the outbound delivery, Reynolds will be deemed to have received the types and quantities of Reynolds and Pactiv Products specified in the purchase order and the Shipping Documents, and the pallets (if a reusable pallet) used to deliver such products, in undamaged condition.</w:t>
      </w:r>
    </w:p>
    <w:p>
      <w:pPr>
        <w:spacing w:after="0" w:line="203" w:lineRule="exact"/>
        <w:rPr>
          <w:sz w:val="20"/>
          <w:szCs w:val="20"/>
          <w:color w:val="auto"/>
        </w:rPr>
      </w:pPr>
    </w:p>
    <w:p>
      <w:pPr>
        <w:jc w:val="both"/>
        <w:ind w:firstLine="8"/>
        <w:spacing w:after="0" w:line="255" w:lineRule="auto"/>
        <w:tabs>
          <w:tab w:leader="none" w:pos="405"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Customer Pick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Reynolds’ customer service will coordinate with Pactiv Warehousing Operations for all Reynolds' CPU requirements. Pactiv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accommodate Reynolds’ customer requested “live load” CPUs at the loading dock of the Warehouse in the amounts and at the times as agreed by the Parties and in accordance with historical norms, provided all such “live load” CPUs must be scheduled in advance. For CPUs that are not live loads, the Reynolds customer or its common carrier must drop off an empty truck trailers in the yard of the Warehouse for loading no less than one full business day in advance of the scheduled CPU time. Reynolds should make reasonable efforts to enforce drop trailer requirements for any new CPU lanes.</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476"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Reynolds Exit Strategy</w:t>
      </w:r>
      <w:r>
        <w:rPr>
          <w:rFonts w:ascii="Times New Roman" w:cs="Times New Roman" w:eastAsia="Times New Roman" w:hAnsi="Times New Roman"/>
          <w:sz w:val="18"/>
          <w:szCs w:val="18"/>
          <w:color w:val="auto"/>
        </w:rPr>
        <w:t>. Reynolds and Pactiv acknowledge that during the Term of the Agreement Reynolds will be exiting some or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Warehouses, and agree to work together in good faith to develop an exit strategy that minimizes disruption and damage to either Party, which may include mutually agreed extensions to or shortening of deadlines on certain warehouses.</w:t>
      </w:r>
    </w:p>
    <w:p>
      <w:pPr>
        <w:spacing w:after="0" w:line="208"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Warehouse Space.</w:t>
      </w:r>
    </w:p>
    <w:p>
      <w:pPr>
        <w:spacing w:after="0" w:line="256" w:lineRule="exact"/>
        <w:rPr>
          <w:sz w:val="20"/>
          <w:szCs w:val="20"/>
          <w:color w:val="auto"/>
        </w:rPr>
      </w:pPr>
    </w:p>
    <w:p>
      <w:pPr>
        <w:jc w:val="both"/>
        <w:ind w:firstLine="8"/>
        <w:spacing w:after="0" w:line="266" w:lineRule="auto"/>
        <w:tabs>
          <w:tab w:leader="none" w:pos="341"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and Reynolds recognize that the Parties plan to grow their businesses over the Term, and the growth of their businesses may require additional warehouse space in a U.S. market. The Parties will work together collaboratively and in good faith during the Term to find mutually beneficial solutions for additional warehouse space in the U.S. market.</w:t>
      </w:r>
    </w:p>
    <w:p>
      <w:pPr>
        <w:spacing w:after="0" w:line="202" w:lineRule="exact"/>
        <w:rPr>
          <w:rFonts w:ascii="Times New Roman" w:cs="Times New Roman" w:eastAsia="Times New Roman" w:hAnsi="Times New Roman"/>
          <w:sz w:val="18"/>
          <w:szCs w:val="18"/>
          <w:b w:val="1"/>
          <w:bCs w:val="1"/>
          <w:color w:val="auto"/>
        </w:rPr>
      </w:pPr>
    </w:p>
    <w:p>
      <w:pPr>
        <w:ind w:firstLine="8"/>
        <w:spacing w:after="0" w:line="252" w:lineRule="auto"/>
        <w:tabs>
          <w:tab w:leader="none" w:pos="387"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Reynolds’ growth creates the need for additional warehouse space in a U.S. market beyond its current Base Storage capacity and Additional Storage Capacity in the Warehouse supporting Reynolds in that U.S. market under this Agreement, Pactiv will evaluate whether it has unused additional warehouse space within the Warehouse to offer Reynolds. If Pactiv does not have unused additional warehouse space available to offer Reynolds in a Warehouse in a U.S. market, after taking into account Pactiv's own current operating needs and anticipated growth, Pactiv will assist Reynolds upon request in identifying options for additional warehouse space in the U.S. market. To the extent Pactiv identifies additional warehouse space in the U.S. market that would meet Reynolds’ needs, whether within or outside of the Warehouse serving that U.S. market, Pactiv will provide Reynolds with a proposal to provide and operate the additional warehouse space under this Agreement. Pactiv’s proposal for additional warehouse space will includes a disclosure of cost estimates that Pactiv will incur to provide and operate the additional warehouse space for Reynolds and the mark-up to be passed to Reynolds for Pactiv performing these Warehouse Services. Reynolds will then determine whether to accept Pactiv’s proposal. If Reynolds accepts Pactiv’s proposal, the Parties will sign an amendment to this Agreement incorporating the agreed upon terms of the accepted proposal. If Reynolds’ rejects Pactiv’s proposal, Reynolds will have the right to seek alternative arrangements in the U.S. market to secure the additional warehouse space. These arrangements may include Reynolds leasing its own additional warehouse space or setting up its own mixing center(s) to serve the needs of Reynolds’ customers in the U.S. market, which may necessitate Reynolds’ early termination of Warehouse Services at one or more Warehouses in this Schedule in whole or in part. Reynolds will exercise early termination for all Base Storage Capacity of a Warehouse in a U.S. market only if Reynolds is unable to procure and operate the required</w:t>
      </w:r>
    </w:p>
    <w:p>
      <w:pPr>
        <w:sectPr>
          <w:pgSz w:w="11900" w:h="16838" w:orient="portrait"/>
          <w:cols w:equalWidth="0" w:num="1">
            <w:col w:w="11240"/>
          </w:cols>
          <w:pgMar w:left="320" w:top="1417"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additional warehouse space in the U.S. market in a commercially reasonable manner without consolidating Base Storage Capacity and Additional Storage Capacity with the additional warehouse space in a single facility. In all other circumstances, Reynolds will exercise early termination for only the portion of Base Storage Capacity of a Warehouse in a U.S. market that is reasonably necessary to procure, consolidate and operate the additional warehouse space in a commercially reasonable manner. In these events, Reynolds will give Pactiv not less than one hundred eighty (180) days written notice identifying the affected Warehouse(s), the cubic square feet of Basic Storage Capacity in the affected Warehouse(s) and the early termination date(s), and Reynolds and Pactiv will work together in good faith to minimize cost to both companies. Pactiv reserves the right to contest Reynolds’ exercise of its early termination right in a manner beyond what is reasonably necessary under this Section. If Pactiv does so, the Parties will follow the Dispute Resolution process in the Agreement to resolve the Dispute. By way of clarification, if Reynolds exercises its early termination right for a portion of the Base Storage Capacity in a Warehouse, the Additional Storage Capacity available for Reynolds in that Warehouse will be eliminated on the early termination date.</w:t>
      </w:r>
    </w:p>
    <w:p>
      <w:pPr>
        <w:spacing w:after="0" w:line="215"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and Reynolds will meet not less than quarterly to review their respective current and anticipated needs for warehouse space in U.S. markets.</w:t>
      </w:r>
    </w:p>
    <w:p>
      <w:pPr>
        <w:sectPr>
          <w:pgSz w:w="11900" w:h="16838" w:orient="portrait"/>
          <w:cols w:equalWidth="0" w:num="1">
            <w:col w:w="11240"/>
          </w:cols>
          <w:pgMar w:left="320" w:top="141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FREIGHT SERVICES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SPECIFIC TERMS AND CONDITIONS</w:t>
      </w:r>
    </w:p>
    <w:p>
      <w:pPr>
        <w:spacing w:after="0" w:line="230" w:lineRule="exact"/>
        <w:rPr>
          <w:sz w:val="20"/>
          <w:szCs w:val="20"/>
          <w:color w:val="auto"/>
        </w:rPr>
      </w:pPr>
    </w:p>
    <w:p>
      <w:pPr>
        <w:jc w:val="both"/>
        <w:ind w:firstLine="8"/>
        <w:spacing w:after="0" w:line="255" w:lineRule="auto"/>
        <w:tabs>
          <w:tab w:leader="none" w:pos="31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Description of Freight Services</w:t>
      </w:r>
      <w:r>
        <w:rPr>
          <w:rFonts w:ascii="Times New Roman" w:cs="Times New Roman" w:eastAsia="Times New Roman" w:hAnsi="Times New Roman"/>
          <w:sz w:val="18"/>
          <w:szCs w:val="18"/>
          <w:color w:val="auto"/>
        </w:rPr>
        <w:t>. The Freight Services will include the following:(i) on Reynolds’ behalf, Pactiv will arrange for, manage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for shipping of FTL, inter-modal, LTL and parcel shipments of Reynolds goods (“</w:t>
      </w:r>
      <w:r>
        <w:rPr>
          <w:rFonts w:ascii="Times New Roman" w:cs="Times New Roman" w:eastAsia="Times New Roman" w:hAnsi="Times New Roman"/>
          <w:sz w:val="18"/>
          <w:szCs w:val="18"/>
          <w:u w:val="single" w:color="auto"/>
          <w:color w:val="auto"/>
        </w:rPr>
        <w:t>Freight</w:t>
      </w:r>
      <w:r>
        <w:rPr>
          <w:rFonts w:ascii="Times New Roman" w:cs="Times New Roman" w:eastAsia="Times New Roman" w:hAnsi="Times New Roman"/>
          <w:sz w:val="18"/>
          <w:szCs w:val="18"/>
          <w:color w:val="auto"/>
        </w:rPr>
        <w:t>”) to, from and between locations operated by Reynolds, Pactiv and Reynolds’ customers; (ii) Pactiv will manage the Carriers (as hereinafter defined) performing the shipping for Reynolds, (iii) Pactiv will file and manage certain claims against Carriers in the event of losses to the extent such claims are warranted, (iv) Pactiv will reasonably cooperate with Reynolds in transitioning Reynolds to perform its own shipping and freight services. As used in this Agreement, and notwithstanding anything in the Agreement to the contrary, the phrase “</w:t>
      </w:r>
      <w:r>
        <w:rPr>
          <w:rFonts w:ascii="Times New Roman" w:cs="Times New Roman" w:eastAsia="Times New Roman" w:hAnsi="Times New Roman"/>
          <w:sz w:val="18"/>
          <w:szCs w:val="18"/>
          <w:u w:val="single" w:color="auto"/>
          <w:color w:val="auto"/>
        </w:rPr>
        <w:t>Freight Services Expiration Date</w:t>
      </w:r>
      <w:r>
        <w:rPr>
          <w:rFonts w:ascii="Times New Roman" w:cs="Times New Roman" w:eastAsia="Times New Roman" w:hAnsi="Times New Roman"/>
          <w:sz w:val="18"/>
          <w:szCs w:val="18"/>
          <w:color w:val="auto"/>
        </w:rPr>
        <w:t>” will mean: (a) December 31, 2024 (with the Term of this Agreement being extended accordingly) for Freight Services on the transportation of Pactiv Products purchased by Reynolds under the MSA and delivered directly from a Pactiv manufacturing or warehouse facility to Reynolds customer; and (b) October 31, 2022 for Freight Services for all other Freight and locations.</w:t>
      </w:r>
    </w:p>
    <w:p>
      <w:pPr>
        <w:spacing w:after="0" w:line="211"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31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Shipping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Pactiv will identify the loads to be shipped in accordance with the procedures set forth in the SOPs, or as otherwise agreed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from time to time in a separate signed written agreement, and in accordance with the commercially reasonable shipping procedures the Parties followed in the trailing twelve month period prior to the Effective Date. Reynolds will be the shipper designated on all loads of Freight that Pactiv manages for Reynolds under this Agreement.</w:t>
      </w:r>
    </w:p>
    <w:p>
      <w:pPr>
        <w:spacing w:after="0" w:line="203"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423"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Carrier Management Services</w:t>
      </w:r>
      <w:r>
        <w:rPr>
          <w:rFonts w:ascii="Times New Roman" w:cs="Times New Roman" w:eastAsia="Times New Roman" w:hAnsi="Times New Roman"/>
          <w:sz w:val="18"/>
          <w:szCs w:val="18"/>
          <w:color w:val="auto"/>
        </w:rPr>
        <w:t>. Pactiv will contract for and manage the over the road and other transportation companies (the “</w:t>
      </w:r>
      <w:r>
        <w:rPr>
          <w:rFonts w:ascii="Times New Roman" w:cs="Times New Roman" w:eastAsia="Times New Roman" w:hAnsi="Times New Roman"/>
          <w:sz w:val="18"/>
          <w:szCs w:val="18"/>
          <w:u w:val="single" w:color="auto"/>
          <w:color w:val="auto"/>
        </w:rPr>
        <w:t>Carriers</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transport Reynolds's Freight to and from locations identified by Reynolds (including the Warehouses) to Reynolds customers and between those locations. Such shipments may include shipments to and from locations in the continental United States, Canada and Mexico. Pactiv will use its routing guides for the shipment of Reynolds's Freight under this Agreement. Pactiv's carrier management services consist of: (i) Carrier identification, (ii) Carrier selection (including any bidding process to select the ultimate Carriers), and (v) Carrier qualification. Pactiv will have no liability to Reynolds or any other person for the acts and omission of the Carriers.</w:t>
      </w:r>
    </w:p>
    <w:p>
      <w:pPr>
        <w:spacing w:after="0" w:line="209"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31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Carrier Agreements</w:t>
      </w:r>
      <w:r>
        <w:rPr>
          <w:rFonts w:ascii="Times New Roman" w:cs="Times New Roman" w:eastAsia="Times New Roman" w:hAnsi="Times New Roman"/>
          <w:sz w:val="18"/>
          <w:szCs w:val="18"/>
          <w:color w:val="auto"/>
        </w:rPr>
        <w:t>. Pactiv will identify Carriers (including brokers) who are qualified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who manage the routes Pactiv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to know are used for shipments by Reynolds. If Reynolds adds any new routes, it will provide reasonable advance notice to Pactiv of not less than thirty (30) days to allow Pactiv to identify an appropriate Carrier for such new route. Pactiv will enter into written agreements with all identified Carriers (including brokers) on Reynolds behalf. Pactiv will provide Reynolds with access to all Carrier agreements and insurance certificates as updated from time to time. At any time during the Term of this Agreement, Reynolds may, with or without cause, disqualify a Carrier from performing the transportation and related services for the shipment of Reynolds’s Freight by providing Pactiv written notice thereof. Pactiv will honor Reynolds’s disqualification of a Carrier, but will not be required to manage shipment of Reynolds’ Freight on the routes previously serviced by such Carrier unless Pactiv has qualified other Carriers for such routes. Reynolds’s failure to disqualify a Carrier shall be deemed Reynolds’s acceptance of the Carriers for the shipment of Reynolds’s Freight until Pactiv is notified in writing of Reynolds’s disqualification of a Carrier. Reynolds's sole and exclusive remedy against Pactiv for the use of a Carrier shall be the disqualification of the Carrier as set forth above.</w:t>
      </w:r>
    </w:p>
    <w:p>
      <w:pPr>
        <w:spacing w:after="0" w:line="212"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409"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Carrier Qualification</w:t>
      </w:r>
      <w:r>
        <w:rPr>
          <w:rFonts w:ascii="Times New Roman" w:cs="Times New Roman" w:eastAsia="Times New Roman" w:hAnsi="Times New Roman"/>
          <w:sz w:val="18"/>
          <w:szCs w:val="18"/>
          <w:color w:val="auto"/>
        </w:rPr>
        <w:t>. Pactiv shall require that each carrier identified as Carrier hereunder shall be contractually obligated to maintain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in the following areas:</w:t>
      </w:r>
    </w:p>
    <w:p>
      <w:pPr>
        <w:spacing w:after="0" w:line="185"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Pactiv shall maintain a current copy of the Carrier’s Certificate of Insurance as hereinafter described. As Carriers’ insurance policies expire, Pactiv will seek a current copy of the Certificate of Insurance to confirm that the Carrier has maintained the minimum acceptable insurance levels as outlined below.</w:t>
      </w:r>
    </w:p>
    <w:p>
      <w:pPr>
        <w:sectPr>
          <w:pgSz w:w="11900" w:h="16838" w:orient="portrait"/>
          <w:cols w:equalWidth="0" w:num="1">
            <w:col w:w="11240"/>
          </w:cols>
          <w:pgMar w:left="320" w:top="1413" w:right="339" w:bottom="1440" w:gutter="0" w:footer="0" w:header="0"/>
        </w:sectPr>
      </w:pPr>
    </w:p>
    <w:bookmarkStart w:id="70" w:name="page71"/>
    <w:bookmarkEnd w:id="70"/>
    <w:p>
      <w:pPr>
        <w:ind w:left="652" w:hanging="328"/>
        <w:spacing w:after="0"/>
        <w:tabs>
          <w:tab w:leader="none" w:pos="652"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Safety.</w:t>
      </w:r>
      <w:r>
        <w:rPr>
          <w:rFonts w:ascii="Times New Roman" w:cs="Times New Roman" w:eastAsia="Times New Roman" w:hAnsi="Times New Roman"/>
          <w:sz w:val="18"/>
          <w:szCs w:val="18"/>
          <w:color w:val="auto"/>
        </w:rPr>
        <w:t xml:space="preserve"> Pactiv will require that Carriers maintain a safety rating that does not require DOT supervision or intervention.</w:t>
      </w:r>
    </w:p>
    <w:p>
      <w:pPr>
        <w:spacing w:after="0" w:line="252"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Operating Authority.</w:t>
      </w:r>
      <w:r>
        <w:rPr>
          <w:rFonts w:ascii="Times New Roman" w:cs="Times New Roman" w:eastAsia="Times New Roman" w:hAnsi="Times New Roman"/>
          <w:sz w:val="18"/>
          <w:szCs w:val="18"/>
          <w:color w:val="auto"/>
        </w:rPr>
        <w:t xml:space="preserve"> Pactiv will mandate that the Carrier maintain appropriate operating authority for the Carrier’s area of service.</w:t>
      </w:r>
    </w:p>
    <w:p>
      <w:pPr>
        <w:spacing w:after="0" w:line="252"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Financial Stability</w:t>
      </w:r>
      <w:r>
        <w:rPr>
          <w:rFonts w:ascii="Times New Roman" w:cs="Times New Roman" w:eastAsia="Times New Roman" w:hAnsi="Times New Roman"/>
          <w:sz w:val="18"/>
          <w:szCs w:val="18"/>
          <w:color w:val="auto"/>
        </w:rPr>
        <w:t>. Pactiv will require that the Carrier’s insurance provider have a minimum of Best’s A-rating.</w:t>
      </w:r>
    </w:p>
    <w:p>
      <w:pPr>
        <w:spacing w:after="0" w:line="252"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xml:space="preserve"> Pactiv may conduct reference checks and/or monitor performance to ensure that Carriers are meeting expected service requirements.</w:t>
      </w:r>
    </w:p>
    <w:p>
      <w:pPr>
        <w:spacing w:after="0" w:line="252"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xml:space="preserve"> Pactiv will require Carrier equipment to be in roadworthy condition, and suitable for the carriage of Reynolds’ Freight.</w:t>
      </w:r>
    </w:p>
    <w:p>
      <w:pPr>
        <w:spacing w:after="0" w:line="248" w:lineRule="exact"/>
        <w:rPr>
          <w:rFonts w:ascii="Times New Roman" w:cs="Times New Roman" w:eastAsia="Times New Roman" w:hAnsi="Times New Roman"/>
          <w:sz w:val="18"/>
          <w:szCs w:val="18"/>
          <w:b w:val="1"/>
          <w:bCs w:val="1"/>
          <w:color w:val="auto"/>
        </w:rPr>
      </w:pPr>
    </w:p>
    <w:p>
      <w:pPr>
        <w:jc w:val="both"/>
        <w:ind w:left="-8" w:firstLine="8"/>
        <w:spacing w:after="0" w:line="268" w:lineRule="auto"/>
        <w:tabs>
          <w:tab w:leader="none" w:pos="401"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Carrier Insurance</w:t>
      </w:r>
      <w:r>
        <w:rPr>
          <w:rFonts w:ascii="Times New Roman" w:cs="Times New Roman" w:eastAsia="Times New Roman" w:hAnsi="Times New Roman"/>
          <w:sz w:val="18"/>
          <w:szCs w:val="18"/>
          <w:color w:val="auto"/>
        </w:rPr>
        <w:t>. Pactiv will require Carriers that are engaged in the transportation of Reynolds’ Freight hereunder to maintain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minimum insurance coverage (which coverage will be evidenced by a certificate of insurance naming Reynolds as a certificate holder along with Pactiv) for shipments within the continental United States:</w:t>
      </w:r>
    </w:p>
    <w:p>
      <w:pPr>
        <w:spacing w:after="0" w:line="201" w:lineRule="exact"/>
        <w:rPr>
          <w:rFonts w:ascii="Times New Roman" w:cs="Times New Roman" w:eastAsia="Times New Roman" w:hAnsi="Times New Roman"/>
          <w:sz w:val="18"/>
          <w:szCs w:val="18"/>
          <w:b w:val="1"/>
          <w:bCs w:val="1"/>
          <w:color w:val="auto"/>
        </w:rPr>
      </w:pPr>
    </w:p>
    <w:p>
      <w:pPr>
        <w:ind w:left="652" w:right="20" w:hanging="328"/>
        <w:spacing w:after="0" w:line="282" w:lineRule="auto"/>
        <w:tabs>
          <w:tab w:leader="none" w:pos="652"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Commercial general and automobile liability insurance for bodily injury and property damage in the minimum amount of one million U.S. dollars ($1,000,000) per occurrence;</w:t>
      </w:r>
    </w:p>
    <w:p>
      <w:pPr>
        <w:spacing w:after="0" w:line="188"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Cargo liability insurance in the minimum amount of one hundred thousand U.S. dollars ($100,000) per occurrence;</w:t>
      </w:r>
    </w:p>
    <w:p>
      <w:pPr>
        <w:spacing w:after="0" w:line="252"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Workers’ compensation insurance in the minimum statutory amount; and</w:t>
      </w:r>
    </w:p>
    <w:p>
      <w:pPr>
        <w:spacing w:after="0" w:line="252"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Employers Liability Insurance with a limit of not less than $1,000,000 per accident.</w:t>
      </w:r>
    </w:p>
    <w:p>
      <w:pPr>
        <w:spacing w:after="0" w:line="248" w:lineRule="exact"/>
        <w:rPr>
          <w:rFonts w:ascii="Times New Roman" w:cs="Times New Roman" w:eastAsia="Times New Roman" w:hAnsi="Times New Roman"/>
          <w:sz w:val="18"/>
          <w:szCs w:val="18"/>
          <w:b w:val="1"/>
          <w:bCs w:val="1"/>
          <w:color w:val="auto"/>
        </w:rPr>
      </w:pPr>
    </w:p>
    <w:p>
      <w:pPr>
        <w:jc w:val="both"/>
        <w:ind w:left="-8" w:firstLine="8"/>
        <w:spacing w:after="0" w:line="259" w:lineRule="auto"/>
        <w:tabs>
          <w:tab w:leader="none" w:pos="3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Carrier Rates</w:t>
      </w:r>
      <w:r>
        <w:rPr>
          <w:rFonts w:ascii="Times New Roman" w:cs="Times New Roman" w:eastAsia="Times New Roman" w:hAnsi="Times New Roman"/>
          <w:sz w:val="18"/>
          <w:szCs w:val="18"/>
          <w:color w:val="auto"/>
        </w:rPr>
        <w:t>. Pactiv will establish the rates and charges for the Carrier's transportation and related services for the movement of Reynolds’s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provide information on such rates to Reynolds upon request. Pactiv will verify that all standard shipments are billed at the correct rates and Reynolds shall have the right to perform an audit of the standard freight charges not more than once annually. In the general course of business, Pactiv may also be required to spot quote shipments for Reynolds. Reynolds agrees to remain solely responsible for the all increased freight charges related to such spot quote shipments.</w:t>
      </w:r>
    </w:p>
    <w:p>
      <w:pPr>
        <w:spacing w:after="0" w:line="206" w:lineRule="exact"/>
        <w:rPr>
          <w:rFonts w:ascii="Times New Roman" w:cs="Times New Roman" w:eastAsia="Times New Roman" w:hAnsi="Times New Roman"/>
          <w:sz w:val="18"/>
          <w:szCs w:val="18"/>
          <w:b w:val="1"/>
          <w:bCs w:val="1"/>
          <w:color w:val="auto"/>
        </w:rPr>
      </w:pPr>
    </w:p>
    <w:p>
      <w:pPr>
        <w:jc w:val="both"/>
        <w:ind w:left="-8" w:firstLine="8"/>
        <w:spacing w:after="0" w:line="262" w:lineRule="auto"/>
        <w:tabs>
          <w:tab w:leader="none" w:pos="33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Charges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Pactiv shall be authorized to pay and bill Reynolds back for any applicable accessorial, storage or demurrage charges or other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incurred in the shipping of Reynolds products hereunder. In the event that demurrage, detention and other accessorial charges materially exceed historical norms for any month during the Term, Pactiv will reasonably cooperate with Reynolds in attempting to determine the reason for such excess and take commercially reasonable steps to reduce such charges.</w:t>
      </w:r>
    </w:p>
    <w:p>
      <w:pPr>
        <w:spacing w:after="0" w:line="203"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3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Carrier Payment</w:t>
      </w:r>
      <w:r>
        <w:rPr>
          <w:rFonts w:ascii="Times New Roman" w:cs="Times New Roman" w:eastAsia="Times New Roman" w:hAnsi="Times New Roman"/>
          <w:sz w:val="18"/>
          <w:szCs w:val="18"/>
          <w:color w:val="auto"/>
        </w:rPr>
        <w:t>. Pactiv will pay all Carrier charges on behalf of Reynolds through Pactiv’s third party freight payment agent. Such charges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shipping costs, accessorial costs and any other direct costs of performing the shipping of Reynolds’ Freight hereunder.</w:t>
      </w:r>
    </w:p>
    <w:p>
      <w:pPr>
        <w:spacing w:after="0" w:line="181" w:lineRule="exact"/>
        <w:rPr>
          <w:rFonts w:ascii="Times New Roman" w:cs="Times New Roman" w:eastAsia="Times New Roman" w:hAnsi="Times New Roman"/>
          <w:sz w:val="18"/>
          <w:szCs w:val="18"/>
          <w:b w:val="1"/>
          <w:bCs w:val="1"/>
          <w:color w:val="auto"/>
        </w:rPr>
      </w:pPr>
    </w:p>
    <w:p>
      <w:pPr>
        <w:ind w:left="412" w:hanging="412"/>
        <w:spacing w:after="0"/>
        <w:tabs>
          <w:tab w:leader="none" w:pos="412"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 Fees and Freight Costs</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jc w:val="both"/>
        <w:ind w:left="-8" w:firstLine="8"/>
        <w:spacing w:after="0" w:line="268" w:lineRule="auto"/>
        <w:tabs>
          <w:tab w:leader="none" w:pos="3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Service Fees</w:t>
      </w:r>
      <w:r>
        <w:rPr>
          <w:rFonts w:ascii="Times New Roman" w:cs="Times New Roman" w:eastAsia="Times New Roman" w:hAnsi="Times New Roman"/>
          <w:sz w:val="18"/>
          <w:szCs w:val="18"/>
          <w:color w:val="auto"/>
        </w:rPr>
        <w:t>. Pactiv will earn a Service Fee on each shipment scheduled by Pactiv on behalf of Reynolds under this Agreement. The phrase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will initially be [*] U.S. dollars ($[*]) per shipment. The Service Fee will increase by [*] percent ([*]%) on January 1 of each calendar year of the Term starting on January 1, 2021.</w:t>
      </w:r>
    </w:p>
    <w:p>
      <w:pPr>
        <w:sectPr>
          <w:pgSz w:w="11900" w:h="16838" w:orient="portrait"/>
          <w:cols w:equalWidth="0" w:num="1">
            <w:col w:w="11232"/>
          </w:cols>
          <w:pgMar w:left="328" w:top="1417" w:right="339" w:bottom="1440" w:gutter="0" w:footer="0" w:header="0"/>
        </w:sectPr>
      </w:pPr>
    </w:p>
    <w:bookmarkStart w:id="71" w:name="page72"/>
    <w:bookmarkEnd w:id="71"/>
    <w:p>
      <w:pPr>
        <w:jc w:val="both"/>
        <w:ind w:firstLine="8"/>
        <w:spacing w:after="0" w:line="262" w:lineRule="auto"/>
        <w:tabs>
          <w:tab w:leader="none" w:pos="33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Freight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Pactiv will be entitled to reimbursement by Reynolds for the Freight Cost incurred by Pactiv on each shipment scheduled by Pactiv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behalf of Reynolds under this Agreement. The phrase “</w:t>
      </w:r>
      <w:r>
        <w:rPr>
          <w:rFonts w:ascii="Times New Roman" w:cs="Times New Roman" w:eastAsia="Times New Roman" w:hAnsi="Times New Roman"/>
          <w:sz w:val="18"/>
          <w:szCs w:val="18"/>
          <w:u w:val="single" w:color="auto"/>
          <w:color w:val="auto"/>
        </w:rPr>
        <w:t>Freight Cost</w:t>
      </w:r>
      <w:r>
        <w:rPr>
          <w:rFonts w:ascii="Times New Roman" w:cs="Times New Roman" w:eastAsia="Times New Roman" w:hAnsi="Times New Roman"/>
          <w:sz w:val="18"/>
          <w:szCs w:val="18"/>
          <w:color w:val="auto"/>
        </w:rPr>
        <w:t>” will mean the actual amount charged Pactiv by the Carrier on a shipment to transport the goods from the point of origin to the point of destination, including, without limitation, all custom duties, taxes, fuel, detention and other surcharges, lumper fees and other expenses.</w:t>
      </w:r>
    </w:p>
    <w:p>
      <w:pPr>
        <w:spacing w:after="0" w:line="203"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Invoicing</w:t>
      </w:r>
      <w:r>
        <w:rPr>
          <w:rFonts w:ascii="Times New Roman" w:cs="Times New Roman" w:eastAsia="Times New Roman" w:hAnsi="Times New Roman"/>
          <w:sz w:val="18"/>
          <w:szCs w:val="18"/>
          <w:color w:val="auto"/>
        </w:rPr>
        <w:t>. Pactiv will invoice Reynolds for Service Fees and Freight Costs as follows:</w:t>
      </w:r>
    </w:p>
    <w:p>
      <w:pPr>
        <w:spacing w:after="0" w:line="256" w:lineRule="exact"/>
        <w:rPr>
          <w:rFonts w:ascii="Times New Roman" w:cs="Times New Roman" w:eastAsia="Times New Roman" w:hAnsi="Times New Roman"/>
          <w:sz w:val="18"/>
          <w:szCs w:val="18"/>
          <w:b w:val="1"/>
          <w:bCs w:val="1"/>
          <w:color w:val="auto"/>
        </w:rPr>
      </w:pPr>
    </w:p>
    <w:p>
      <w:pPr>
        <w:jc w:val="both"/>
        <w:ind w:left="660" w:right="20" w:hanging="328"/>
        <w:spacing w:after="0" w:line="258" w:lineRule="auto"/>
        <w:tabs>
          <w:tab w:leader="none" w:pos="648"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shipments scheduled by Pactiv on behalf of Reynolds under this Agreement prior to the SAP Separation date as identified in an updated SOP document agreed to by the Parties, Pactiv will invoice Reynolds for the Freight Services on a monthly basis within fifteen (15) days after each calendar month. The monthly invoice will include the Service Fees earned by Pactiv on all of the Reynolds shipments in a calendar month and the Freight Costs payable by Pactiv based on the Carrier invoices received by Pactiv or its freight payment agent in that calendar month for Reynolds shipments.</w:t>
      </w:r>
    </w:p>
    <w:p>
      <w:pPr>
        <w:spacing w:after="0" w:line="210"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48"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process for invoicing a shipment scheduled by Pactiv on behalf of Reynolds under this Agreement after the SAP Separation will be identified in an updated SOP document agreed to by the Parties.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invoices will be per the SOPs.</w:t>
      </w:r>
    </w:p>
    <w:p>
      <w:pPr>
        <w:spacing w:after="0" w:line="248" w:lineRule="exact"/>
        <w:rPr>
          <w:sz w:val="20"/>
          <w:szCs w:val="20"/>
          <w:color w:val="auto"/>
        </w:rPr>
      </w:pPr>
    </w:p>
    <w:p>
      <w:pPr>
        <w:ind w:left="400" w:hanging="392"/>
        <w:spacing w:after="0"/>
        <w:tabs>
          <w:tab w:leader="none" w:pos="40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Freight Loss Claims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ind w:firstLine="8"/>
        <w:spacing w:after="0" w:line="254" w:lineRule="auto"/>
        <w:tabs>
          <w:tab w:leader="none" w:pos="355"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file claims against Carriers with respect to loss of Reynolds’ Freight due to damage or destruction of such Freight caused by a Carrier in excess of [*] dollars ($[*]) (each, a “</w:t>
      </w:r>
      <w:r>
        <w:rPr>
          <w:rFonts w:ascii="Times New Roman" w:cs="Times New Roman" w:eastAsia="Times New Roman" w:hAnsi="Times New Roman"/>
          <w:sz w:val="18"/>
          <w:szCs w:val="18"/>
          <w:u w:val="single" w:color="auto"/>
          <w:color w:val="auto"/>
        </w:rPr>
        <w:t>Freight Claim</w:t>
      </w:r>
      <w:r>
        <w:rPr>
          <w:rFonts w:ascii="Times New Roman" w:cs="Times New Roman" w:eastAsia="Times New Roman" w:hAnsi="Times New Roman"/>
          <w:sz w:val="18"/>
          <w:szCs w:val="18"/>
          <w:color w:val="auto"/>
        </w:rPr>
        <w:t>”) to the extent that Pactiv becomes aware of such loss in a timely manner whether it is raised with Pactiv by Reynolds or otherwise. Pactiv will notify Reynolds of any Freight Claim filed against a Carrier for loss of Reynolds’ Freight. In order to file any Freight Claim, Pactiv must have: (i) a bill of lading or other shipping document noting the product damage and/or shortage, (ii) an inspection report describing the damage or inspection waiver by Carrier, (iii) an invoice or other documentation which establishes the value of the Freight Claim, and (iv) any other documentation which Pactiv reasonably requests. Reynolds hereby appoints Pactiv as its limited agent solely for the purposes set out in this Section 11. By way of clarification, Pactiv will not have to manage Freight Claims on Freight arranged by Reynolds or any of its Affiliates after October 31, 2020.</w:t>
      </w:r>
    </w:p>
    <w:p>
      <w:pPr>
        <w:spacing w:after="0" w:line="218"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334"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authorizes Pactiv to settle any Freight Claim for eighty percent (80%) or more of the value of the Freight Claim. In the event that the offer is less than 80%, Pactiv will confer with Reynolds as to whether Reynolds wants to manage the Freight Claim or permit Pactiv to complete the settlement on Reynolds’ behalf.</w:t>
      </w:r>
    </w:p>
    <w:p>
      <w:pPr>
        <w:spacing w:after="0" w:line="202" w:lineRule="exact"/>
        <w:rPr>
          <w:rFonts w:ascii="Times New Roman" w:cs="Times New Roman" w:eastAsia="Times New Roman" w:hAnsi="Times New Roman"/>
          <w:sz w:val="18"/>
          <w:szCs w:val="18"/>
          <w:b w:val="1"/>
          <w:bCs w:val="1"/>
          <w:color w:val="auto"/>
        </w:rPr>
      </w:pPr>
    </w:p>
    <w:p>
      <w:pPr>
        <w:ind w:left="300" w:hanging="292"/>
        <w:spacing w:after="0"/>
        <w:tabs>
          <w:tab w:leader="none" w:pos="3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payments resulting from a Freight Claim filed by Pactiv will be made payable to Pactiv.</w:t>
      </w:r>
    </w:p>
    <w:p>
      <w:pPr>
        <w:spacing w:after="0" w:line="252" w:lineRule="exact"/>
        <w:rPr>
          <w:rFonts w:ascii="Times New Roman" w:cs="Times New Roman" w:eastAsia="Times New Roman" w:hAnsi="Times New Roman"/>
          <w:sz w:val="18"/>
          <w:szCs w:val="18"/>
          <w:b w:val="1"/>
          <w:bCs w:val="1"/>
          <w:color w:val="auto"/>
        </w:rPr>
      </w:pPr>
    </w:p>
    <w:p>
      <w:pPr>
        <w:jc w:val="both"/>
        <w:ind w:firstLine="8"/>
        <w:spacing w:after="0" w:line="261" w:lineRule="auto"/>
        <w:tabs>
          <w:tab w:leader="none" w:pos="371"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 monthly basis, Pactiv will calculate Freight Claim payments received by Pactiv on behalf of Reynolds for the prior month (if any), and Pactiv will credit Reynolds monthly invoice for the amount of Freight Claim payments collected. Each month that there is any Freight Claims activity, at Reynolds request, Pactiv will prepare a monthly report of such activity, which report will show: (i) outstanding Freight Claims, (ii) Freight Claims filed that month, and (iii) Freight Claims closed that month and the reason therefore.</w:t>
      </w:r>
    </w:p>
    <w:p>
      <w:pPr>
        <w:spacing w:after="0" w:line="206"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38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will make a recommendation to Reynolds for the disposition of Freight Claims that are not voluntarily paid by the Carrier, but will not be obligated to take any action on behalf of Reynolds beyond filing the initial Freight Claim.</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61" w:lineRule="auto"/>
        <w:tabs>
          <w:tab w:leader="none" w:pos="298"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Pactiv is not authorized to allow any Carrier or insurance adjuster to salvage Reynolds’ goods without Reynolds’ written consent. A salvage allowance may be issued to Carriers in the event the Carrier is not permitted to keep the damaged goods. Pactiv may advise Reynolds on the percentage of salvage allowance to be given to the Carriers based on the product type and industry standard. Salvage allowance discounts must be reasonable and according to industry standard. Reynolds will make a final determination of the salvage allowance for each damage</w:t>
      </w:r>
    </w:p>
    <w:p>
      <w:pPr>
        <w:sectPr>
          <w:pgSz w:w="11900" w:h="16838" w:orient="portrait"/>
          <w:cols w:equalWidth="0" w:num="1">
            <w:col w:w="11240"/>
          </w:cols>
          <w:pgMar w:left="320" w:top="141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Freight Claim. In the event of any dispute over salvage allowances, Reynolds will manage such dispute with reasonable assistance from Pactiv.</w:t>
      </w:r>
    </w:p>
    <w:p>
      <w:pPr>
        <w:spacing w:after="0" w:line="252" w:lineRule="exact"/>
        <w:rPr>
          <w:sz w:val="20"/>
          <w:szCs w:val="20"/>
          <w:color w:val="auto"/>
        </w:rPr>
      </w:pPr>
    </w:p>
    <w:p>
      <w:pPr>
        <w:jc w:val="both"/>
        <w:ind w:firstLine="8"/>
        <w:spacing w:after="0" w:line="266" w:lineRule="auto"/>
        <w:tabs>
          <w:tab w:leader="none" w:pos="31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Freight Services Expiration Date (or sooner if Reynolds notifies Pactiv), Pactiv will stop filing Freight Claims on behalf of Reynolds but will continue to cooperate with Reynolds in providing Reynolds with any relevant information required by Reynolds to pursue its own Freight Claims against Carriers engaged by Pactiv on Reynolds behalf.</w:t>
      </w:r>
    </w:p>
    <w:p>
      <w:pPr>
        <w:spacing w:after="0" w:line="202"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325"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Reynolds shall be an express third party beneficiary of all commitments, representations, promises, covenants, indemnities, and obligations provided to Pactiv by Carriers under the agreements Pactiv enters into with Carriers pursuant to this Agreement, and Reynolds shall have the right to present Freight Claims arising from such commitments directly to Carrier as though Carrier had made such commitments directly to Reynolds.</w:t>
      </w:r>
    </w:p>
    <w:p>
      <w:pPr>
        <w:sectPr>
          <w:pgSz w:w="11900" w:h="16838" w:orient="portrait"/>
          <w:cols w:equalWidth="0" w:num="1">
            <w:col w:w="11240"/>
          </w:cols>
          <w:pgMar w:left="320" w:top="141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INSURANCE REQUIREMENTS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Party will maintain the following minimum types and amounts of insurance coverage during the Term:</w:t>
      </w:r>
    </w:p>
    <w:p>
      <w:pPr>
        <w:spacing w:after="0" w:line="248" w:lineRule="exact"/>
        <w:rPr>
          <w:sz w:val="20"/>
          <w:szCs w:val="20"/>
          <w:color w:val="auto"/>
        </w:rPr>
      </w:pPr>
    </w:p>
    <w:p>
      <w:pPr>
        <w:jc w:val="both"/>
        <w:ind w:firstLine="8"/>
        <w:spacing w:after="0" w:line="262" w:lineRule="auto"/>
        <w:tabs>
          <w:tab w:leader="none" w:pos="34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Commercial General Liability 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Occurrence based coverage with a combined single limit of at least $10,000,000 per occurrence and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aggregate for premises and operations; products and completed operations; contractual liability coverage for indemnities of a Party contained within this Agreement; broad form property damage (including completed operations); explosion, collapse and underground hazards; and personal injury. </w:t>
      </w:r>
      <w:r>
        <w:rPr>
          <w:rFonts w:ascii="Times New Roman" w:cs="Times New Roman" w:eastAsia="Times New Roman" w:hAnsi="Times New Roman"/>
          <w:sz w:val="18"/>
          <w:szCs w:val="18"/>
          <w:i w:val="1"/>
          <w:iCs w:val="1"/>
          <w:color w:val="auto"/>
        </w:rPr>
        <w:t>Requires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insured endorsement and waiver of subrogation endorsement.</w:t>
      </w:r>
    </w:p>
    <w:p>
      <w:pPr>
        <w:spacing w:after="0" w:line="203"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328"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Automobile Liability Insurance</w:t>
      </w:r>
      <w:r>
        <w:rPr>
          <w:rFonts w:ascii="Times New Roman" w:cs="Times New Roman" w:eastAsia="Times New Roman" w:hAnsi="Times New Roman"/>
          <w:sz w:val="18"/>
          <w:szCs w:val="18"/>
          <w:color w:val="auto"/>
        </w:rPr>
        <w:t>. Occurrence based coverage with a combined single limit of at least $10,000,000 per occurrence and in the aggregate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for owned, non-owned, and hired automotive equipment of the Party. </w:t>
      </w:r>
      <w:r>
        <w:rPr>
          <w:rFonts w:ascii="Times New Roman" w:cs="Times New Roman" w:eastAsia="Times New Roman" w:hAnsi="Times New Roman"/>
          <w:sz w:val="18"/>
          <w:szCs w:val="18"/>
          <w:i w:val="1"/>
          <w:iCs w:val="1"/>
          <w:color w:val="auto"/>
        </w:rPr>
        <w:t>Requires additional insured endorsement and waiver of subrogation endorsement.</w:t>
      </w:r>
    </w:p>
    <w:p>
      <w:pPr>
        <w:spacing w:after="0" w:line="181"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34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Workers’ Compensation Liability Insurance</w:t>
      </w:r>
      <w:r>
        <w:rPr>
          <w:rFonts w:ascii="Times New Roman" w:cs="Times New Roman" w:eastAsia="Times New Roman" w:hAnsi="Times New Roman"/>
          <w:sz w:val="18"/>
          <w:szCs w:val="18"/>
          <w:color w:val="auto"/>
        </w:rPr>
        <w:t>. Occurrence based coverage providing benefits in the minimal amount required by Applicable Laws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workplace and work related injuries and illnesses to the employees of a Party, including, without limitation, Workers Compensation Acts of applicable U.S. States. </w:t>
      </w:r>
      <w:r>
        <w:rPr>
          <w:rFonts w:ascii="Times New Roman" w:cs="Times New Roman" w:eastAsia="Times New Roman" w:hAnsi="Times New Roman"/>
          <w:sz w:val="18"/>
          <w:szCs w:val="18"/>
          <w:i w:val="1"/>
          <w:iCs w:val="1"/>
          <w:color w:val="auto"/>
        </w:rPr>
        <w:t>Requires alternate employer endorsement and waiver of subrogation endorsement.</w:t>
      </w:r>
    </w:p>
    <w:p>
      <w:pPr>
        <w:spacing w:after="0" w:line="197"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315"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Employers’ Liability 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Occurrence based coverage with a limit of at least $10,000,000 per occurrence or any greater limits set by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Laws workplace and work related injuries and illnesses to the employees of a Party. </w:t>
      </w:r>
      <w:r>
        <w:rPr>
          <w:rFonts w:ascii="Times New Roman" w:cs="Times New Roman" w:eastAsia="Times New Roman" w:hAnsi="Times New Roman"/>
          <w:sz w:val="18"/>
          <w:szCs w:val="18"/>
          <w:i w:val="1"/>
          <w:iCs w:val="1"/>
          <w:color w:val="auto"/>
        </w:rPr>
        <w:t>Requires waiver of alternate employer endorsement.</w:t>
      </w:r>
    </w:p>
    <w:p>
      <w:pPr>
        <w:spacing w:after="0" w:line="181"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328"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Property 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Coverage providing “</w:t>
      </w:r>
      <w:r>
        <w:rPr>
          <w:rFonts w:ascii="Times New Roman" w:cs="Times New Roman" w:eastAsia="Times New Roman" w:hAnsi="Times New Roman"/>
          <w:sz w:val="18"/>
          <w:szCs w:val="18"/>
          <w:i w:val="1"/>
          <w:iCs w:val="1"/>
          <w:color w:val="auto"/>
        </w:rPr>
        <w:t>all risk</w:t>
      </w:r>
      <w:r>
        <w:rPr>
          <w:rFonts w:ascii="Times New Roman" w:cs="Times New Roman" w:eastAsia="Times New Roman" w:hAnsi="Times New Roman"/>
          <w:sz w:val="18"/>
          <w:szCs w:val="18"/>
          <w:color w:val="auto"/>
        </w:rPr>
        <w:t>” property insurance at the replacement value of the machinery, equipment, fixtures, tools, materials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other property of the Party. “</w:t>
      </w:r>
      <w:r>
        <w:rPr>
          <w:rFonts w:ascii="Times New Roman" w:cs="Times New Roman" w:eastAsia="Times New Roman" w:hAnsi="Times New Roman"/>
          <w:sz w:val="18"/>
          <w:szCs w:val="18"/>
          <w:i w:val="1"/>
          <w:iCs w:val="1"/>
          <w:color w:val="auto"/>
        </w:rPr>
        <w:t>All risk</w:t>
      </w:r>
      <w:r>
        <w:rPr>
          <w:rFonts w:ascii="Times New Roman" w:cs="Times New Roman" w:eastAsia="Times New Roman" w:hAnsi="Times New Roman"/>
          <w:sz w:val="18"/>
          <w:szCs w:val="18"/>
          <w:color w:val="auto"/>
        </w:rPr>
        <w:t xml:space="preserve">” coverage will include, by way of example and not limitation, loss or damage resulting from earthquakes, floods, wind, fire or other natural or weather-related phenomenon. </w:t>
      </w:r>
      <w:r>
        <w:rPr>
          <w:rFonts w:ascii="Times New Roman" w:cs="Times New Roman" w:eastAsia="Times New Roman" w:hAnsi="Times New Roman"/>
          <w:sz w:val="18"/>
          <w:szCs w:val="18"/>
          <w:i w:val="1"/>
          <w:iCs w:val="1"/>
          <w:color w:val="auto"/>
        </w:rPr>
        <w:t>Requires waiver of subrogation endorsement.</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insurers of a Party on such policies must have at all times an A.M. Best financial rating of at least “</w:t>
      </w:r>
      <w:r>
        <w:rPr>
          <w:rFonts w:ascii="Times New Roman" w:cs="Times New Roman" w:eastAsia="Times New Roman" w:hAnsi="Times New Roman"/>
          <w:sz w:val="18"/>
          <w:szCs w:val="18"/>
          <w:i w:val="1"/>
          <w:iCs w:val="1"/>
          <w:color w:val="auto"/>
        </w:rPr>
        <w:t>A-Minus VII</w:t>
      </w:r>
      <w:r>
        <w:rPr>
          <w:rFonts w:ascii="Times New Roman" w:cs="Times New Roman" w:eastAsia="Times New Roman" w:hAnsi="Times New Roman"/>
          <w:sz w:val="18"/>
          <w:szCs w:val="18"/>
          <w:color w:val="auto"/>
        </w:rPr>
        <w:t>”. An insuring Party may satisfy the required minimum amounts of insurance through a primary policy and one or more excess policies. All insurance of an insuring Party must be “</w:t>
      </w:r>
      <w:r>
        <w:rPr>
          <w:rFonts w:ascii="Times New Roman" w:cs="Times New Roman" w:eastAsia="Times New Roman" w:hAnsi="Times New Roman"/>
          <w:sz w:val="18"/>
          <w:szCs w:val="18"/>
          <w:i w:val="1"/>
          <w:i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non-contributory</w:t>
      </w:r>
      <w:r>
        <w:rPr>
          <w:rFonts w:ascii="Times New Roman" w:cs="Times New Roman" w:eastAsia="Times New Roman" w:hAnsi="Times New Roman"/>
          <w:sz w:val="18"/>
          <w:szCs w:val="18"/>
          <w:color w:val="auto"/>
        </w:rPr>
        <w:t>” with respect to any insurance that the other Party may maintain, but only with respect to the negligence or other legal liability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insuring Party. An insuring Party must deliver the following written evidence of the required insurance coverage to the other Party (Attention: Risk Management), or its designated insurance monitoring service, within ten (10) of written request and at least thirty (30) days in advance of the expiration of a then current policy term (if a declaration or endorsement is not available from an insurer at the time requested or required, an insuring Party will provide them as soon as they are available from the insurer):</w:t>
      </w:r>
    </w:p>
    <w:p>
      <w:pPr>
        <w:spacing w:after="0" w:line="212" w:lineRule="exact"/>
        <w:rPr>
          <w:sz w:val="20"/>
          <w:szCs w:val="20"/>
          <w:color w:val="auto"/>
        </w:rPr>
      </w:pPr>
    </w:p>
    <w:p>
      <w:pPr>
        <w:ind w:left="320" w:hanging="312"/>
        <w:spacing w:after="0"/>
        <w:tabs>
          <w:tab w:leader="none" w:pos="3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Certificate of insurance confirming that the required insurance coverage and minimal limits are met for policy term.</w:t>
      </w:r>
    </w:p>
    <w:p>
      <w:pPr>
        <w:spacing w:after="0" w:line="252"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43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Declaration pages of insurance policy (or a copy of the binder until the declaration pages are available) confirming that the required insurance coverage and minimal limits are met for the extended, renewed or replacement policy term.</w:t>
      </w:r>
    </w:p>
    <w:p>
      <w:pPr>
        <w:spacing w:after="0" w:line="186" w:lineRule="exact"/>
        <w:rPr>
          <w:rFonts w:ascii="Times New Roman" w:cs="Times New Roman" w:eastAsia="Times New Roman" w:hAnsi="Times New Roman"/>
          <w:sz w:val="18"/>
          <w:szCs w:val="18"/>
          <w:b w:val="1"/>
          <w:bCs w:val="1"/>
          <w:color w:val="auto"/>
        </w:rPr>
      </w:pPr>
    </w:p>
    <w:p>
      <w:pPr>
        <w:jc w:val="both"/>
        <w:ind w:right="20" w:firstLine="8"/>
        <w:spacing w:after="0" w:line="267" w:lineRule="auto"/>
        <w:tabs>
          <w:tab w:leader="none" w:pos="386"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Copies of additional insured endorsements required for applicable policies in the name and for the benefit of: “[NAME OF OTHER PARTY]</w:t>
      </w:r>
      <w:r>
        <w:rPr>
          <w:rFonts w:ascii="Times New Roman" w:cs="Times New Roman" w:eastAsia="Times New Roman" w:hAnsi="Times New Roman"/>
          <w:sz w:val="18"/>
          <w:szCs w:val="18"/>
          <w:i w:val="1"/>
          <w:iCs w:val="1"/>
          <w:color w:val="auto"/>
        </w:rPr>
        <w:t>,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parent, subsidiaries and affiliates; any lessors of the foregoing and any mortgagees, deed of trust beneficiaries and secured creditors of such lessors; and any successors and assignees of all of the foregoing.</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b w:val="1"/>
          <w:bCs w:val="1"/>
          <w:color w:val="auto"/>
        </w:rPr>
      </w:pPr>
    </w:p>
    <w:p>
      <w:pPr>
        <w:ind w:right="20" w:firstLine="8"/>
        <w:spacing w:after="0" w:line="282" w:lineRule="auto"/>
        <w:tabs>
          <w:tab w:leader="none" w:pos="325"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Copies of alternate employer endorsements and waiver of subrogation endorsements required for applicable policies in the name and for the benefit of: ““[NAME OF OTHER PARTY]</w:t>
      </w:r>
      <w:r>
        <w:rPr>
          <w:rFonts w:ascii="Times New Roman" w:cs="Times New Roman" w:eastAsia="Times New Roman" w:hAnsi="Times New Roman"/>
          <w:sz w:val="18"/>
          <w:szCs w:val="18"/>
          <w:i w:val="1"/>
          <w:iCs w:val="1"/>
          <w:color w:val="auto"/>
        </w:rPr>
        <w:t>, its parent, subsidiaries and affiliates;</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any lessors of the foregoing and any mortgagees, deed of trust beneficiaries and secured creditors of such lessors; and any successors and assignees of all of the foregoing.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Party may maintain any level of deductible on required insurance coverage allowed by Applicable Laws. A Party may also self-insure any of the required insurance coverage, in whole or in part, if allowed by Applicable Laws during any period that the Party maintains a tangible net worth in excess of $100 million USD and maintains a professionally managed and adequately reserved for and funded self-insurance program.</w:t>
      </w:r>
    </w:p>
    <w:p>
      <w:pPr>
        <w:sectPr>
          <w:pgSz w:w="11900" w:h="16838" w:orient="portrait"/>
          <w:cols w:equalWidth="0" w:num="1">
            <w:col w:w="11240"/>
          </w:cols>
          <w:pgMar w:left="320" w:top="141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WAREHOUSING AND FREIGHT SERVICES AGREEMENT</w:t>
      </w: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AMENDMENT TO THE </w:t>
      </w:r>
      <w:r>
        <w:rPr>
          <w:rFonts w:ascii="Times New Roman" w:cs="Times New Roman" w:eastAsia="Times New Roman" w:hAnsi="Times New Roman"/>
          <w:sz w:val="18"/>
          <w:szCs w:val="18"/>
          <w:b w:val="1"/>
          <w:bCs w:val="1"/>
          <w:color w:val="auto"/>
        </w:rPr>
        <w:t>WAREHOUSING AND FREIGHT SERVICES AGREEMENT</w:t>
      </w:r>
      <w:r>
        <w:rPr>
          <w:rFonts w:ascii="Times New Roman" w:cs="Times New Roman" w:eastAsia="Times New Roman" w:hAnsi="Times New Roman"/>
          <w:sz w:val="18"/>
          <w:szCs w:val="18"/>
          <w:color w:val="auto"/>
        </w:rPr>
        <w:t xml:space="preserve"> (the “Amendment”) is made and entered into as of November 16, 2021, by and between </w:t>
      </w:r>
      <w:r>
        <w:rPr>
          <w:rFonts w:ascii="Times New Roman" w:cs="Times New Roman" w:eastAsia="Times New Roman" w:hAnsi="Times New Roman"/>
          <w:sz w:val="18"/>
          <w:szCs w:val="18"/>
          <w:b w:val="1"/>
          <w:bCs w:val="1"/>
          <w:color w:val="auto"/>
        </w:rPr>
        <w:t>PACTIV LLC</w:t>
      </w:r>
      <w:r>
        <w:rPr>
          <w:rFonts w:ascii="Times New Roman" w:cs="Times New Roman" w:eastAsia="Times New Roman" w:hAnsi="Times New Roman"/>
          <w:sz w:val="18"/>
          <w:szCs w:val="18"/>
          <w:color w:val="auto"/>
        </w:rPr>
        <w:t xml:space="preserve">, a Delaware limited liability company (“Pactiv”), and </w:t>
      </w:r>
      <w:r>
        <w:rPr>
          <w:rFonts w:ascii="Times New Roman" w:cs="Times New Roman" w:eastAsia="Times New Roman" w:hAnsi="Times New Roman"/>
          <w:sz w:val="18"/>
          <w:szCs w:val="18"/>
          <w:b w:val="1"/>
          <w:bCs w:val="1"/>
          <w:color w:val="auto"/>
        </w:rPr>
        <w:t>REYNOLDS CONSUMER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PRODUCTS, LLC</w:t>
      </w:r>
      <w:r>
        <w:rPr>
          <w:rFonts w:ascii="Times New Roman" w:cs="Times New Roman" w:eastAsia="Times New Roman" w:hAnsi="Times New Roman"/>
          <w:sz w:val="18"/>
          <w:szCs w:val="18"/>
          <w:color w:val="auto"/>
        </w:rPr>
        <w:t>, a Delaware limited liability company, (“Reynolds”) (collectively referred to as the “Parties”)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Pactiv and Reynolds entered into the Warehousing and Freight Services Agreement dated November 1, 2019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provision of warehousing and freight services at certain locations that are owned or leased by Pactiv or its Affiliates (herein after “Warehouse(s)”).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Pactiv and Reynolds desire to amend the lease terms and make other modifications as set forth herein; and,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capitalized terms not otherwise defined herein shall have the meaning ascribed to them in the Agreement.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hereto agree to amend the Agreement as follows:</w:t>
      </w:r>
    </w:p>
    <w:p>
      <w:pPr>
        <w:spacing w:after="0" w:line="256" w:lineRule="exact"/>
        <w:rPr>
          <w:sz w:val="20"/>
          <w:szCs w:val="20"/>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1-A of the Agreement will be amended to remove the San Bernardino, California Warehouse location. The warehouse services for that location will be terminated effective [*].</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termination of the warehouse services for the Warehouse above, Pactiv will continue to supply Reynolds certain good packaging and foodservice products (“Pactiv Products”) under the Master Supply Agreement dated November 1, 2019, and provide freight services to arrange for the shipment of Pactiv Products at the aforementioned Warehouse location.</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Service Expiration Date as listed in Exhibit 1-A, for the Bakersfield, California warehouse location shall be extended beginning on [*] through and including, [*].</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said Agreement as supplemented, shall remain in full force and effect. To the extent of any conflict between the terms and conditions of said Agreement and this Amendment, the terms and conditions of this Amendment shall supersede and control.</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Amendment to be executed as of the day and year first written above.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ectPr>
          <w:pgSz w:w="11900" w:h="16838" w:orient="portrait"/>
          <w:cols w:equalWidth="0" w:num="1">
            <w:col w:w="11240"/>
          </w:cols>
          <w:pgMar w:left="320" w:top="1413"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Reynolds Consumer Products, LLC</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Pactiv, LLC</w:t>
            </w:r>
          </w:p>
        </w:tc>
      </w:tr>
      <w:tr>
        <w:trPr>
          <w:trHeight w:val="418"/>
        </w:trPr>
        <w:tc>
          <w:tcPr>
            <w:tcW w:w="2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 Lance Mitchell</w:t>
            </w:r>
          </w:p>
        </w:tc>
        <w:tc>
          <w:tcPr>
            <w:tcW w:w="418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By /s/ Chandra Mitchell</w:t>
            </w:r>
          </w:p>
        </w:tc>
      </w:tr>
      <w:tr>
        <w:trPr>
          <w:trHeight w:val="20"/>
        </w:trPr>
        <w:tc>
          <w:tcPr>
            <w:tcW w:w="26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Printed Name:  Lance Mitchell</w:t>
            </w:r>
          </w:p>
        </w:tc>
        <w:tc>
          <w:tcPr>
            <w:tcW w:w="60" w:type="dxa"/>
            <w:vAlign w:val="bottom"/>
          </w:tcPr>
          <w:p>
            <w:pPr>
              <w:spacing w:after="0"/>
              <w:rPr>
                <w:sz w:val="17"/>
                <w:szCs w:val="17"/>
                <w:color w:val="auto"/>
              </w:rPr>
            </w:pPr>
          </w:p>
        </w:tc>
        <w:tc>
          <w:tcPr>
            <w:tcW w:w="3460" w:type="dxa"/>
            <w:vAlign w:val="bottom"/>
            <w:gridSpan w:val="6"/>
          </w:tcPr>
          <w:p>
            <w:pPr>
              <w:ind w:left="180"/>
              <w:spacing w:after="0" w:line="196" w:lineRule="exact"/>
              <w:rPr>
                <w:sz w:val="20"/>
                <w:szCs w:val="20"/>
                <w:color w:val="auto"/>
              </w:rPr>
            </w:pPr>
            <w:r>
              <w:rPr>
                <w:rFonts w:ascii="Times New Roman" w:cs="Times New Roman" w:eastAsia="Times New Roman" w:hAnsi="Times New Roman"/>
                <w:sz w:val="18"/>
                <w:szCs w:val="18"/>
                <w:color w:val="auto"/>
              </w:rPr>
              <w:t>Printed Name:  Chandra Mitchell</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1660" w:type="dxa"/>
            <w:vAlign w:val="bottom"/>
            <w:gridSpan w:val="5"/>
          </w:tcPr>
          <w:p>
            <w:pPr>
              <w:ind w:left="100"/>
              <w:spacing w:after="0" w:line="196" w:lineRule="exact"/>
              <w:rPr>
                <w:sz w:val="20"/>
                <w:szCs w:val="20"/>
                <w:color w:val="auto"/>
              </w:rPr>
            </w:pPr>
            <w:r>
              <w:rPr>
                <w:rFonts w:ascii="Times New Roman" w:cs="Times New Roman" w:eastAsia="Times New Roman" w:hAnsi="Times New Roman"/>
                <w:sz w:val="18"/>
                <w:szCs w:val="18"/>
                <w:color w:val="auto"/>
              </w:rPr>
              <w:t>President and CEO</w:t>
            </w:r>
          </w:p>
        </w:tc>
        <w:tc>
          <w:tcPr>
            <w:tcW w:w="360" w:type="dxa"/>
            <w:vAlign w:val="bottom"/>
          </w:tcPr>
          <w:p>
            <w:pPr>
              <w:spacing w:after="0"/>
              <w:rPr>
                <w:sz w:val="17"/>
                <w:szCs w:val="17"/>
                <w:color w:val="auto"/>
              </w:rPr>
            </w:pPr>
          </w:p>
        </w:tc>
        <w:tc>
          <w:tcPr>
            <w:tcW w:w="3820" w:type="dxa"/>
            <w:vAlign w:val="bottom"/>
            <w:gridSpan w:val="9"/>
          </w:tcPr>
          <w:p>
            <w:pPr>
              <w:ind w:left="160"/>
              <w:spacing w:after="0" w:line="196" w:lineRule="exact"/>
              <w:rPr>
                <w:sz w:val="20"/>
                <w:szCs w:val="20"/>
                <w:color w:val="auto"/>
              </w:rPr>
            </w:pPr>
            <w:r>
              <w:rPr>
                <w:rFonts w:ascii="Times New Roman" w:cs="Times New Roman" w:eastAsia="Times New Roman" w:hAnsi="Times New Roman"/>
                <w:sz w:val="18"/>
                <w:szCs w:val="18"/>
                <w:color w:val="auto"/>
              </w:rPr>
              <w:t>Title:  Chief Legal Officer &amp; Corporate Secretary</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900" w:type="dxa"/>
            <w:vAlign w:val="bottom"/>
            <w:gridSpan w:val="3"/>
            <w:shd w:val="clear" w:color="auto" w:fill="000000"/>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1280" w:type="dxa"/>
            <w:vAlign w:val="bottom"/>
            <w:gridSpan w:val="3"/>
          </w:tcPr>
          <w:p>
            <w:pPr>
              <w:ind w:left="100"/>
              <w:spacing w:after="0" w:line="196" w:lineRule="exact"/>
              <w:rPr>
                <w:sz w:val="20"/>
                <w:szCs w:val="20"/>
                <w:color w:val="auto"/>
              </w:rPr>
            </w:pPr>
            <w:r>
              <w:rPr>
                <w:rFonts w:ascii="Times New Roman" w:cs="Times New Roman" w:eastAsia="Times New Roman" w:hAnsi="Times New Roman"/>
                <w:sz w:val="18"/>
                <w:szCs w:val="18"/>
                <w:color w:val="auto"/>
              </w:rPr>
              <w:t>11/24/2021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3"/>
          </w:tcPr>
          <w:p>
            <w:pPr>
              <w:ind w:left="160"/>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3520" w:type="dxa"/>
            <w:vAlign w:val="bottom"/>
            <w:gridSpan w:val="7"/>
          </w:tcPr>
          <w:p>
            <w:pPr>
              <w:ind w:left="60"/>
              <w:spacing w:after="0" w:line="196" w:lineRule="exact"/>
              <w:rPr>
                <w:sz w:val="20"/>
                <w:szCs w:val="20"/>
                <w:color w:val="auto"/>
              </w:rPr>
            </w:pPr>
            <w:r>
              <w:rPr>
                <w:rFonts w:ascii="Times New Roman" w:cs="Times New Roman" w:eastAsia="Times New Roman" w:hAnsi="Times New Roman"/>
                <w:sz w:val="18"/>
                <w:szCs w:val="18"/>
                <w:color w:val="auto"/>
              </w:rPr>
              <w:t>16 November 2021</w:t>
            </w: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ectPr>
          <w:pgSz w:w="11900" w:h="16838" w:orient="portrait"/>
          <w:cols w:equalWidth="0" w:num="1">
            <w:col w:w="10139"/>
          </w:cols>
          <w:pgMar w:left="320" w:top="1413"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 TO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WAREHOUSING AND FREIGHT SERVICES AGREEMENT</w:t>
      </w: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AMENDMENT TO THE </w:t>
      </w:r>
      <w:r>
        <w:rPr>
          <w:rFonts w:ascii="Times New Roman" w:cs="Times New Roman" w:eastAsia="Times New Roman" w:hAnsi="Times New Roman"/>
          <w:sz w:val="18"/>
          <w:szCs w:val="18"/>
          <w:b w:val="1"/>
          <w:bCs w:val="1"/>
          <w:color w:val="auto"/>
        </w:rPr>
        <w:t>WAREHOUSING AND FREIGHT SERVICES AGREEMENT</w:t>
      </w:r>
      <w:r>
        <w:rPr>
          <w:rFonts w:ascii="Times New Roman" w:cs="Times New Roman" w:eastAsia="Times New Roman" w:hAnsi="Times New Roman"/>
          <w:sz w:val="18"/>
          <w:szCs w:val="18"/>
          <w:color w:val="auto"/>
        </w:rPr>
        <w:t xml:space="preserve"> (the “Amendment”) is made and entered into as of May 12, 2022, by and between </w:t>
      </w:r>
      <w:r>
        <w:rPr>
          <w:rFonts w:ascii="Times New Roman" w:cs="Times New Roman" w:eastAsia="Times New Roman" w:hAnsi="Times New Roman"/>
          <w:sz w:val="18"/>
          <w:szCs w:val="18"/>
          <w:b w:val="1"/>
          <w:bCs w:val="1"/>
          <w:color w:val="auto"/>
        </w:rPr>
        <w:t>PACTIV LLC</w:t>
      </w:r>
      <w:r>
        <w:rPr>
          <w:rFonts w:ascii="Times New Roman" w:cs="Times New Roman" w:eastAsia="Times New Roman" w:hAnsi="Times New Roman"/>
          <w:sz w:val="18"/>
          <w:szCs w:val="18"/>
          <w:color w:val="auto"/>
        </w:rPr>
        <w:t xml:space="preserve">, a Delaware limited liability company (“Pactiv”), and </w:t>
      </w:r>
      <w:r>
        <w:rPr>
          <w:rFonts w:ascii="Times New Roman" w:cs="Times New Roman" w:eastAsia="Times New Roman" w:hAnsi="Times New Roman"/>
          <w:sz w:val="18"/>
          <w:szCs w:val="18"/>
          <w:b w:val="1"/>
          <w:bCs w:val="1"/>
          <w:color w:val="auto"/>
        </w:rPr>
        <w:t>REYNOLDS CONSUMER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 Delaware limited liability company, (“Reynolds”) (collectively referred to as the “Parties”).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Pactiv and Reynolds entered into the Warehousing and Freight Services Agreement dated November 1, 2019, as amended by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Amendment No. 1 to the Warehousing and Freight Services Agreement, (the “Agreement”), relating to the provision of warehousing and freight services at certain locations that are owned or leased by Pactiv or its Affiliates (herein after “Warehouse(s)”).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Pactiv and Reynolds desire to amend the terms and make other modifications as set forth herein; and,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capitalized terms not otherwise defined herein shall have the meaning ascribed to them in the Agreement.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hereto agree to amend the Agreement as follows:</w:t>
      </w:r>
    </w:p>
    <w:p>
      <w:pPr>
        <w:spacing w:after="0" w:line="256"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Agreement and the Warehouse Service Period shall be extended through and including December 31, 2024.</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Warehouse locations as listed in Schedule 1-A – Warehouse Service Period shall be amended as follows and replaced with an updated Schedule 1-A attached hereto:</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warehouse services for the Covington, GA and Frankfort, IL Warehouse locations shall roll off Schedule 1-A on their respective Service Expiration Date.</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Service Expiration Date for the Canandaigua, NY warehouse location shall be extended beginning on [*] through and including, [*].</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Service Expiration Date for the Temple, TX warehouse location shall be extended beginning on [*] through and including, [*].</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Service Expiration Date for the Bakersfield, CA warehouse location (previously extended in Amendment No. 1) shall be further extended through and including, [*].</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termination of the warehouse services for the Warehouse locations, Pactiv will continue to provide freight services to arrange for the shipment of Pactiv Products, and supply Reynolds certain food packaging and foodservice products (“Pactiv Products”) under the Master Supply Agreement dated November 1, 2019 for all Warehouse locations in Schedule 1-A and the San Bernardino, CA location as provided in Amendment No. 1 to the Agreement.</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this Amendment is conditioned upon the approval of its terms by the Audit Committees of the Parties.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said Agreement as supplemented, shall remain in full force and effect. To the extent of any conflict between the terms and conditions of said Agreement and this Amendment, the terms and conditions of this Amendment shall supersede and control.</w:t>
      </w:r>
    </w:p>
    <w:p>
      <w:pPr>
        <w:sectPr>
          <w:pgSz w:w="11900" w:h="16838" w:orient="portrait"/>
          <w:cols w:equalWidth="0" w:num="1">
            <w:col w:w="11240"/>
          </w:cols>
          <w:pgMar w:left="320" w:top="1413" w:right="339" w:bottom="1440" w:gutter="0" w:footer="0" w:header="0"/>
        </w:sectPr>
      </w:pPr>
    </w:p>
    <w:bookmarkStart w:id="78" w:name="page79"/>
    <w:bookmarkEnd w:id="78"/>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Amendment to be executed as of the day and year first written above.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Reynolds Consumer Products, LLC</w:t>
            </w:r>
          </w:p>
        </w:tc>
        <w:tc>
          <w:tcPr>
            <w:tcW w:w="46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Pactiv, LLC</w:t>
            </w:r>
          </w:p>
        </w:tc>
      </w:tr>
      <w:tr>
        <w:trPr>
          <w:trHeight w:val="418"/>
        </w:trPr>
        <w:tc>
          <w:tcPr>
            <w:tcW w:w="2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/s/ Lance Mitchell</w:t>
            </w:r>
          </w:p>
        </w:tc>
        <w:tc>
          <w:tcPr>
            <w:tcW w:w="35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By /s/ Chandra Mitchell</w:t>
            </w:r>
          </w:p>
        </w:tc>
      </w:tr>
      <w:tr>
        <w:trPr>
          <w:trHeight w:val="20"/>
        </w:trPr>
        <w:tc>
          <w:tcPr>
            <w:tcW w:w="26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Printed Name:  Lance Mitchell</w:t>
            </w:r>
          </w:p>
        </w:tc>
        <w:tc>
          <w:tcPr>
            <w:tcW w:w="2860" w:type="dxa"/>
            <w:vAlign w:val="bottom"/>
            <w:gridSpan w:val="6"/>
          </w:tcPr>
          <w:p>
            <w:pPr>
              <w:ind w:left="260"/>
              <w:spacing w:after="0" w:line="196" w:lineRule="exact"/>
              <w:rPr>
                <w:sz w:val="20"/>
                <w:szCs w:val="20"/>
                <w:color w:val="auto"/>
              </w:rPr>
            </w:pPr>
            <w:r>
              <w:rPr>
                <w:rFonts w:ascii="Times New Roman" w:cs="Times New Roman" w:eastAsia="Times New Roman" w:hAnsi="Times New Roman"/>
                <w:sz w:val="18"/>
                <w:szCs w:val="18"/>
                <w:color w:val="auto"/>
              </w:rPr>
              <w:t>Printed Name:  Chandra Mitchell</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1660" w:type="dxa"/>
            <w:vAlign w:val="bottom"/>
            <w:gridSpan w:val="5"/>
          </w:tcPr>
          <w:p>
            <w:pPr>
              <w:ind w:left="100"/>
              <w:spacing w:after="0" w:line="196" w:lineRule="exact"/>
              <w:rPr>
                <w:sz w:val="20"/>
                <w:szCs w:val="20"/>
                <w:color w:val="auto"/>
              </w:rPr>
            </w:pPr>
            <w:r>
              <w:rPr>
                <w:rFonts w:ascii="Times New Roman" w:cs="Times New Roman" w:eastAsia="Times New Roman" w:hAnsi="Times New Roman"/>
                <w:sz w:val="18"/>
                <w:szCs w:val="18"/>
                <w:color w:val="auto"/>
              </w:rPr>
              <w:t>President and CEO</w:t>
            </w:r>
          </w:p>
        </w:tc>
        <w:tc>
          <w:tcPr>
            <w:tcW w:w="360" w:type="dxa"/>
            <w:vAlign w:val="bottom"/>
          </w:tcPr>
          <w:p>
            <w:pPr>
              <w:spacing w:after="0"/>
              <w:rPr>
                <w:sz w:val="17"/>
                <w:szCs w:val="17"/>
                <w:color w:val="auto"/>
              </w:rPr>
            </w:pPr>
          </w:p>
        </w:tc>
        <w:tc>
          <w:tcPr>
            <w:tcW w:w="3140" w:type="dxa"/>
            <w:vAlign w:val="bottom"/>
            <w:gridSpan w:val="7"/>
          </w:tcPr>
          <w:p>
            <w:pPr>
              <w:ind w:left="160"/>
              <w:spacing w:after="0" w:line="196" w:lineRule="exact"/>
              <w:rPr>
                <w:sz w:val="20"/>
                <w:szCs w:val="20"/>
                <w:color w:val="auto"/>
              </w:rPr>
            </w:pPr>
            <w:r>
              <w:rPr>
                <w:rFonts w:ascii="Times New Roman" w:cs="Times New Roman" w:eastAsia="Times New Roman" w:hAnsi="Times New Roman"/>
                <w:sz w:val="18"/>
                <w:szCs w:val="18"/>
                <w:color w:val="auto"/>
              </w:rPr>
              <w:t>Title:  VP, General Counsel &amp; Secretary</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196"/>
        </w:trPr>
        <w:tc>
          <w:tcPr>
            <w:tcW w:w="4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1180" w:type="dxa"/>
            <w:vAlign w:val="bottom"/>
            <w:gridSpan w:val="3"/>
          </w:tcPr>
          <w:p>
            <w:pPr>
              <w:ind w:left="100"/>
              <w:spacing w:after="0" w:line="196" w:lineRule="exact"/>
              <w:rPr>
                <w:sz w:val="20"/>
                <w:szCs w:val="20"/>
                <w:color w:val="auto"/>
              </w:rPr>
            </w:pPr>
            <w:r>
              <w:rPr>
                <w:rFonts w:ascii="Times New Roman" w:cs="Times New Roman" w:eastAsia="Times New Roman" w:hAnsi="Times New Roman"/>
                <w:sz w:val="18"/>
                <w:szCs w:val="18"/>
                <w:color w:val="auto"/>
              </w:rPr>
              <w:t>5/12/2022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1180" w:type="dxa"/>
            <w:vAlign w:val="bottom"/>
            <w:gridSpan w:val="2"/>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w w:val="96"/>
              </w:rPr>
              <w:t>6/7/2023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280"/>
          </w:cols>
          <w:pgMar w:left="320" w:top="1440" w:right="1299" w:bottom="1440" w:gutter="0" w:footer="0" w:header="0"/>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SCHEDULE 1-A WAREHOUSES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820" w:type="dxa"/>
            <w:vAlign w:val="bottom"/>
            <w:tcBorders>
              <w:top w:val="single" w:sz="8" w:color="auto"/>
              <w:left w:val="single" w:sz="8" w:color="auto"/>
              <w:right w:val="single" w:sz="8" w:color="auto"/>
            </w:tcBorders>
          </w:tcPr>
          <w:p>
            <w:pPr>
              <w:ind w:left="80"/>
              <w:spacing w:after="0" w:line="151" w:lineRule="exact"/>
              <w:rPr>
                <w:sz w:val="20"/>
                <w:szCs w:val="20"/>
                <w:color w:val="auto"/>
              </w:rPr>
            </w:pPr>
            <w:r>
              <w:rPr>
                <w:rFonts w:ascii="Times New Roman" w:cs="Times New Roman" w:eastAsia="Times New Roman" w:hAnsi="Times New Roman"/>
                <w:sz w:val="14"/>
                <w:szCs w:val="14"/>
                <w:b w:val="1"/>
                <w:bCs w:val="1"/>
                <w:color w:val="auto"/>
              </w:rPr>
              <w:t>Warehouse Location</w:t>
            </w:r>
          </w:p>
        </w:tc>
        <w:tc>
          <w:tcPr>
            <w:tcW w:w="102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Hours of</w:t>
            </w:r>
          </w:p>
        </w:tc>
        <w:tc>
          <w:tcPr>
            <w:tcW w:w="114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Owned or</w:t>
            </w:r>
          </w:p>
        </w:tc>
        <w:tc>
          <w:tcPr>
            <w:tcW w:w="124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34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Base Storage</w:t>
            </w:r>
          </w:p>
        </w:tc>
        <w:tc>
          <w:tcPr>
            <w:tcW w:w="124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Base Storage Fee</w:t>
            </w:r>
          </w:p>
        </w:tc>
        <w:tc>
          <w:tcPr>
            <w:tcW w:w="108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tcBorders>
              <w:top w:val="single" w:sz="8" w:color="auto"/>
              <w:right w:val="single" w:sz="8" w:color="auto"/>
            </w:tcBorders>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Additional Storage</w:t>
            </w:r>
          </w:p>
        </w:tc>
      </w:tr>
      <w:tr>
        <w:trPr>
          <w:trHeight w:val="146"/>
        </w:trPr>
        <w:tc>
          <w:tcPr>
            <w:tcW w:w="182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Operation</w:t>
            </w:r>
          </w:p>
        </w:tc>
        <w:tc>
          <w:tcPr>
            <w:tcW w:w="114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Leased by Pactiv</w:t>
            </w:r>
          </w:p>
        </w:tc>
        <w:tc>
          <w:tcPr>
            <w:tcW w:w="124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134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Capacity in Cubic</w:t>
            </w:r>
          </w:p>
        </w:tc>
        <w:tc>
          <w:tcPr>
            <w:tcW w:w="124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per Month in USD</w:t>
            </w:r>
          </w:p>
        </w:tc>
        <w:tc>
          <w:tcPr>
            <w:tcW w:w="108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Storage</w:t>
            </w:r>
          </w:p>
        </w:tc>
        <w:tc>
          <w:tcPr>
            <w:tcW w:w="110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Storage Fee per</w:t>
            </w:r>
          </w:p>
        </w:tc>
        <w:tc>
          <w:tcPr>
            <w:tcW w:w="1280" w:type="dxa"/>
            <w:vAlign w:val="bottom"/>
            <w:tcBorders>
              <w:right w:val="single" w:sz="8" w:color="auto"/>
            </w:tcBorders>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Fee per Cubic Foot</w:t>
            </w:r>
          </w:p>
        </w:tc>
      </w:tr>
      <w:tr>
        <w:trPr>
          <w:trHeight w:val="137"/>
        </w:trPr>
        <w:tc>
          <w:tcPr>
            <w:tcW w:w="1820" w:type="dxa"/>
            <w:vAlign w:val="bottom"/>
            <w:tcBorders>
              <w:left w:val="single" w:sz="8" w:color="auto"/>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Feet</w:t>
            </w:r>
          </w:p>
        </w:tc>
        <w:tc>
          <w:tcPr>
            <w:tcW w:w="124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Capacity in</w:t>
            </w:r>
          </w:p>
        </w:tc>
        <w:tc>
          <w:tcPr>
            <w:tcW w:w="110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Cubic Foot</w:t>
            </w:r>
          </w:p>
        </w:tc>
        <w:tc>
          <w:tcPr>
            <w:tcW w:w="1280" w:type="dxa"/>
            <w:vAlign w:val="bottom"/>
            <w:tcBorders>
              <w:right w:val="single" w:sz="8" w:color="auto"/>
            </w:tcBorders>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prior to SAP</w:t>
            </w:r>
          </w:p>
        </w:tc>
      </w:tr>
      <w:tr>
        <w:trPr>
          <w:trHeight w:val="149"/>
        </w:trPr>
        <w:tc>
          <w:tcPr>
            <w:tcW w:w="182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Cubic Feet</w:t>
            </w:r>
          </w:p>
        </w:tc>
        <w:tc>
          <w:tcPr>
            <w:tcW w:w="11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after SAP</w:t>
            </w:r>
          </w:p>
        </w:tc>
        <w:tc>
          <w:tcPr>
            <w:tcW w:w="12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r>
      <w:tr>
        <w:trPr>
          <w:trHeight w:val="195"/>
        </w:trPr>
        <w:tc>
          <w:tcPr>
            <w:tcW w:w="1820" w:type="dxa"/>
            <w:vAlign w:val="bottom"/>
            <w:tcBorders>
              <w:left w:val="single" w:sz="8" w:color="auto"/>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Separation</w:t>
            </w:r>
          </w:p>
        </w:tc>
        <w:tc>
          <w:tcPr>
            <w:tcW w:w="1280" w:type="dxa"/>
            <w:vAlign w:val="bottom"/>
            <w:tcBorders>
              <w:bottom w:val="single" w:sz="8" w:color="auto"/>
              <w:right w:val="single" w:sz="8" w:color="auto"/>
            </w:tcBorders>
          </w:tcPr>
          <w:p>
            <w:pPr>
              <w:spacing w:after="0"/>
              <w:rPr>
                <w:sz w:val="16"/>
                <w:szCs w:val="16"/>
                <w:color w:val="auto"/>
              </w:rPr>
            </w:pPr>
          </w:p>
        </w:tc>
      </w:tr>
      <w:tr>
        <w:trPr>
          <w:trHeight w:val="195"/>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Canandaigua, NY</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Covington, GA</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Frankfort, IL</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Temple, TX</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Woodridge, IL</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Bakersfield, CA</w:t>
            </w:r>
          </w:p>
        </w:tc>
        <w:tc>
          <w:tcPr>
            <w:tcW w:w="1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r>
    </w:tbl>
    <w:p>
      <w:pPr>
        <w:spacing w:after="0" w:line="316" w:lineRule="exact"/>
        <w:rPr>
          <w:sz w:val="20"/>
          <w:szCs w:val="20"/>
          <w:color w:val="auto"/>
        </w:rPr>
      </w:pPr>
    </w:p>
    <w:p>
      <w:pPr>
        <w:jc w:val="both"/>
        <w:ind w:right="20" w:firstLine="8"/>
        <w:spacing w:after="0" w:line="259" w:lineRule="auto"/>
        <w:tabs>
          <w:tab w:leader="none" w:pos="135" w:val="left"/>
        </w:tabs>
        <w:numPr>
          <w:ilvl w:val="0"/>
          <w:numId w:val="95"/>
        </w:numPr>
        <w:rPr>
          <w:rFonts w:ascii="Times New Roman" w:cs="Times New Roman" w:eastAsia="Times New Roman" w:hAnsi="Times New Roman"/>
          <w:sz w:val="17"/>
          <w:szCs w:val="17"/>
          <w:color w:val="040404"/>
        </w:rPr>
      </w:pPr>
      <w:r>
        <w:rPr>
          <w:rFonts w:ascii="Times New Roman" w:cs="Times New Roman" w:eastAsia="Times New Roman" w:hAnsi="Times New Roman"/>
          <w:sz w:val="17"/>
          <w:szCs w:val="17"/>
          <w:color w:val="040404"/>
        </w:rPr>
        <w:t>If Pactiv</w:t>
      </w:r>
      <w:r>
        <w:rPr>
          <w:rFonts w:ascii="Times New Roman" w:cs="Times New Roman" w:eastAsia="Times New Roman" w:hAnsi="Times New Roman"/>
          <w:sz w:val="17"/>
          <w:szCs w:val="17"/>
          <w:color w:val="282828"/>
        </w:rPr>
        <w:t>’</w:t>
      </w:r>
      <w:r>
        <w:rPr>
          <w:rFonts w:ascii="Times New Roman" w:cs="Times New Roman" w:eastAsia="Times New Roman" w:hAnsi="Times New Roman"/>
          <w:sz w:val="17"/>
          <w:szCs w:val="17"/>
          <w:color w:val="040404"/>
        </w:rPr>
        <w:t>s lease for this Warehouse ends earlier than the listed Service Exp</w:t>
      </w:r>
      <w:r>
        <w:rPr>
          <w:rFonts w:ascii="Times New Roman" w:cs="Times New Roman" w:eastAsia="Times New Roman" w:hAnsi="Times New Roman"/>
          <w:sz w:val="17"/>
          <w:szCs w:val="17"/>
          <w:color w:val="282828"/>
        </w:rPr>
        <w:t>i</w:t>
      </w:r>
      <w:r>
        <w:rPr>
          <w:rFonts w:ascii="Times New Roman" w:cs="Times New Roman" w:eastAsia="Times New Roman" w:hAnsi="Times New Roman"/>
          <w:sz w:val="17"/>
          <w:szCs w:val="17"/>
          <w:color w:val="040404"/>
        </w:rPr>
        <w:t xml:space="preserve">ration Date for </w:t>
      </w:r>
      <w:r>
        <w:rPr>
          <w:rFonts w:ascii="Times New Roman" w:cs="Times New Roman" w:eastAsia="Times New Roman" w:hAnsi="Times New Roman"/>
          <w:sz w:val="17"/>
          <w:szCs w:val="17"/>
          <w:color w:val="121212"/>
        </w:rPr>
        <w:t>any reason, t</w:t>
      </w:r>
      <w:r>
        <w:rPr>
          <w:rFonts w:ascii="Times New Roman" w:cs="Times New Roman" w:eastAsia="Times New Roman" w:hAnsi="Times New Roman"/>
          <w:sz w:val="17"/>
          <w:szCs w:val="17"/>
          <w:color w:val="040404"/>
        </w:rPr>
        <w:t xml:space="preserve">he Service Expiration Date for this Warehouse </w:t>
      </w:r>
      <w:r>
        <w:rPr>
          <w:rFonts w:ascii="Times New Roman" w:cs="Times New Roman" w:eastAsia="Times New Roman" w:hAnsi="Times New Roman"/>
          <w:sz w:val="17"/>
          <w:szCs w:val="17"/>
          <w:color w:val="121212"/>
        </w:rPr>
        <w:t>will</w:t>
      </w:r>
      <w:r>
        <w:rPr>
          <w:rFonts w:ascii="Times New Roman" w:cs="Times New Roman" w:eastAsia="Times New Roman" w:hAnsi="Times New Roman"/>
          <w:sz w:val="17"/>
          <w:szCs w:val="17"/>
          <w:color w:val="040404"/>
        </w:rPr>
        <w:t xml:space="preserve"> be </w:t>
      </w:r>
      <w:r>
        <w:rPr>
          <w:rFonts w:ascii="Times New Roman" w:cs="Times New Roman" w:eastAsia="Times New Roman" w:hAnsi="Times New Roman"/>
          <w:sz w:val="17"/>
          <w:szCs w:val="17"/>
          <w:color w:val="121212"/>
        </w:rPr>
        <w:t xml:space="preserve">automatically </w:t>
      </w:r>
      <w:r>
        <w:rPr>
          <w:rFonts w:ascii="Times New Roman" w:cs="Times New Roman" w:eastAsia="Times New Roman" w:hAnsi="Times New Roman"/>
          <w:sz w:val="17"/>
          <w:szCs w:val="17"/>
          <w:color w:val="040404"/>
        </w:rPr>
        <w:t>amended to be the earlier termination date of</w:t>
      </w:r>
      <w:r>
        <w:rPr>
          <w:rFonts w:ascii="Times New Roman" w:cs="Times New Roman" w:eastAsia="Times New Roman" w:hAnsi="Times New Roman"/>
          <w:sz w:val="17"/>
          <w:szCs w:val="17"/>
          <w:color w:val="121212"/>
        </w:rPr>
        <w:t xml:space="preserve"> the </w:t>
      </w:r>
      <w:r>
        <w:rPr>
          <w:rFonts w:ascii="Times New Roman" w:cs="Times New Roman" w:eastAsia="Times New Roman" w:hAnsi="Times New Roman"/>
          <w:sz w:val="17"/>
          <w:szCs w:val="17"/>
          <w:color w:val="040404"/>
        </w:rPr>
        <w:t>lease. Notwithstanding</w:t>
      </w:r>
      <w:r>
        <w:rPr>
          <w:rFonts w:ascii="Times New Roman" w:cs="Times New Roman" w:eastAsia="Times New Roman" w:hAnsi="Times New Roman"/>
          <w:sz w:val="17"/>
          <w:szCs w:val="17"/>
          <w:color w:val="121212"/>
        </w:rPr>
        <w:t xml:space="preserve"> the preceding sentence, </w:t>
      </w:r>
      <w:r>
        <w:rPr>
          <w:rFonts w:ascii="Times New Roman" w:cs="Times New Roman" w:eastAsia="Times New Roman" w:hAnsi="Times New Roman"/>
          <w:sz w:val="17"/>
          <w:szCs w:val="17"/>
          <w:color w:val="040404"/>
        </w:rPr>
        <w:t>if Pactiv</w:t>
      </w:r>
      <w:r>
        <w:rPr>
          <w:rFonts w:ascii="Times New Roman" w:cs="Times New Roman" w:eastAsia="Times New Roman" w:hAnsi="Times New Roman"/>
          <w:sz w:val="17"/>
          <w:szCs w:val="17"/>
          <w:color w:val="383838"/>
        </w:rPr>
        <w:t>'</w:t>
      </w:r>
      <w:r>
        <w:rPr>
          <w:rFonts w:ascii="Times New Roman" w:cs="Times New Roman" w:eastAsia="Times New Roman" w:hAnsi="Times New Roman"/>
          <w:sz w:val="17"/>
          <w:szCs w:val="17"/>
          <w:color w:val="121212"/>
        </w:rPr>
        <w:t xml:space="preserve">s </w:t>
      </w:r>
      <w:r>
        <w:rPr>
          <w:rFonts w:ascii="Times New Roman" w:cs="Times New Roman" w:eastAsia="Times New Roman" w:hAnsi="Times New Roman"/>
          <w:sz w:val="17"/>
          <w:szCs w:val="17"/>
          <w:color w:val="040404"/>
        </w:rPr>
        <w:t>lease for this Warehouse ended earlier</w:t>
      </w:r>
      <w:r>
        <w:rPr>
          <w:rFonts w:ascii="Times New Roman" w:cs="Times New Roman" w:eastAsia="Times New Roman" w:hAnsi="Times New Roman"/>
          <w:sz w:val="17"/>
          <w:szCs w:val="17"/>
          <w:color w:val="121212"/>
        </w:rPr>
        <w:t xml:space="preserve"> </w:t>
      </w:r>
      <w:r>
        <w:rPr>
          <w:rFonts w:ascii="Times New Roman" w:cs="Times New Roman" w:eastAsia="Times New Roman" w:hAnsi="Times New Roman"/>
          <w:sz w:val="17"/>
          <w:szCs w:val="17"/>
          <w:color w:val="040404"/>
        </w:rPr>
        <w:t xml:space="preserve">than the listed </w:t>
      </w:r>
      <w:r>
        <w:rPr>
          <w:rFonts w:ascii="Times New Roman" w:cs="Times New Roman" w:eastAsia="Times New Roman" w:hAnsi="Times New Roman"/>
          <w:sz w:val="17"/>
          <w:szCs w:val="17"/>
          <w:color w:val="121212"/>
        </w:rPr>
        <w:t>Service</w:t>
      </w:r>
      <w:r>
        <w:rPr>
          <w:rFonts w:ascii="Times New Roman" w:cs="Times New Roman" w:eastAsia="Times New Roman" w:hAnsi="Times New Roman"/>
          <w:sz w:val="17"/>
          <w:szCs w:val="17"/>
          <w:color w:val="040404"/>
        </w:rPr>
        <w:t xml:space="preserve"> Expiration Date because of </w:t>
      </w:r>
      <w:r>
        <w:rPr>
          <w:rFonts w:ascii="Times New Roman" w:cs="Times New Roman" w:eastAsia="Times New Roman" w:hAnsi="Times New Roman"/>
          <w:sz w:val="17"/>
          <w:szCs w:val="17"/>
          <w:color w:val="121212"/>
        </w:rPr>
        <w:t>a</w:t>
      </w:r>
      <w:r>
        <w:rPr>
          <w:rFonts w:ascii="Times New Roman" w:cs="Times New Roman" w:eastAsia="Times New Roman" w:hAnsi="Times New Roman"/>
          <w:sz w:val="17"/>
          <w:szCs w:val="17"/>
          <w:color w:val="040404"/>
        </w:rPr>
        <w:t xml:space="preserve"> breach on the part of Pactiv</w:t>
      </w:r>
      <w:r>
        <w:rPr>
          <w:rFonts w:ascii="Times New Roman" w:cs="Times New Roman" w:eastAsia="Times New Roman" w:hAnsi="Times New Roman"/>
          <w:sz w:val="17"/>
          <w:szCs w:val="17"/>
          <w:color w:val="282828"/>
        </w:rPr>
        <w:t>,</w:t>
      </w:r>
      <w:r>
        <w:rPr>
          <w:rFonts w:ascii="Times New Roman" w:cs="Times New Roman" w:eastAsia="Times New Roman" w:hAnsi="Times New Roman"/>
          <w:sz w:val="17"/>
          <w:szCs w:val="17"/>
          <w:color w:val="040404"/>
        </w:rPr>
        <w:t xml:space="preserve"> Pactiv will remain liable to Reynolds for any direct damages incurred as a result </w:t>
      </w:r>
      <w:r>
        <w:rPr>
          <w:rFonts w:ascii="Times New Roman" w:cs="Times New Roman" w:eastAsia="Times New Roman" w:hAnsi="Times New Roman"/>
          <w:sz w:val="17"/>
          <w:szCs w:val="17"/>
          <w:color w:val="121212"/>
        </w:rPr>
        <w:t>of</w:t>
      </w:r>
      <w:r>
        <w:rPr>
          <w:rFonts w:ascii="Times New Roman" w:cs="Times New Roman" w:eastAsia="Times New Roman" w:hAnsi="Times New Roman"/>
          <w:sz w:val="17"/>
          <w:szCs w:val="17"/>
          <w:color w:val="040404"/>
        </w:rPr>
        <w:t xml:space="preserve"> Services ending at the Warehouse prior to the listed Service Expiration Date</w:t>
      </w:r>
      <w:r>
        <w:rPr>
          <w:rFonts w:ascii="Times New Roman" w:cs="Times New Roman" w:eastAsia="Times New Roman" w:hAnsi="Times New Roman"/>
          <w:sz w:val="17"/>
          <w:szCs w:val="17"/>
          <w:color w:val="5B5B5B"/>
        </w:rPr>
        <w:t>.</w:t>
      </w:r>
    </w:p>
    <w:p>
      <w:pPr>
        <w:sectPr>
          <w:pgSz w:w="11900" w:h="16838" w:orient="portrait"/>
          <w:cols w:equalWidth="0" w:num="1">
            <w:col w:w="11260"/>
          </w:cols>
          <w:pgMar w:left="320" w:top="1417"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WAREHOUSING AND FREIGHT SERVICES AGREEMENT</w:t>
      </w: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3 TO THE WAREHOUSING AND FREIGHT SERVICES AGREEMENT</w:t>
      </w:r>
      <w:r>
        <w:rPr>
          <w:rFonts w:ascii="Times New Roman" w:cs="Times New Roman" w:eastAsia="Times New Roman" w:hAnsi="Times New Roman"/>
          <w:sz w:val="18"/>
          <w:szCs w:val="18"/>
          <w:color w:val="auto"/>
        </w:rPr>
        <w:t xml:space="preserve"> (the “Amendment”) is made and entered into as of April 18, 2024 by and between </w:t>
      </w:r>
      <w:r>
        <w:rPr>
          <w:rFonts w:ascii="Times New Roman" w:cs="Times New Roman" w:eastAsia="Times New Roman" w:hAnsi="Times New Roman"/>
          <w:sz w:val="18"/>
          <w:szCs w:val="18"/>
          <w:b w:val="1"/>
          <w:bCs w:val="1"/>
          <w:color w:val="auto"/>
        </w:rPr>
        <w:t>PACTIV LLC</w:t>
      </w:r>
      <w:r>
        <w:rPr>
          <w:rFonts w:ascii="Times New Roman" w:cs="Times New Roman" w:eastAsia="Times New Roman" w:hAnsi="Times New Roman"/>
          <w:sz w:val="18"/>
          <w:szCs w:val="18"/>
          <w:color w:val="auto"/>
        </w:rPr>
        <w:t xml:space="preserve">, a Delaware limited liability company (“Pactiv”) and </w:t>
      </w:r>
      <w:r>
        <w:rPr>
          <w:rFonts w:ascii="Times New Roman" w:cs="Times New Roman" w:eastAsia="Times New Roman" w:hAnsi="Times New Roman"/>
          <w:sz w:val="18"/>
          <w:szCs w:val="18"/>
          <w:b w:val="1"/>
          <w:bCs w:val="1"/>
          <w:color w:val="auto"/>
        </w:rPr>
        <w:t>REYNOLDS CONSUMER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PRODUCTS LLC</w:t>
      </w:r>
      <w:r>
        <w:rPr>
          <w:rFonts w:ascii="Times New Roman" w:cs="Times New Roman" w:eastAsia="Times New Roman" w:hAnsi="Times New Roman"/>
          <w:sz w:val="18"/>
          <w:szCs w:val="18"/>
          <w:color w:val="auto"/>
        </w:rPr>
        <w:t>, a Delaware limited liability company (“Reynolds”) (collectively referred to as the “Parties”).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5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Parties entered into the Warehousing and Freight Services Agreement dated November 1, 2019, as amended by Amendment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 dated November 16, 2021, and Amendment No. 2 dated May 12, 2022 (collectively, the “Agreement”) relating to the provision of Warehousing and Freight services at certain locations that are owned or leased by Pactiv or its Affiliates listed in the attached Schedule 1-A (hereinafter, the “Warehouse(s)”).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Pactiv and Reynolds desire to modify the Agreement as described in this Amendment; and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capitalized terms not otherwise defined herein shall have the meaning ascribed to them in the Agreement.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Parties hereto agree to amend the Agreement as follows:</w:t>
      </w:r>
    </w:p>
    <w:p>
      <w:pPr>
        <w:spacing w:after="0" w:line="256" w:lineRule="exact"/>
        <w:rPr>
          <w:sz w:val="20"/>
          <w:szCs w:val="20"/>
          <w:color w:val="auto"/>
        </w:rPr>
      </w:pPr>
    </w:p>
    <w:p>
      <w:pPr>
        <w:ind w:left="660" w:right="2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warehouse services outlined in Section II of the Agreement for the locations listed in Schedule 1-A shall be terminated effective [*], when Reynolds exits those locations as stipulated in Amendment 1 and Amendment 2 of the Agreement.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termination date of the warehouse services, Pactiv shall continue to provide freight services as outlined in Section III and Schedule 2 of the Agreement.</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Freight Services Expiration Date shall be extended through and including December 31, 2027.</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 The Service Fee rate in Section 10.a. of Schedule 2 shall be amended from $[*] per shipment to $[*] per shipment. The Service Fee will increase by [*] percent ([*]%) on January 1 of each calendar year following the execution of this Amendment.</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said Agreement, as supplemented, shall remain in full force and effect. To the extent of any conflict between the terms and conditions of said Agreement and this Amendment, the terms and conditions of this Amendment shall supersede and control.</w:t>
      </w:r>
    </w:p>
    <w:p>
      <w:pPr>
        <w:sectPr>
          <w:pgSz w:w="11900" w:h="16838" w:orient="portrait"/>
          <w:cols w:equalWidth="0" w:num="1">
            <w:col w:w="11240"/>
          </w:cols>
          <w:pgMar w:left="320" w:top="1413"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Amendment on the date first written above.</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PACTIV LLC</w:t>
            </w:r>
          </w:p>
        </w:tc>
        <w:tc>
          <w:tcPr>
            <w:tcW w:w="364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REYNOLDS CONSUMER PRODUCTS LLC</w:t>
            </w:r>
          </w:p>
        </w:tc>
      </w:tr>
      <w:tr>
        <w:trPr>
          <w:trHeight w:val="66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Michael King</w:t>
            </w:r>
          </w:p>
        </w:tc>
        <w:tc>
          <w:tcPr>
            <w:tcW w:w="120" w:type="dxa"/>
            <w:vAlign w:val="bottom"/>
            <w:tcBorders>
              <w:bottom w:val="single" w:sz="8" w:color="auto"/>
            </w:tcBorders>
          </w:tcPr>
          <w:p>
            <w:pPr>
              <w:spacing w:after="0"/>
              <w:rPr>
                <w:sz w:val="24"/>
                <w:szCs w:val="24"/>
                <w:color w:val="auto"/>
              </w:rPr>
            </w:pP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Tom Bogan</w:t>
            </w:r>
          </w:p>
        </w:tc>
        <w:tc>
          <w:tcPr>
            <w:tcW w:w="940" w:type="dxa"/>
            <w:vAlign w:val="bottom"/>
            <w:gridSpan w:val="2"/>
          </w:tcPr>
          <w:p>
            <w:pPr>
              <w:spacing w:after="0"/>
              <w:rPr>
                <w:sz w:val="24"/>
                <w:szCs w:val="24"/>
                <w:color w:val="auto"/>
              </w:rPr>
            </w:pPr>
          </w:p>
        </w:tc>
      </w:tr>
      <w:tr>
        <w:trPr>
          <w:trHeight w:val="196"/>
        </w:trPr>
        <w:tc>
          <w:tcPr>
            <w:tcW w:w="2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Name:  Michael King</w:t>
            </w:r>
          </w:p>
        </w:tc>
        <w:tc>
          <w:tcPr>
            <w:tcW w:w="120" w:type="dxa"/>
            <w:vAlign w:val="bottom"/>
          </w:tcPr>
          <w:p>
            <w:pPr>
              <w:spacing w:after="0"/>
              <w:rPr>
                <w:sz w:val="17"/>
                <w:szCs w:val="17"/>
                <w:color w:val="auto"/>
              </w:rPr>
            </w:pPr>
          </w:p>
        </w:tc>
        <w:tc>
          <w:tcPr>
            <w:tcW w:w="3520" w:type="dxa"/>
            <w:vAlign w:val="bottom"/>
            <w:gridSpan w:val="8"/>
          </w:tcPr>
          <w:p>
            <w:pPr>
              <w:ind w:left="360"/>
              <w:spacing w:after="0" w:line="196" w:lineRule="exact"/>
              <w:rPr>
                <w:sz w:val="20"/>
                <w:szCs w:val="20"/>
                <w:color w:val="auto"/>
              </w:rPr>
            </w:pPr>
            <w:r>
              <w:rPr>
                <w:rFonts w:ascii="Times New Roman" w:cs="Times New Roman" w:eastAsia="Times New Roman" w:hAnsi="Times New Roman"/>
                <w:sz w:val="18"/>
                <w:szCs w:val="18"/>
                <w:color w:val="auto"/>
              </w:rPr>
              <w:t>Name:  Tom Bogan</w:t>
            </w: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Title:</w:t>
            </w:r>
          </w:p>
        </w:tc>
        <w:tc>
          <w:tcPr>
            <w:tcW w:w="256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18"/>
                <w:szCs w:val="18"/>
                <w:color w:val="auto"/>
              </w:rPr>
              <w:t>Chief Executive Officer</w:t>
            </w:r>
          </w:p>
        </w:tc>
        <w:tc>
          <w:tcPr>
            <w:tcW w:w="272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auto"/>
              </w:rPr>
              <w:t>Title:  SVP Supply Chain</w:t>
            </w:r>
          </w:p>
        </w:tc>
      </w:tr>
      <w:tr>
        <w:trPr>
          <w:trHeight w:val="20"/>
        </w:trPr>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140" w:type="dxa"/>
            <w:vAlign w:val="bottom"/>
          </w:tcPr>
          <w:p>
            <w:pPr>
              <w:spacing w:after="0"/>
              <w:rPr>
                <w:sz w:val="17"/>
                <w:szCs w:val="17"/>
                <w:color w:val="auto"/>
              </w:rPr>
            </w:pPr>
          </w:p>
        </w:tc>
        <w:tc>
          <w:tcPr>
            <w:tcW w:w="15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03 June 2024</w:t>
            </w:r>
          </w:p>
        </w:tc>
        <w:tc>
          <w:tcPr>
            <w:tcW w:w="120" w:type="dxa"/>
            <w:vAlign w:val="bottom"/>
          </w:tcPr>
          <w:p>
            <w:pPr>
              <w:spacing w:after="0"/>
              <w:rPr>
                <w:sz w:val="17"/>
                <w:szCs w:val="17"/>
                <w:color w:val="auto"/>
              </w:rPr>
            </w:pPr>
          </w:p>
        </w:tc>
        <w:tc>
          <w:tcPr>
            <w:tcW w:w="80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Date:</w:t>
            </w:r>
          </w:p>
        </w:tc>
        <w:tc>
          <w:tcPr>
            <w:tcW w:w="168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03 June 2024</w:t>
            </w:r>
          </w:p>
        </w:tc>
        <w:tc>
          <w:tcPr>
            <w:tcW w:w="1040" w:type="dxa"/>
            <w:vAlign w:val="bottom"/>
            <w:gridSpan w:val="3"/>
          </w:tcPr>
          <w:p>
            <w:pPr>
              <w:spacing w:after="0"/>
              <w:rPr>
                <w:sz w:val="17"/>
                <w:szCs w:val="17"/>
                <w:color w:val="auto"/>
              </w:rPr>
            </w:pPr>
          </w:p>
        </w:tc>
      </w:tr>
    </w:tbl>
    <w:p>
      <w:pPr>
        <w:sectPr>
          <w:pgSz w:w="11900" w:h="16838" w:orient="portrait"/>
          <w:cols w:equalWidth="0" w:num="1">
            <w:col w:w="10139"/>
          </w:cols>
          <w:pgMar w:left="320" w:top="1417" w:right="1440" w:bottom="1440" w:gutter="0" w:footer="0" w:header="0"/>
        </w:sectPr>
      </w:pPr>
    </w:p>
    <w:bookmarkStart w:id="82" w:name="page83"/>
    <w:bookmarkEnd w:id="82"/>
    <w:p>
      <w:pPr>
        <w:jc w:val="right"/>
        <w:ind w:right="3879"/>
        <w:spacing w:after="0"/>
        <w:rPr>
          <w:sz w:val="20"/>
          <w:szCs w:val="20"/>
          <w:color w:val="auto"/>
        </w:rPr>
      </w:pPr>
      <w:r>
        <w:rPr>
          <w:rFonts w:ascii="Times New Roman" w:cs="Times New Roman" w:eastAsia="Times New Roman" w:hAnsi="Times New Roman"/>
          <w:sz w:val="17"/>
          <w:szCs w:val="17"/>
          <w:color w:val="auto"/>
        </w:rPr>
        <w:t>SCHEDULE 1-A</w:t>
      </w:r>
    </w:p>
    <w:p>
      <w:pPr>
        <w:sectPr>
          <w:pgSz w:w="11900" w:h="16838" w:orient="portrait"/>
          <w:cols w:equalWidth="0" w:num="1">
            <w:col w:w="10139"/>
          </w:cols>
          <w:pgMar w:left="320" w:top="14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Warehouse Locations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 Date</w:t>
      </w:r>
    </w:p>
    <w:p>
      <w:pPr>
        <w:spacing w:after="0" w:line="200" w:lineRule="exact"/>
        <w:rPr>
          <w:sz w:val="20"/>
          <w:szCs w:val="20"/>
          <w:color w:val="auto"/>
        </w:rPr>
      </w:pPr>
    </w:p>
    <w:p>
      <w:pPr>
        <w:sectPr>
          <w:pgSz w:w="11900" w:h="16838" w:orient="portrait"/>
          <w:cols w:equalWidth="0" w:num="2">
            <w:col w:w="1660" w:space="720"/>
            <w:col w:w="7759"/>
          </w:cols>
          <w:pgMar w:left="320" w:top="1417" w:right="1440"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Canandaigua, NY (2840 Sommers)</w:t>
      </w:r>
    </w:p>
    <w:p>
      <w:pPr>
        <w:spacing w:after="0" w:line="27" w:lineRule="exact"/>
        <w:rPr>
          <w:sz w:val="20"/>
          <w:szCs w:val="20"/>
          <w:color w:val="auto"/>
        </w:rPr>
      </w:pPr>
    </w:p>
    <w:p>
      <w:pPr>
        <w:spacing w:after="0"/>
        <w:tabs>
          <w:tab w:leader="none" w:pos="2540" w:val="left"/>
        </w:tabs>
        <w:rPr>
          <w:sz w:val="20"/>
          <w:szCs w:val="20"/>
          <w:color w:val="auto"/>
        </w:rPr>
      </w:pPr>
      <w:r>
        <w:rPr>
          <w:rFonts w:ascii="Times New Roman" w:cs="Times New Roman" w:eastAsia="Times New Roman" w:hAnsi="Times New Roman"/>
          <w:sz w:val="18"/>
          <w:szCs w:val="18"/>
          <w:color w:val="auto"/>
        </w:rPr>
        <w:t>Temple, TX (3000 Pegasus)</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Bakersfield, CA (2024 Norris Road)</w:t>
      </w:r>
    </w:p>
    <w:p>
      <w:pPr>
        <w:spacing w:after="0" w:line="9"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color w:val="auto"/>
        </w:rPr>
        <w:t>Woodridge, IL (1 Earl Court)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2860" w:space="140"/>
            <w:col w:w="7139"/>
          </w:cols>
          <w:pgMar w:left="320" w:top="1417" w:right="1440" w:bottom="1440" w:gutter="0" w:footer="0" w:header="0"/>
          <w:type w:val="continuous"/>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Mitchell, certify that:</w:t>
      </w:r>
    </w:p>
    <w:p>
      <w:pPr>
        <w:spacing w:after="0" w:line="225"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79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92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June 30, 2024 as filed with the Securities and Exchange Commission on the date hereof (the “Report”), I, Lance Mitchell,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79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Lance Mitchell</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92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Reynolds Consumer Products Inc. (the “Company”) on Form 10-Q for the period ended June 30, 2024 as filed with the Securities and Exchange Commission on the date hereof (the “Report”), I, Scott Huckins,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40" w:val="left"/>
          <w:tab w:leader="none" w:pos="800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26035</wp:posOffset>
            </wp:positionV>
            <wp:extent cx="3317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50"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C240FB"/>
    <w:multiLevelType w:val="hybridMultilevel"/>
    <w:lvl w:ilvl="0">
      <w:lvlJc w:val="left"/>
      <w:lvlText w:val="x"/>
      <w:numFmt w:val="bullet"/>
      <w:start w:val="1"/>
    </w:lvl>
  </w:abstractNum>
  <w:abstractNum w:abstractNumId="1">
    <w:nsid w:val="1BA026FA"/>
    <w:multiLevelType w:val="hybridMultilevel"/>
    <w:lvl w:ilvl="0">
      <w:lvlJc w:val="left"/>
      <w:lvlText w:val="o"/>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1)"/>
      <w:numFmt w:val="lowerLetter"/>
      <w:start w:val="1"/>
    </w:lvl>
  </w:abstractNum>
  <w:abstractNum w:abstractNumId="11">
    <w:nsid w:val="275AC794"/>
    <w:multiLevelType w:val="hybridMultilevel"/>
    <w:lvl w:ilvl="0">
      <w:lvlJc w:val="left"/>
      <w:lvlText w:val="%1)"/>
      <w:numFmt w:val="lowerLetter"/>
      <w:start w:val="2"/>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1)"/>
      <w:numFmt w:val="upperLetter"/>
      <w:start w:val="1"/>
    </w:lvl>
    <w:lvl w:ilvl="1">
      <w:lvlJc w:val="left"/>
      <w:lvlText w:val="%2."/>
      <w:numFmt w:val="decimal"/>
      <w:start w:val="1"/>
    </w:lvl>
  </w:abstractNum>
  <w:abstractNum w:abstractNumId="14">
    <w:nsid w:val="180115BE"/>
    <w:multiLevelType w:val="hybridMultilevel"/>
    <w:lvl w:ilvl="0">
      <w:lvlJc w:val="left"/>
      <w:lvlText w:val="%1"/>
      <w:numFmt w:val="upperLetter"/>
      <w:start w:val="1"/>
    </w:lvl>
    <w:lvl w:ilvl="1">
      <w:lvlJc w:val="left"/>
      <w:lvlText w:val="%2."/>
      <w:numFmt w:val="decimal"/>
      <w:start w:val="2"/>
    </w:lvl>
  </w:abstractNum>
  <w:abstractNum w:abstractNumId="15">
    <w:nsid w:val="235BA861"/>
    <w:multiLevelType w:val="hybridMultilevel"/>
    <w:lvl w:ilvl="0">
      <w:lvlJc w:val="left"/>
      <w:lvlText w:val="(%1)"/>
      <w:numFmt w:val="upperLetter"/>
      <w:start w:val="2"/>
    </w:lvl>
    <w:lvl w:ilvl="1">
      <w:lvlJc w:val="left"/>
      <w:lvlText w:val="%2"/>
      <w:numFmt w:val="decimal"/>
      <w:start w:val="1"/>
    </w:lvl>
  </w:abstractNum>
  <w:abstractNum w:abstractNumId="16">
    <w:nsid w:val="47398C89"/>
    <w:multiLevelType w:val="hybridMultilevel"/>
    <w:lvl w:ilvl="0">
      <w:lvlJc w:val="left"/>
      <w:lvlText w:val="(%1)"/>
      <w:numFmt w:val="upperLetter"/>
      <w:start w:val="1"/>
    </w:lvl>
    <w:lvl w:ilvl="1">
      <w:lvlJc w:val="left"/>
      <w:lvlText w:val="(%2)"/>
      <w:numFmt w:val="decimal"/>
      <w:start w:val="1"/>
    </w:lvl>
  </w:abstractNum>
  <w:abstractNum w:abstractNumId="17">
    <w:nsid w:val="354FE9F9"/>
    <w:multiLevelType w:val="hybridMultilevel"/>
    <w:lvl w:ilvl="0">
      <w:lvlJc w:val="left"/>
      <w:lvlText w:val="(%1)"/>
      <w:numFmt w:val="upperLetter"/>
      <w:start w:val="4"/>
    </w:lvl>
  </w:abstractNum>
  <w:abstractNum w:abstractNumId="18">
    <w:nsid w:val="15B5AF5C"/>
    <w:multiLevelType w:val="hybridMultilevel"/>
    <w:lvl w:ilvl="0">
      <w:lvlJc w:val="left"/>
      <w:lvlText w:val="(%1)"/>
      <w:numFmt w:val="upperLetter"/>
      <w:start w:val="5"/>
    </w:lvl>
  </w:abstractNum>
  <w:abstractNum w:abstractNumId="19">
    <w:nsid w:val="741226BB"/>
    <w:multiLevelType w:val="hybridMultilevel"/>
    <w:lvl w:ilvl="0">
      <w:lvlJc w:val="left"/>
      <w:lvlText w:val="(%1)"/>
      <w:numFmt w:val="upperLetter"/>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upperLetter"/>
      <w:start w:val="3"/>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upperLetter"/>
      <w:start w:val="1"/>
    </w:lvl>
    <w:lvl w:ilvl="1">
      <w:lvlJc w:val="left"/>
      <w:lvlText w:val="(%2)"/>
      <w:numFmt w:val="decimal"/>
      <w:start w:val="1"/>
    </w:lvl>
  </w:abstractNum>
  <w:abstractNum w:abstractNumId="24">
    <w:nsid w:val="7E0C57B1"/>
    <w:multiLevelType w:val="hybridMultilevel"/>
    <w:lvl w:ilvl="0">
      <w:lvlJc w:val="left"/>
      <w:lvlText w:val="(%1)"/>
      <w:numFmt w:val="decimal"/>
      <w:start w:val="1"/>
    </w:lvl>
  </w:abstractNum>
  <w:abstractNum w:abstractNumId="25">
    <w:nsid w:val="77AE35EB"/>
    <w:multiLevelType w:val="hybridMultilevel"/>
    <w:lvl w:ilvl="0">
      <w:lvlJc w:val="left"/>
      <w:lvlText w:val="(%1)"/>
      <w:numFmt w:val="lowerRoman"/>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1."/>
      <w:numFmt w:val="decimal"/>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4"/>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decimal"/>
      <w:start w:val="4"/>
    </w:lvl>
  </w:abstractNum>
  <w:abstractNum w:abstractNumId="32">
    <w:nsid w:val="4AD084E9"/>
    <w:multiLevelType w:val="hybridMultilevel"/>
    <w:lvl w:ilvl="0">
      <w:lvlJc w:val="left"/>
      <w:lvlText w:val="%1."/>
      <w:numFmt w:val="decimal"/>
      <w:start w:val="5"/>
    </w:lvl>
  </w:abstractNum>
  <w:abstractNum w:abstractNumId="33">
    <w:nsid w:val="1F48EAA1"/>
    <w:multiLevelType w:val="hybridMultilevel"/>
    <w:lvl w:ilvl="0">
      <w:lvlJc w:val="left"/>
      <w:lvlText w:val="%1"/>
      <w:numFmt w:val="decimal"/>
      <w:start w:val="1"/>
    </w:lvl>
    <w:lvl w:ilvl="1">
      <w:lvlJc w:val="left"/>
      <w:lvlText w:val="%2."/>
      <w:numFmt w:val="upperLetter"/>
      <w:start w:val="61"/>
    </w:lvl>
  </w:abstractNum>
  <w:abstractNum w:abstractNumId="34">
    <w:nsid w:val="1381823A"/>
    <w:multiLevelType w:val="hybridMultilevel"/>
    <w:lvl w:ilvl="0">
      <w:lvlJc w:val="left"/>
      <w:lvlText w:val="%1."/>
      <w:numFmt w:val="decimal"/>
      <w:start w:val="1"/>
    </w:lvl>
    <w:lvl w:ilvl="1">
      <w:lvlJc w:val="left"/>
      <w:lvlText w:val="%2"/>
      <w:numFmt w:val="upperLetter"/>
      <w:start w:val="1"/>
    </w:lvl>
  </w:abstractNum>
  <w:abstractNum w:abstractNumId="35">
    <w:nsid w:val="5DB70AE5"/>
    <w:multiLevelType w:val="hybridMultilevel"/>
    <w:lvl w:ilvl="0">
      <w:lvlJc w:val="left"/>
      <w:lvlText w:val="%1."/>
      <w:numFmt w:val="decimal"/>
      <w:start w:val="2"/>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lvl w:ilvl="1">
      <w:lvlJc w:val="left"/>
      <w:lvlText w:val="%2."/>
      <w:numFmt w:val="lowerLetter"/>
      <w:start w:val="1"/>
    </w:lvl>
  </w:abstractNum>
  <w:abstractNum w:abstractNumId="38">
    <w:nsid w:val="15014ACB"/>
    <w:multiLevelType w:val="hybridMultilevel"/>
    <w:lvl w:ilvl="0">
      <w:lvlJc w:val="left"/>
      <w:lvlText w:val="%1."/>
      <w:numFmt w:val="decimal"/>
      <w:start w:val="2"/>
    </w:lvl>
    <w:lvl w:ilvl="1">
      <w:lvlJc w:val="left"/>
      <w:lvlText w:val="%2."/>
      <w:numFmt w:val="lowerLetter"/>
      <w:start w:val="1"/>
    </w:lvl>
  </w:abstractNum>
  <w:abstractNum w:abstractNumId="39">
    <w:nsid w:val="5F5E7FD0"/>
    <w:multiLevelType w:val="hybridMultilevel"/>
    <w:lvl w:ilvl="0">
      <w:lvlJc w:val="left"/>
      <w:lvlText w:val="%1."/>
      <w:numFmt w:val="decimal"/>
      <w:start w:val="3"/>
    </w:lvl>
    <w:lvl w:ilvl="1">
      <w:lvlJc w:val="left"/>
      <w:lvlText w:val="%2."/>
      <w:numFmt w:val="lowerLetter"/>
      <w:start w:val="1"/>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2"/>
    </w:lvl>
    <w:lvl w:ilvl="1">
      <w:lvlJc w:val="left"/>
      <w:lvlText w:val="(%2)"/>
      <w:numFmt w:val="decimal"/>
      <w:start w:val="3"/>
    </w:lvl>
  </w:abstractNum>
  <w:abstractNum w:abstractNumId="42">
    <w:nsid w:val="6B94764"/>
    <w:multiLevelType w:val="hybridMultilevel"/>
    <w:lvl w:ilvl="0">
      <w:lvlJc w:val="left"/>
      <w:lvlText w:val="%1"/>
      <w:numFmt w:val="decimal"/>
      <w:start w:val="1"/>
    </w:lvl>
    <w:lvl w:ilvl="1">
      <w:lvlJc w:val="left"/>
      <w:lvlText w:val="(%2)"/>
      <w:numFmt w:val="decimal"/>
      <w:start w:val="1"/>
    </w:lvl>
  </w:abstractNum>
  <w:abstractNum w:abstractNumId="43">
    <w:nsid w:val="42C296BD"/>
    <w:multiLevelType w:val="hybridMultilevel"/>
    <w:lvl w:ilvl="0">
      <w:lvlJc w:val="left"/>
      <w:lvlText w:val="%1."/>
      <w:numFmt w:val="decimal"/>
      <w:start w:val="5"/>
    </w:lvl>
    <w:lvl w:ilvl="1">
      <w:lvlJc w:val="left"/>
      <w:lvlText w:val="(%2)"/>
      <w:numFmt w:val="decimal"/>
      <w:start w:val="1"/>
    </w:lvl>
  </w:abstractNum>
  <w:abstractNum w:abstractNumId="44">
    <w:nsid w:val="168E121F"/>
    <w:multiLevelType w:val="hybridMultilevel"/>
    <w:lvl w:ilvl="0">
      <w:lvlJc w:val="left"/>
      <w:lvlText w:val="%1"/>
      <w:numFmt w:val="decimal"/>
      <w:start w:val="1"/>
    </w:lvl>
    <w:lvl w:ilvl="1">
      <w:lvlJc w:val="left"/>
      <w:lvlText w:val="(%2)"/>
      <w:numFmt w:val="decimal"/>
      <w:start w:val="2"/>
    </w:lvl>
  </w:abstractNum>
  <w:abstractNum w:abstractNumId="45">
    <w:nsid w:val="1EBA5D23"/>
    <w:multiLevelType w:val="hybridMultilevel"/>
    <w:lvl w:ilvl="0">
      <w:lvlJc w:val="left"/>
      <w:lvlText w:val="%1."/>
      <w:numFmt w:val="decimal"/>
      <w:start w:val="6"/>
    </w:lvl>
    <w:lvl w:ilvl="1">
      <w:lvlJc w:val="left"/>
      <w:lvlText w:val="(%2)"/>
      <w:numFmt w:val="decimal"/>
      <w:start w:val="3"/>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3"/>
    </w:lvl>
  </w:abstractNum>
  <w:abstractNum w:abstractNumId="48">
    <w:nsid w:val="540A471C"/>
    <w:multiLevelType w:val="hybridMultilevel"/>
    <w:lvl w:ilvl="0">
      <w:lvlJc w:val="left"/>
      <w:lvlText w:val="%1."/>
      <w:numFmt w:val="decimal"/>
      <w:start w:val="1"/>
    </w:lvl>
    <w:lvl w:ilvl="1">
      <w:lvlJc w:val="left"/>
      <w:lvlText w:val="(%2)"/>
      <w:numFmt w:val="decimal"/>
      <w:start w:val="1"/>
    </w:lvl>
  </w:abstractNum>
  <w:abstractNum w:abstractNumId="49">
    <w:nsid w:val="7BD3EE7B"/>
    <w:multiLevelType w:val="hybridMultilevel"/>
    <w:lvl w:ilvl="0">
      <w:lvlJc w:val="left"/>
      <w:lvlText w:val="%1."/>
      <w:numFmt w:val="decimal"/>
      <w:start w:val="3"/>
    </w:lvl>
  </w:abstractNum>
  <w:abstractNum w:abstractNumId="50">
    <w:nsid w:val="51D9C564"/>
    <w:multiLevelType w:val="hybridMultilevel"/>
    <w:lvl w:ilvl="0">
      <w:lvlJc w:val="left"/>
      <w:lvlText w:val="%1"/>
      <w:numFmt w:val="decimal"/>
      <w:start w:val="1"/>
    </w:lvl>
    <w:lvl w:ilvl="1">
      <w:lvlJc w:val="left"/>
      <w:lvlText w:val="(%2)"/>
      <w:numFmt w:val="decimal"/>
      <w:start w:val="4"/>
    </w:lvl>
  </w:abstractNum>
  <w:abstractNum w:abstractNumId="51">
    <w:nsid w:val="613EFDC5"/>
    <w:multiLevelType w:val="hybridMultilevel"/>
    <w:lvl w:ilvl="0">
      <w:lvlJc w:val="left"/>
      <w:lvlText w:val="%1."/>
      <w:numFmt w:val="decimal"/>
      <w:start w:val="5"/>
    </w:lvl>
    <w:lvl w:ilvl="1">
      <w:lvlJc w:val="left"/>
      <w:lvlText w:val="(%2)"/>
      <w:numFmt w:val="decimal"/>
      <w:start w:val="1"/>
    </w:lvl>
  </w:abstractNum>
  <w:abstractNum w:abstractNumId="52">
    <w:nsid w:val="BF72B14"/>
    <w:multiLevelType w:val="hybridMultilevel"/>
    <w:lvl w:ilvl="0">
      <w:lvlJc w:val="left"/>
      <w:lvlText w:val="%1"/>
      <w:numFmt w:val="decimal"/>
      <w:start w:val="1"/>
    </w:lvl>
    <w:lvl w:ilvl="1">
      <w:lvlJc w:val="left"/>
      <w:lvlText w:val="(%2)"/>
      <w:numFmt w:val="decimal"/>
      <w:start w:val="2"/>
    </w:lvl>
  </w:abstractNum>
  <w:abstractNum w:abstractNumId="53">
    <w:nsid w:val="11447B73"/>
    <w:multiLevelType w:val="hybridMultilevel"/>
    <w:lvl w:ilvl="0">
      <w:lvlJc w:val="left"/>
      <w:lvlText w:val="%1."/>
      <w:numFmt w:val="decimal"/>
      <w:start w:val="7"/>
    </w:lvl>
    <w:lvl w:ilvl="1">
      <w:lvlJc w:val="left"/>
      <w:lvlText w:val="(%2)"/>
      <w:numFmt w:val="decimal"/>
      <w:start w:val="1"/>
    </w:lvl>
  </w:abstractNum>
  <w:abstractNum w:abstractNumId="54">
    <w:nsid w:val="42963E5A"/>
    <w:multiLevelType w:val="hybridMultilevel"/>
    <w:lvl w:ilvl="0">
      <w:lvlJc w:val="left"/>
      <w:lvlText w:val="%1."/>
      <w:numFmt w:val="decimal"/>
      <w:start w:val="8"/>
    </w:lvl>
  </w:abstractNum>
  <w:abstractNum w:abstractNumId="55">
    <w:nsid w:val="A0382C5"/>
    <w:multiLevelType w:val="hybridMultilevel"/>
    <w:lvl w:ilvl="0">
      <w:lvlJc w:val="left"/>
      <w:lvlText w:val="%1."/>
      <w:numFmt w:val="decimal"/>
      <w:start w:val="9"/>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1."/>
      <w:numFmt w:val="decimal"/>
      <w:start w:val="3"/>
    </w:lvl>
  </w:abstractNum>
  <w:abstractNum w:abstractNumId="58">
    <w:nsid w:val="3B0FD379"/>
    <w:multiLevelType w:val="hybridMultilevel"/>
    <w:lvl w:ilvl="0">
      <w:lvlJc w:val="left"/>
      <w:lvlText w:val="%1"/>
      <w:numFmt w:val="decimal"/>
      <w:start w:val="1"/>
    </w:lvl>
    <w:lvl w:ilvl="1">
      <w:lvlJc w:val="left"/>
      <w:lvlText w:val="(%2)"/>
      <w:numFmt w:val="lowerRoman"/>
      <w:start w:val="1"/>
    </w:lvl>
  </w:abstractNum>
  <w:abstractNum w:abstractNumId="59">
    <w:nsid w:val="68EB2F63"/>
    <w:multiLevelType w:val="hybridMultilevel"/>
    <w:lvl w:ilvl="0">
      <w:lvlJc w:val="left"/>
      <w:lvlText w:val="%1."/>
      <w:numFmt w:val="decimal"/>
      <w:start w:val="4"/>
    </w:lvl>
    <w:lvl w:ilvl="1">
      <w:lvlJc w:val="left"/>
      <w:lvlText w:val="%2"/>
      <w:numFmt w:val="lowerRoman"/>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2"/>
    </w:lvl>
  </w:abstractNum>
  <w:abstractNum w:abstractNumId="62">
    <w:nsid w:val="6A5EE64"/>
    <w:multiLevelType w:val="hybridMultilevel"/>
    <w:lvl w:ilvl="0">
      <w:lvlJc w:val="left"/>
      <w:lvlText w:val="%1."/>
      <w:numFmt w:val="decimal"/>
      <w:start w:val="8"/>
    </w:lvl>
  </w:abstractNum>
  <w:abstractNum w:abstractNumId="63">
    <w:nsid w:val="14330624"/>
    <w:multiLevelType w:val="hybridMultilevel"/>
    <w:lvl w:ilvl="0">
      <w:lvlJc w:val="left"/>
      <w:lvlText w:val="%1."/>
      <w:numFmt w:val="decimal"/>
      <w:start w:val="10"/>
    </w:lvl>
  </w:abstractNum>
  <w:abstractNum w:abstractNumId="64">
    <w:nsid w:val="7FFFCA11"/>
    <w:multiLevelType w:val="hybridMultilevel"/>
    <w:lvl w:ilvl="0">
      <w:lvlJc w:val="left"/>
      <w:lvlText w:val="%1."/>
      <w:numFmt w:val="decimal"/>
      <w:start w:val="11"/>
    </w:lvl>
    <w:lvl w:ilvl="1">
      <w:lvlJc w:val="left"/>
      <w:lvlText w:val="(%2)"/>
      <w:numFmt w:val="decimal"/>
      <w:start w:val="1"/>
    </w:lvl>
  </w:abstractNum>
  <w:abstractNum w:abstractNumId="65">
    <w:nsid w:val="1A27709E"/>
    <w:multiLevelType w:val="hybridMultilevel"/>
    <w:lvl w:ilvl="0">
      <w:lvlJc w:val="left"/>
      <w:lvlText w:val="%1"/>
      <w:numFmt w:val="decimal"/>
      <w:start w:val="1"/>
    </w:lvl>
    <w:lvl w:ilvl="1">
      <w:lvlJc w:val="left"/>
      <w:lvlText w:val="(%2)"/>
      <w:numFmt w:val="decimal"/>
      <w:start w:val="4"/>
    </w:lvl>
  </w:abstractNum>
  <w:abstractNum w:abstractNumId="66">
    <w:nsid w:val="71EA1109"/>
    <w:multiLevelType w:val="hybridMultilevel"/>
    <w:lvl w:ilvl="0">
      <w:lvlJc w:val="left"/>
      <w:lvlText w:val="%1."/>
      <w:numFmt w:val="decimal"/>
      <w:start w:val="13"/>
    </w:lvl>
    <w:lvl w:ilvl="1">
      <w:lvlJc w:val="left"/>
      <w:lvlText w:val="%2"/>
      <w:numFmt w:val="decimal"/>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lowerLetter"/>
      <w:start w:val="1"/>
    </w:lvl>
  </w:abstractNum>
  <w:abstractNum w:abstractNumId="70">
    <w:nsid w:val="6F6DD9AC"/>
    <w:multiLevelType w:val="hybridMultilevel"/>
    <w:lvl w:ilvl="0">
      <w:lvlJc w:val="left"/>
      <w:lvlText w:val="%1."/>
      <w:numFmt w:val="lowerLetter"/>
      <w:start w:val="6"/>
    </w:lvl>
  </w:abstractNum>
  <w:abstractNum w:abstractNumId="71">
    <w:nsid w:val="94211F2"/>
    <w:multiLevelType w:val="hybridMultilevel"/>
    <w:lvl w:ilvl="0">
      <w:lvlJc w:val="left"/>
      <w:lvlText w:val="%1."/>
      <w:numFmt w:val="decimal"/>
      <w:start w:val="4"/>
    </w:lvl>
  </w:abstractNum>
  <w:abstractNum w:abstractNumId="72">
    <w:nsid w:val="885E1B"/>
    <w:multiLevelType w:val="hybridMultilevel"/>
    <w:lvl w:ilvl="0">
      <w:lvlJc w:val="left"/>
      <w:lvlText w:val="%1."/>
      <w:numFmt w:val="decimal"/>
      <w:start w:val="6"/>
    </w:lvl>
    <w:lvl w:ilvl="1">
      <w:lvlJc w:val="left"/>
      <w:lvlText w:val="%2."/>
      <w:numFmt w:val="decimal"/>
      <w:start w:val="1"/>
    </w:lvl>
  </w:abstractNum>
  <w:abstractNum w:abstractNumId="73">
    <w:nsid w:val="76272110"/>
    <w:multiLevelType w:val="hybridMultilevel"/>
    <w:lvl w:ilvl="0">
      <w:lvlJc w:val="left"/>
      <w:lvlText w:val="%1."/>
      <w:numFmt w:val="lowerLetter"/>
      <w:start w:val="1"/>
    </w:lvl>
  </w:abstractNum>
  <w:abstractNum w:abstractNumId="74">
    <w:nsid w:val="4C04A8AF"/>
    <w:multiLevelType w:val="hybridMultilevel"/>
    <w:lvl w:ilvl="0">
      <w:lvlJc w:val="left"/>
      <w:lvlText w:val="%1."/>
      <w:numFmt w:val="decimal"/>
      <w:start w:val="8"/>
    </w:lvl>
  </w:abstractNum>
  <w:abstractNum w:abstractNumId="75">
    <w:nsid w:val="1716703B"/>
    <w:multiLevelType w:val="hybridMultilevel"/>
    <w:lvl w:ilvl="0">
      <w:lvlJc w:val="left"/>
      <w:lvlText w:val="%1."/>
      <w:numFmt w:val="lowerLetter"/>
      <w:start w:val="1"/>
    </w:lvl>
    <w:lvl w:ilvl="1">
      <w:lvlJc w:val="left"/>
      <w:lvlText w:val="•"/>
      <w:numFmt w:val="bullet"/>
      <w:start w:val="1"/>
    </w:lvl>
  </w:abstractNum>
  <w:abstractNum w:abstractNumId="76">
    <w:nsid w:val="14E17E33"/>
    <w:multiLevelType w:val="hybridMultilevel"/>
    <w:lvl w:ilvl="0">
      <w:lvlJc w:val="left"/>
      <w:lvlText w:val="%1."/>
      <w:numFmt w:val="decimal"/>
      <w:start w:val="9"/>
    </w:lvl>
  </w:abstractNum>
  <w:abstractNum w:abstractNumId="77">
    <w:nsid w:val="3222E7CD"/>
    <w:multiLevelType w:val="hybridMultilevel"/>
    <w:lvl w:ilvl="0">
      <w:lvlJc w:val="left"/>
      <w:lvlText w:val="%1."/>
      <w:numFmt w:val="lowerLetter"/>
      <w:start w:val="1"/>
    </w:lvl>
  </w:abstractNum>
  <w:abstractNum w:abstractNumId="78">
    <w:nsid w:val="74DE0EE3"/>
    <w:multiLevelType w:val="hybridMultilevel"/>
    <w:lvl w:ilvl="0">
      <w:lvlJc w:val="left"/>
      <w:lvlText w:val="%1."/>
      <w:numFmt w:val="lowerLetter"/>
      <w:start w:val="2"/>
    </w:lvl>
  </w:abstractNum>
  <w:abstractNum w:abstractNumId="79">
    <w:nsid w:val="68EBC550"/>
    <w:multiLevelType w:val="hybridMultilevel"/>
    <w:lvl w:ilvl="0">
      <w:lvlJc w:val="left"/>
      <w:lvlText w:val="%1."/>
      <w:numFmt w:val="decimal"/>
      <w:start w:val="10"/>
    </w:lvl>
  </w:abstractNum>
  <w:abstractNum w:abstractNumId="80">
    <w:nsid w:val="2DF6D648"/>
    <w:multiLevelType w:val="hybridMultilevel"/>
    <w:lvl w:ilvl="0">
      <w:lvlJc w:val="left"/>
      <w:lvlText w:val="%1."/>
      <w:numFmt w:val="lowerLetter"/>
      <w:start w:val="1"/>
    </w:lvl>
  </w:abstractNum>
  <w:abstractNum w:abstractNumId="81">
    <w:nsid w:val="46B7D447"/>
    <w:multiLevelType w:val="hybridMultilevel"/>
    <w:lvl w:ilvl="0">
      <w:lvlJc w:val="left"/>
      <w:lvlText w:val="%1."/>
      <w:numFmt w:val="lowerLetter"/>
      <w:start w:val="3"/>
    </w:lvl>
  </w:abstractNum>
  <w:abstractNum w:abstractNumId="82">
    <w:nsid w:val="4A2AC315"/>
    <w:multiLevelType w:val="hybridMultilevel"/>
    <w:lvl w:ilvl="0">
      <w:lvlJc w:val="left"/>
      <w:lvlText w:val="%1."/>
      <w:numFmt w:val="decimal"/>
      <w:start w:val="1"/>
    </w:lvl>
    <w:lvl w:ilvl="1">
      <w:lvlJc w:val="left"/>
      <w:lvlText w:val="%2."/>
      <w:numFmt w:val="decimal"/>
      <w:start w:val="1"/>
    </w:lvl>
  </w:abstractNum>
  <w:abstractNum w:abstractNumId="83">
    <w:nsid w:val="39EE015C"/>
    <w:multiLevelType w:val="hybridMultilevel"/>
    <w:lvl w:ilvl="0">
      <w:lvlJc w:val="left"/>
      <w:lvlText w:val="%1"/>
      <w:numFmt w:val="decimal"/>
      <w:start w:val="1"/>
    </w:lvl>
    <w:lvl w:ilvl="1">
      <w:lvlJc w:val="left"/>
      <w:lvlText w:val="%2."/>
      <w:numFmt w:val="decimal"/>
      <w:start w:val="2"/>
    </w:lvl>
  </w:abstractNum>
  <w:abstractNum w:abstractNumId="84">
    <w:nsid w:val="57FC4FBB"/>
    <w:multiLevelType w:val="hybridMultilevel"/>
    <w:lvl w:ilvl="0">
      <w:lvlJc w:val="left"/>
      <w:lvlText w:val="%1."/>
      <w:numFmt w:val="decimal"/>
      <w:start w:val="6"/>
    </w:lvl>
    <w:lvl w:ilvl="1">
      <w:lvlJc w:val="left"/>
      <w:lvlText w:val="%2."/>
      <w:numFmt w:val="decimal"/>
      <w:start w:val="1"/>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lowerLetter"/>
      <w:start w:val="2"/>
    </w:lvl>
    <w:lvl w:ilvl="1">
      <w:lvlJc w:val="left"/>
      <w:lvlText w:val="%2)"/>
      <w:numFmt w:val="decimal"/>
      <w:start w:val="1"/>
    </w:lvl>
  </w:abstractNum>
  <w:abstractNum w:abstractNumId="87">
    <w:nsid w:val="60EF0119"/>
    <w:multiLevelType w:val="hybridMultilevel"/>
    <w:lvl w:ilvl="0">
      <w:lvlJc w:val="left"/>
      <w:lvlText w:val="%1."/>
      <w:numFmt w:val="decimal"/>
      <w:start w:val="11"/>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1."/>
      <w:numFmt w:val="lowerLetter"/>
      <w:start w:val="7"/>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1."/>
      <w:numFmt w:val="decimal"/>
      <w:start w:val="1"/>
    </w:lvl>
    <w:lvl w:ilvl="1">
      <w:lvlJc w:val="left"/>
      <w:lvlText w:val="%2."/>
      <w:numFmt w:val="decimal"/>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54" Type="http://schemas.openxmlformats.org/officeDocument/2006/relationships/hyperlink" Target="https://www.sec.gov/Archives/edgar/data/0001786431/000119312520024304/d874780dex31.htm" TargetMode="External"/><Relationship Id="rId55" Type="http://schemas.openxmlformats.org/officeDocument/2006/relationships/hyperlink" Target="https://www.sec.gov/Archives/edgar/data/1786431/000162828024018207/reyn-20240425xex31.htm" TargetMode="External"/><Relationship Id="rId56" Type="http://schemas.openxmlformats.org/officeDocument/2006/relationships/hyperlink" Target="https://www.sec.gov/Archives/edgar/data/0001786431/000119312520024304/d874780dex32.htm" TargetMode="External"/><Relationship Id="rId57" Type="http://schemas.openxmlformats.org/officeDocument/2006/relationships/hyperlink" Target="https://www.sec.gov/Archives/edgar/data/1786431/000119312524133840/d81601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2024-08-07T08:21:35Z</dcterms:created>
  <dcterms:modified xsi:type="dcterms:W3CDTF">2024-08-07T08:21:35Z</dcterms:modified>
</cp:coreProperties>
</file>