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42"/>
          <w:szCs w:val="42"/>
          <w:b w:val="1"/>
          <w:bCs w:val="1"/>
          <w:color w:val="auto"/>
        </w:rPr>
        <w:t>REYNOLDS CONSUMER PRODUCTS INC.</w:t>
      </w:r>
    </w:p>
    <w:p>
      <w:pPr>
        <w:spacing w:after="0" w:line="6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001-39205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45-3464426</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2004"/>
        <w:spacing w:after="0"/>
        <w:rPr>
          <w:sz w:val="20"/>
          <w:szCs w:val="20"/>
          <w:color w:val="auto"/>
        </w:rPr>
      </w:pPr>
      <w:r>
        <w:rPr>
          <w:rFonts w:ascii="Arial" w:cs="Arial" w:eastAsia="Arial" w:hAnsi="Arial"/>
          <w:sz w:val="16"/>
          <w:szCs w:val="16"/>
          <w:b w:val="1"/>
          <w:bCs w:val="1"/>
          <w:color w:val="auto"/>
        </w:rPr>
        <w:t>1900 W. Field Court</w:t>
      </w:r>
    </w:p>
    <w:p>
      <w:pPr>
        <w:spacing w:after="0" w:line="50" w:lineRule="exact"/>
        <w:rPr>
          <w:sz w:val="24"/>
          <w:szCs w:val="24"/>
          <w:color w:val="auto"/>
        </w:rPr>
      </w:pPr>
    </w:p>
    <w:p>
      <w:pPr>
        <w:ind w:left="2004"/>
        <w:spacing w:after="0"/>
        <w:rPr>
          <w:sz w:val="20"/>
          <w:szCs w:val="20"/>
          <w:color w:val="auto"/>
        </w:rPr>
      </w:pPr>
      <w:r>
        <w:rPr>
          <w:rFonts w:ascii="Arial" w:cs="Arial" w:eastAsia="Arial" w:hAnsi="Arial"/>
          <w:sz w:val="16"/>
          <w:szCs w:val="16"/>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60045</w:t>
      </w:r>
    </w:p>
    <w:p>
      <w:pPr>
        <w:spacing w:after="0" w:line="62"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(800) 879-5067</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REYN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-408305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60" w:space="440"/>
            <w:col w:w="9800"/>
          </w:cols>
          <w:pgMar w:left="440" w:top="297" w:right="459" w:bottom="1440" w:gutter="0" w:footer="0" w:header="0"/>
        </w:sectPr>
      </w:pPr>
    </w:p>
    <w:p>
      <w:pPr>
        <w:spacing w:after="0"/>
        <w:rPr>
          <w:sz w:val="20"/>
          <w:szCs w:val="20"/>
          <w:color w:val="auto"/>
        </w:rPr>
      </w:pPr>
      <w:r>
        <w:rPr>
          <w:rFonts w:ascii="Arial" w:cs="Arial" w:eastAsia="Arial" w:hAnsi="Arial"/>
          <w:sz w:val="18"/>
          <w:szCs w:val="18"/>
          <w:b w:val="1"/>
          <w:bCs w:val="1"/>
          <w:color w:val="auto"/>
        </w:rPr>
        <w:t>Chief Financial Officer Transition</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October 12, 2023, Reynolds Consumer Products Inc. (the “Company”) announced that its Board of Directors has appointed Scott E. Huckins as the Company’s Chief Financial Officer, effective November 13, 2023, to succeed Michael Graham, who previously announced his planned retirement from the Company.</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October 23, 2023, Scott E. Huckins will begin employment with the Company in an advisory role and, effective November 13, 2023, will be appointed Vice President, Chief Financial Officer and Treasurer of the Company.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upon Mr. Huckins’ appointment as Chief Financial Officer, Michael Graham will step down from this position and move into an advisory role to assist with the transition. Mr. Graham will remain a full-time employee with the Company, with the same compensation and under the same terms and conditions as his current employment agreement, until his retirement on or about February 7, 2024.</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Huckins will be joining the Company from SunOpta, Inc. where he has served as the CFO since 2019. Mr. Huckins previously served as CFO of Claire’s Stores Inc. from 2016 to 2019. Prior to Claire’s, Mr. Huckins was with Sears Holdings from 2012 to 2016 where he served in the roles of Vice President – Treasurer and President – Sears Reinsurance Company, Ltd. Mr. Huckins also served as Vice President – Treasury, Tax, and Investor Relations at RCS Holdings, Inc. He also formerly served as Principal at Pioneer Advisors. Prior to that, Mr. Huckins served in several leadership roles at Koch Industries Inc. and affiliated companies, including as President &amp; CEO of Koch Financial Products, LLC, CFO of the Capital Markets Division, Treasurer of Koch Industries Inc., and CFO of KoSa B.V. Mr. Huckins holds a Bachelor of Science in Finance from Arizona State University and earned a Master of Management, with concentrations in Finance and Management Strategy, from Northwestern University, J.L. Kellogg Graduate School of Management.</w:t>
      </w:r>
    </w:p>
    <w:p>
      <w:pPr>
        <w:spacing w:after="0" w:line="1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There are no arrangements or understandings between Mr. Huckins and any other persons pursuant to which Mr. Huckins was selected as Chief Financial Officer, nor is Mr. Huckins a party to any related persons transactions required to be reported pursuant to Item 404(a) of Regulation 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Mr. Huckins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15, 2023, Scott E. Huckins accepted a written offer letter of employment from the Company for the position of Chief Financial Officer (the “Offer Letter”). Mr. Huckins has also entered into an Employment Agreement (“Employment Agreement”) and a Restrictive Covenant Agreement (“Restrictive Covenant Agreement”) in substantially the same form as entered into by the Company’s other executive officers, which agreements will be effective on Mr. Huckins’ start date of October 23, 2023.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Letter</w:t>
      </w:r>
    </w:p>
    <w:p>
      <w:pPr>
        <w:spacing w:after="0" w:line="117"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Mr. Huckins will be paid an initial annual base salary of $675,000. Mr. Huckins will participate in the Company’s annual incentive program, with a target annual bonus opportunity for 2023 of 75% of his base salary, prorated for 2023 based on his start date, and under the same terms as the Company’s other executive officers. In addition, Mr. Huckins will be eligible to participate in the Company’s 2024 long-term incentive program in a target amount equal to 190% of his base salary in 2024, under the same terms as the Company’s other executive officers.</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recognition of Mr. Huckins’ acceptance of the role of Chief Financial Officer, Mr. Huckins will receive: (i) a cash sign-on bonus of $500,000, payable on or about December 31, 2023, which will be subject to full repayment by Mr. Huckins to the Company in the event that, within one year following the payment date, he voluntarily terminates his employment or the Company terminates his employment for cause; and (ii) a one-time equity award under the Company’s Equity Incentive Plan, as amended and restated on January 27, 2022, of restricted stock units (“RSUs”), with a grant date of December 1, 2023 and a grant date fair value of approximately $1,500,000 that will vest ratably on December 1, 2024, December 1, 2025 and December 1, 2026.</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foregoing description of the Offer Letter is a summary and is qualified in its entirety by reference to the Offer Letter, which is attached as Exhibit 10.1 to this report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Payments Upon Termination or Change in Control</w:t>
      </w:r>
    </w:p>
    <w:p>
      <w:pPr>
        <w:spacing w:after="0" w:line="11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Employment Agreement provides that Mr. Huckins will be eligible for severance in the event of certain types of termination as follows: (a) if Mr. Huckins is terminated without Cause (as defined in the Employment Agreement) prior to a Sale of Business (as defined in the Employment Agreement), Mr. Huckins would be entitled to receive one times his base salary, paid in equal installments over 12 months following the date of termination; or (b) if a Sale of Business occurs and within 12 months following the closing of such Sale of Business either Mr. Huckins is terminated without Cause, or his position is materially reduced in remuneration or scope of duties and Mr. Huckins terminates his employment, then Mr. Huckins would be entitled to receive (i) two times his base salary plus (ii) his annual bonus at target prorated through the date of termination, paid in equal installments over 24 months following the date of termination. In addition, if Mr. Huckins is terminated without Cause, then Mr. Huckins and his eligible dependents will continue to be covered by the Company’s health plan for 12 months from the date of termination.</w:t>
      </w:r>
    </w:p>
    <w:p>
      <w:pPr>
        <w:sectPr>
          <w:pgSz w:w="11900" w:h="16838" w:orient="portrait"/>
          <w:cols w:equalWidth="0" w:num="1">
            <w:col w:w="11000"/>
          </w:cols>
          <w:pgMar w:left="440" w:top="297" w:right="459" w:bottom="1440" w:gutter="0" w:footer="0" w:header="0"/>
          <w:type w:val="continuous"/>
        </w:sectPr>
      </w:pPr>
    </w:p>
    <w:bookmarkStart w:id="2" w:name="page3"/>
    <w:bookmarkEnd w:id="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Employment Agreement provides that if Mr. Huckins breaches any of the provisions of the Restrictive Covenant Agreement, his right to receive further payments of severance amounts will be terminated.</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description of the Employment Agreement is a summary and is qualified in its entirety by reference to the Employment Agreement (including the Restrictive Covenant Agreement attached thereto), which is attached as Exhibit 10.2 to this report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Mr. Graham</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Effective November 13, 2023, upon the appointment of Mr. Huckins as Chief Financial Officer, Mr. Graham will step down from this position and move into an advisory role to assist with the transition. Mr. Graham will remain a full-time employee with the Company, with the same compensation and under the same terms and conditions as his current employment agreement, until his voluntary retirement on or about February 7, 2024. Mr. Graham is expected to qualify for all Company retirement benefits, including Enhanced Retirement benefits received pursuant to the terms of the equity awards granted to him on each of February 1, 2022 and February 1, 2023. A description of the Company’s retirement benefits, including with respect to equity awards, is provided in the Company’s definitive proxy statement for the 2023 annual meeting of stockholders filed with the Securities and Exchange Commission on March 14, 2023.</w:t>
      </w:r>
    </w:p>
    <w:p>
      <w:pPr>
        <w:spacing w:after="0" w:line="33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October 12, 2023, the Company issued a press release announcing the leadership changes described in Item 5.02 above. A copy of the press release is furnished as Exhibit 99.1 to this report.</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information contained in this Item 7.01, including the related information set forth in the press release attached hereto as Exhibit 99.1, is being “furnished” and shall not be deemed “filed” with the SEC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20" w:type="dxa"/>
            <w:vAlign w:val="bottom"/>
            <w:gridSpan w:val="4"/>
          </w:tcPr>
          <w:p>
            <w:pPr>
              <w:ind w:left="32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w w:val="95"/>
              </w:rPr>
              <w:t>(d) Exhibits</w:t>
            </w:r>
          </w:p>
        </w:tc>
        <w:tc>
          <w:tcPr>
            <w:tcW w:w="3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60" w:type="dxa"/>
            <w:vAlign w:val="bottom"/>
          </w:tcPr>
          <w:p>
            <w:pPr>
              <w:spacing w:after="0"/>
              <w:rPr>
                <w:sz w:val="24"/>
                <w:szCs w:val="24"/>
                <w:color w:val="auto"/>
              </w:rPr>
            </w:pPr>
          </w:p>
        </w:tc>
        <w:tc>
          <w:tcPr>
            <w:tcW w:w="60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3860" w:type="dxa"/>
            <w:vAlign w:val="bottom"/>
          </w:tcPr>
          <w:p>
            <w:pPr>
              <w:spacing w:after="0"/>
              <w:rPr>
                <w:sz w:val="16"/>
                <w:szCs w:val="16"/>
                <w:color w:val="auto"/>
              </w:rPr>
            </w:pPr>
          </w:p>
        </w:tc>
        <w:tc>
          <w:tcPr>
            <w:tcW w:w="6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8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Offer Letter, dated as of September 15, 2023, by and between Reynolds Consumer Products Inc. and Scott E. Huckins</w:t>
            </w: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99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Employment Agreement, effective October 23, 2023, by and between Reynolds Consumer Products LLC and Scott E. Huckins (including</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920" w:type="dxa"/>
            <w:vAlign w:val="bottom"/>
            <w:gridSpan w:val="4"/>
          </w:tcPr>
          <w:p>
            <w:pPr>
              <w:spacing w:after="0" w:line="196" w:lineRule="exact"/>
              <w:rPr>
                <w:sz w:val="20"/>
                <w:szCs w:val="20"/>
                <w:color w:val="auto"/>
              </w:rPr>
            </w:pPr>
            <w:r>
              <w:rPr>
                <w:rFonts w:ascii="Arial" w:cs="Arial" w:eastAsia="Arial" w:hAnsi="Arial"/>
                <w:sz w:val="18"/>
                <w:szCs w:val="18"/>
                <w:color w:val="0000EE"/>
              </w:rPr>
              <w:t>the Restrictive Covenant Agreement attached thereto)</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9920" w:type="dxa"/>
            <w:vAlign w:val="bottom"/>
            <w:gridSpan w:val="4"/>
          </w:tcPr>
          <w:p>
            <w:pPr>
              <w:spacing w:after="0"/>
              <w:rPr>
                <w:sz w:val="20"/>
                <w:szCs w:val="20"/>
                <w:color w:val="auto"/>
              </w:rPr>
            </w:pPr>
            <w:r>
              <w:rPr>
                <w:rFonts w:ascii="Arial" w:cs="Arial" w:eastAsia="Arial" w:hAnsi="Arial"/>
                <w:sz w:val="18"/>
                <w:szCs w:val="18"/>
                <w:color w:val="0000EE"/>
              </w:rPr>
              <w:t>Press Release issued by Reynolds Consumer Products Inc. on October 12, 2023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20" w:type="dxa"/>
            <w:vAlign w:val="bottom"/>
            <w:gridSpan w:val="2"/>
            <w:shd w:val="clear" w:color="auto" w:fill="0000EE"/>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99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301" w:right="4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REYNOLDS CONSUMER PRODUCTS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Watson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660"/>
          </w:cols>
          <w:pgMar w:left="440" w:top="297" w:right="7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94615</wp:posOffset>
            </wp:positionV>
            <wp:extent cx="5597525" cy="771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9752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September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Scott Huckins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behalf of Reynolds Consumer Products, it is my pleasure to confirm our offer of employment to you for the position of Chief Financial Officer at our Lake Forest, IL facility, reporting to me. Everyone who participated in the selection process is excited about you joining the Reynolds Consumer Products family.</w:t>
      </w:r>
    </w:p>
    <w:p>
      <w:pPr>
        <w:spacing w:after="0" w:line="1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Reynolds Consumer Products (RCP) is a leading provider of household products that simplify daily life so you can enjoy what matters most. While our products have been trusted by generations, we are a young, innovative company where employees can make an impact. We have worked together to build a company that is trusted by our customers, vendors, and employees, and especially, by the people who use our products. As a future member of the RCP family, we look forward to you making a difference and influencing the future of our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desire to have you join us is demonstrated by this comprehensive </w:t>
      </w:r>
      <w:r>
        <w:rPr>
          <w:rFonts w:ascii="Arial" w:cs="Arial" w:eastAsia="Arial" w:hAnsi="Arial"/>
          <w:sz w:val="16"/>
          <w:szCs w:val="16"/>
          <w:b w:val="1"/>
          <w:bCs w:val="1"/>
          <w:color w:val="auto"/>
        </w:rPr>
        <w:t>Total Rewards Package</w:t>
      </w:r>
      <w:r>
        <w:rPr>
          <w:rFonts w:ascii="Arial" w:cs="Arial" w:eastAsia="Arial" w:hAnsi="Arial"/>
          <w:sz w:val="16"/>
          <w:szCs w:val="16"/>
          <w:color w:val="auto"/>
        </w:rPr>
        <w:t xml:space="preserve"> including but not limited to </w:t>
      </w:r>
      <w:r>
        <w:rPr>
          <w:rFonts w:ascii="Arial" w:cs="Arial" w:eastAsia="Arial" w:hAnsi="Arial"/>
          <w:sz w:val="16"/>
          <w:szCs w:val="16"/>
          <w:b w:val="1"/>
          <w:bCs w:val="1"/>
          <w:color w:val="auto"/>
        </w:rPr>
        <w:t>Compensation, Benefits &amp;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 Time Off, Individual Growth and Work Environment: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13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You will receive an annual base salary of $675,000, paid on a semi-monthly basis on the 15th and last day of each month.</w:t>
      </w:r>
    </w:p>
    <w:p>
      <w:pPr>
        <w:spacing w:after="0" w:line="153" w:lineRule="exact"/>
        <w:rPr>
          <w:rFonts w:ascii="Arial" w:cs="Arial" w:eastAsia="Arial" w:hAnsi="Arial"/>
          <w:sz w:val="16"/>
          <w:szCs w:val="16"/>
          <w:color w:val="auto"/>
        </w:rPr>
      </w:pPr>
    </w:p>
    <w:p>
      <w:pPr>
        <w:ind w:left="960" w:right="20" w:hanging="424"/>
        <w:spacing w:after="0" w:line="29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Sign-on Bonus: </w:t>
      </w:r>
      <w:r>
        <w:rPr>
          <w:rFonts w:ascii="Arial" w:cs="Arial" w:eastAsia="Arial" w:hAnsi="Arial"/>
          <w:sz w:val="16"/>
          <w:szCs w:val="16"/>
          <w:color w:val="auto"/>
        </w:rPr>
        <w:t>In addition, you will receive a cash sign-on bonus of $500,000. This amount will be paid out no later than 12/31/2023</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you sign the enclosed promissory note (which can be returned with the signed copy of this offer letter per the instructions below). In addition, effective 12/1/2023, you will receive a grant of Restricted Stock Units with a grant date fair value of $1,500,000 which vests ratably over 3 years on 12/1/2024, 12/1/2025 and 12/1/2026 respectively. A separate email will be sent from E*TRADE with your award document shortly after 12/1/2023. You will be required to review and accept your awards on E*TRADE.</w:t>
      </w:r>
    </w:p>
    <w:p>
      <w:pPr>
        <w:spacing w:after="0" w:line="59" w:lineRule="exact"/>
        <w:rPr>
          <w:rFonts w:ascii="Arial" w:cs="Arial" w:eastAsia="Arial" w:hAnsi="Arial"/>
          <w:sz w:val="16"/>
          <w:szCs w:val="16"/>
          <w:color w:val="auto"/>
        </w:rPr>
      </w:pPr>
    </w:p>
    <w:p>
      <w:pPr>
        <w:ind w:left="960" w:right="140" w:hanging="424"/>
        <w:spacing w:after="0" w:line="26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Plan (AIP): </w:t>
      </w:r>
      <w:r>
        <w:rPr>
          <w:rFonts w:ascii="Arial" w:cs="Arial" w:eastAsia="Arial" w:hAnsi="Arial"/>
          <w:sz w:val="18"/>
          <w:szCs w:val="18"/>
          <w:color w:val="auto"/>
        </w:rPr>
        <w:t>In addition to your base salary, you will be eligible to participate in the Reynolds Consumer Products AIP</w:t>
      </w:r>
      <w:r>
        <w:rPr>
          <w:rFonts w:ascii="Arial" w:cs="Arial" w:eastAsia="Arial" w:hAnsi="Arial"/>
          <w:sz w:val="18"/>
          <w:szCs w:val="18"/>
          <w:b w:val="1"/>
          <w:bCs w:val="1"/>
          <w:color w:val="auto"/>
        </w:rPr>
        <w:t xml:space="preserve"> </w:t>
      </w:r>
      <w:r>
        <w:rPr>
          <w:rFonts w:ascii="Arial" w:cs="Arial" w:eastAsia="Arial" w:hAnsi="Arial"/>
          <w:sz w:val="18"/>
          <w:szCs w:val="18"/>
          <w:color w:val="auto"/>
        </w:rPr>
        <w:t>in a target amount equal to 75% paid annually. Your participation for 2023 will be prorated based on your start date. The AIP is a discretionary program with payments contingent upon company performance as well as you remaining continuously employed up to and including the incentive plan payout date.</w:t>
      </w:r>
    </w:p>
    <w:p>
      <w:pPr>
        <w:spacing w:after="0" w:line="85" w:lineRule="exact"/>
        <w:rPr>
          <w:rFonts w:ascii="Arial" w:cs="Arial" w:eastAsia="Arial" w:hAnsi="Arial"/>
          <w:sz w:val="18"/>
          <w:szCs w:val="18"/>
          <w:color w:val="auto"/>
        </w:rPr>
      </w:pPr>
    </w:p>
    <w:p>
      <w:pPr>
        <w:jc w:val="both"/>
        <w:ind w:left="960" w:right="320" w:hanging="424"/>
        <w:spacing w:after="0" w:line="314"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Long Term Incentive Plan (LTIP): </w:t>
      </w:r>
      <w:r>
        <w:rPr>
          <w:rFonts w:ascii="Arial" w:cs="Arial" w:eastAsia="Arial" w:hAnsi="Arial"/>
          <w:sz w:val="16"/>
          <w:szCs w:val="16"/>
          <w:color w:val="auto"/>
        </w:rPr>
        <w:t>In addition to the AIP, you will be eligible to participate in the LTIP with a 190% target starting in</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2024. The LTIP is a discretionary program designed to reward sustained financial performance. The LTIP will be split evenly between Restricted Stock and Performance Stock Units and further details will be provided upon your acceptance of the offer.</w:t>
      </w:r>
    </w:p>
    <w:p>
      <w:pPr>
        <w:spacing w:after="0" w:line="37"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Based on the above, your Target Compensation is as follows:</w:t>
      </w:r>
    </w:p>
    <w:p>
      <w:pPr>
        <w:sectPr>
          <w:pgSz w:w="11900" w:h="16838" w:orient="portrait"/>
          <w:cols w:equalWidth="0" w:num="1">
            <w:col w:w="11020"/>
          </w:cols>
          <w:pgMar w:left="440" w:top="121" w:right="4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Base Salary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$675,000</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2160" w:type="dxa"/>
        <w:tblCellMar>
          <w:top w:w="0" w:type="dxa"/>
          <w:left w:w="0" w:type="dxa"/>
          <w:bottom w:w="0" w:type="dxa"/>
          <w:right w:w="0" w:type="dxa"/>
        </w:tblCellMar>
      </w:tblPr>
      <w:tr>
        <w:trPr>
          <w:trHeight w:val="161"/>
        </w:trPr>
        <w:tc>
          <w:tcPr>
            <w:tcW w:w="120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rPr>
              <w:t>AIP %</w:t>
            </w:r>
          </w:p>
        </w:tc>
        <w:tc>
          <w:tcPr>
            <w:tcW w:w="14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rPr>
              <w:t>AIP $</w:t>
            </w: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Target Total</w:t>
            </w:r>
          </w:p>
        </w:tc>
        <w:tc>
          <w:tcPr>
            <w:tcW w:w="128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LTIP %</w:t>
            </w:r>
          </w:p>
        </w:tc>
        <w:tc>
          <w:tcPr>
            <w:tcW w:w="15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9"/>
              </w:rPr>
              <w:t>LTIP $</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Total Target</w:t>
            </w: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Cash</w:t>
            </w:r>
          </w:p>
        </w:tc>
        <w:tc>
          <w:tcPr>
            <w:tcW w:w="128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Direct Comp</w:t>
            </w:r>
          </w:p>
        </w:tc>
        <w:tc>
          <w:tcPr>
            <w:tcW w:w="0" w:type="dxa"/>
            <w:vAlign w:val="bottom"/>
          </w:tcPr>
          <w:p>
            <w:pPr>
              <w:spacing w:after="0"/>
              <w:rPr>
                <w:sz w:val="1"/>
                <w:szCs w:val="1"/>
                <w:color w:val="auto"/>
              </w:rPr>
            </w:pPr>
          </w:p>
        </w:tc>
      </w:tr>
      <w:tr>
        <w:trPr>
          <w:trHeight w:val="224"/>
        </w:trPr>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75%</w:t>
            </w:r>
          </w:p>
        </w:tc>
        <w:tc>
          <w:tcPr>
            <w:tcW w:w="7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$506,250</w:t>
            </w:r>
          </w:p>
        </w:tc>
        <w:tc>
          <w:tcPr>
            <w:tcW w:w="76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$1,181,250</w:t>
            </w:r>
          </w:p>
        </w:tc>
        <w:tc>
          <w:tcPr>
            <w:tcW w:w="7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190%</w:t>
            </w:r>
          </w:p>
        </w:tc>
        <w:tc>
          <w:tcPr>
            <w:tcW w:w="7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$1,282,500</w:t>
            </w:r>
          </w:p>
        </w:tc>
        <w:tc>
          <w:tcPr>
            <w:tcW w:w="76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$2,463,750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-154305</wp:posOffset>
            </wp:positionV>
            <wp:extent cx="699516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6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Pay Equity: </w:t>
      </w:r>
      <w:r>
        <w:rPr>
          <w:rFonts w:ascii="Arial" w:cs="Arial" w:eastAsia="Arial" w:hAnsi="Arial"/>
          <w:sz w:val="18"/>
          <w:szCs w:val="18"/>
          <w:color w:val="auto"/>
        </w:rPr>
        <w:t>RCP is committed to ensuring fair and equitable compensation practices, maintaining competitive salaries, and upholding a</w:t>
      </w:r>
      <w:r>
        <w:rPr>
          <w:rFonts w:ascii="Arial" w:cs="Arial" w:eastAsia="Arial" w:hAnsi="Arial"/>
          <w:sz w:val="18"/>
          <w:szCs w:val="18"/>
          <w:b w:val="1"/>
          <w:bCs w:val="1"/>
          <w:color w:val="auto"/>
        </w:rPr>
        <w:t xml:space="preserve"> </w:t>
      </w:r>
      <w:r>
        <w:rPr>
          <w:rFonts w:ascii="Arial" w:cs="Arial" w:eastAsia="Arial" w:hAnsi="Arial"/>
          <w:sz w:val="18"/>
          <w:szCs w:val="18"/>
          <w:color w:val="auto"/>
        </w:rPr>
        <w:t>diverse and inclusive workplace.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5820410"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20410" cy="523240"/>
                    </a:xfrm>
                    <a:prstGeom prst="rect">
                      <a:avLst/>
                    </a:prstGeom>
                    <a:noFill/>
                  </pic:spPr>
                </pic:pic>
              </a:graphicData>
            </a:graphic>
          </wp:anchor>
        </w:drawing>
      </w:r>
    </w:p>
    <w:p>
      <w:pPr>
        <w:sectPr>
          <w:pgSz w:w="11900" w:h="16838" w:orient="portrait"/>
          <w:cols w:equalWidth="0" w:num="2">
            <w:col w:w="720" w:space="240"/>
            <w:col w:w="10060"/>
          </w:cols>
          <w:pgMar w:left="440" w:top="121" w:right="439" w:bottom="1440" w:gutter="0" w:footer="0" w:header="0"/>
          <w:type w:val="continuous"/>
        </w:sectPr>
      </w:pPr>
    </w:p>
    <w:bookmarkStart w:id="5" w:name="page6"/>
    <w:bookmarkEnd w:id="5"/>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979805</wp:posOffset>
            </wp:positionH>
            <wp:positionV relativeFrom="page">
              <wp:posOffset>260350</wp:posOffset>
            </wp:positionV>
            <wp:extent cx="5597525" cy="77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71525"/>
                    </a:xfrm>
                    <a:prstGeom prst="rect">
                      <a:avLst/>
                    </a:prstGeom>
                    <a:noFill/>
                  </pic:spPr>
                </pic:pic>
              </a:graphicData>
            </a:graphic>
          </wp:anchor>
        </w:drawing>
      </w:r>
    </w:p>
    <w:p>
      <w:pPr>
        <w:ind w:left="960" w:right="80" w:hanging="424"/>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Deferred Compensation Program: </w:t>
      </w:r>
      <w:r>
        <w:rPr>
          <w:rFonts w:ascii="Arial" w:cs="Arial" w:eastAsia="Arial" w:hAnsi="Arial"/>
          <w:sz w:val="18"/>
          <w:szCs w:val="18"/>
          <w:color w:val="auto"/>
        </w:rPr>
        <w:t>Based on your role, you are eligible to participate in Reynolds Consumer Products’ Nonqualified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Plan. The company may make contributions to the Deferred Compensation Plan on your behalf and these contributions are made during the first quarter of the following year for the previous year’s participation. You will be eligible for company contributions if you are actively employed on December 31 of the plan year. The company will match up to a maximum of 6% of total eligible earnings between the 401(k) Plan and the Nonqualified Deferred Compensation Plan. Additional details on this program are attached.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35" w:lineRule="exact"/>
        <w:rPr>
          <w:sz w:val="20"/>
          <w:szCs w:val="20"/>
          <w:color w:val="auto"/>
        </w:rPr>
      </w:pPr>
    </w:p>
    <w:p>
      <w:pPr>
        <w:ind w:left="960" w:right="2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the nature of your position, you will be required to sign an Employment Agreement and a Restrictive Covenant Agreement upon your hire. Copies of the agreements are enclosed for your review and signature.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 and Paid Time Off:</w:t>
      </w:r>
    </w:p>
    <w:p>
      <w:pPr>
        <w:spacing w:after="0" w:line="131" w:lineRule="exact"/>
        <w:rPr>
          <w:sz w:val="20"/>
          <w:szCs w:val="20"/>
          <w:color w:val="auto"/>
        </w:rPr>
      </w:pPr>
    </w:p>
    <w:p>
      <w:pPr>
        <w:ind w:left="960" w:hanging="424"/>
        <w:spacing w:after="0" w:line="26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Health &amp; Welfare Benefits</w:t>
      </w:r>
      <w:r>
        <w:rPr>
          <w:rFonts w:ascii="Arial" w:cs="Arial" w:eastAsia="Arial" w:hAnsi="Arial"/>
          <w:sz w:val="18"/>
          <w:szCs w:val="18"/>
          <w:color w:val="auto"/>
        </w:rPr>
        <w:t>: Our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RCP Healthy Life Benefit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health, vision, and dental benefits coverage on your first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employment. Please remember to make your benefit elections within 30 days of eligibility. We also provide company paid life, accidental death &amp; dismemberment, short-term disability, and long-term disability coverage. You may purchase additional plan coverage during your enrollment period.</w:t>
      </w:r>
    </w:p>
    <w:p>
      <w:pPr>
        <w:spacing w:after="0" w:line="85" w:lineRule="exact"/>
        <w:rPr>
          <w:rFonts w:ascii="Arial" w:cs="Arial" w:eastAsia="Arial" w:hAnsi="Arial"/>
          <w:sz w:val="18"/>
          <w:szCs w:val="18"/>
          <w:color w:val="auto"/>
        </w:rPr>
      </w:pPr>
    </w:p>
    <w:p>
      <w:pPr>
        <w:ind w:left="960" w:right="60" w:hanging="424"/>
        <w:spacing w:after="0" w:line="314"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Wellness Program: </w:t>
      </w:r>
      <w:r>
        <w:rPr>
          <w:rFonts w:ascii="Arial" w:cs="Arial" w:eastAsia="Arial" w:hAnsi="Arial"/>
          <w:sz w:val="16"/>
          <w:szCs w:val="16"/>
          <w:color w:val="auto"/>
        </w:rPr>
        <w:t>We encourage our employees to live a healthy lifestyle and provide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RCP Healthy Life Wellness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to 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and their families in line with this belief. We support many wellness initiatives because we care about our employee’s physical, financial, and mental wellbeing. You can directly impact your health insurance premium rates by participating in wellness activities.</w:t>
      </w:r>
    </w:p>
    <w:p>
      <w:pPr>
        <w:spacing w:after="0" w:line="47" w:lineRule="exact"/>
        <w:rPr>
          <w:rFonts w:ascii="Arial" w:cs="Arial" w:eastAsia="Arial" w:hAnsi="Arial"/>
          <w:sz w:val="16"/>
          <w:szCs w:val="16"/>
          <w:color w:val="auto"/>
        </w:rPr>
      </w:pPr>
    </w:p>
    <w:p>
      <w:pPr>
        <w:ind w:left="960" w:right="80" w:hanging="424"/>
        <w:spacing w:after="0" w:line="25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We believe that health and wealth go hand in hand – now and when you retire. To ensure you are doing everything</w:t>
      </w:r>
      <w:r>
        <w:rPr>
          <w:rFonts w:ascii="Arial" w:cs="Arial" w:eastAsia="Arial" w:hAnsi="Arial"/>
          <w:sz w:val="18"/>
          <w:szCs w:val="18"/>
          <w:b w:val="1"/>
          <w:bCs w:val="1"/>
          <w:color w:val="auto"/>
        </w:rPr>
        <w:t xml:space="preserve"> </w:t>
      </w:r>
      <w:r>
        <w:rPr>
          <w:rFonts w:ascii="Arial" w:cs="Arial" w:eastAsia="Arial" w:hAnsi="Arial"/>
          <w:sz w:val="18"/>
          <w:szCs w:val="18"/>
          <w:color w:val="auto"/>
        </w:rPr>
        <w:t>today to plan for an enjoyable retirement, you will have the opportunity to contribute to the 401(k) Retirement Plan for Reynolds Consumer Products. RCP will automatically open a 401(k) account for you and will match your contributions at 100% of the first 6% of pay you contribute to the plan through salary deferral each pay period. In addition, RCP will also make an Employer Retirement Income Contribution (ERIC) equal to 2% of your pay in January following the plan year, if you are an active participant on the last day of the plan year.</w:t>
      </w:r>
    </w:p>
    <w:p>
      <w:pPr>
        <w:spacing w:after="0" w:line="92" w:lineRule="exact"/>
        <w:rPr>
          <w:rFonts w:ascii="Arial" w:cs="Arial" w:eastAsia="Arial" w:hAnsi="Arial"/>
          <w:sz w:val="18"/>
          <w:szCs w:val="18"/>
          <w:color w:val="auto"/>
        </w:rPr>
      </w:pPr>
    </w:p>
    <w:p>
      <w:pPr>
        <w:jc w:val="both"/>
        <w:ind w:left="960" w:right="180" w:hanging="424"/>
        <w:spacing w:after="0" w:line="26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Vacation and Holidays: </w:t>
      </w:r>
      <w:r>
        <w:rPr>
          <w:rFonts w:ascii="Arial" w:cs="Arial" w:eastAsia="Arial" w:hAnsi="Arial"/>
          <w:sz w:val="18"/>
          <w:szCs w:val="18"/>
          <w:color w:val="auto"/>
        </w:rPr>
        <w:t>We recognize that you will work hard to make your mark and we want you to have the opportunity to play hard</w:t>
      </w:r>
      <w:r>
        <w:rPr>
          <w:rFonts w:ascii="Arial" w:cs="Arial" w:eastAsia="Arial" w:hAnsi="Arial"/>
          <w:sz w:val="18"/>
          <w:szCs w:val="18"/>
          <w:b w:val="1"/>
          <w:bCs w:val="1"/>
          <w:color w:val="auto"/>
        </w:rPr>
        <w:t xml:space="preserve"> </w:t>
      </w:r>
      <w:r>
        <w:rPr>
          <w:rFonts w:ascii="Arial" w:cs="Arial" w:eastAsia="Arial" w:hAnsi="Arial"/>
          <w:sz w:val="18"/>
          <w:szCs w:val="18"/>
          <w:color w:val="auto"/>
        </w:rPr>
        <w:t>or simply enjoy some rest and relaxation. You will be eligible for 20 days of paid vacation and two (2) paid floating holidays that will be pro-rated based on your hire date. In addition, the company recognizes nine paid (9) holidays.</w:t>
      </w:r>
    </w:p>
    <w:p>
      <w:pPr>
        <w:spacing w:after="0" w:line="17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u w:val="single" w:color="auto"/>
          <w:color w:val="auto"/>
        </w:rPr>
        <w:t>Individual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At RCP, you drive your career! We believe people make the difference for RCP and encourage employees to take charge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own learning and career path. Quarterly feedback sessions are just one avenue to have meaningful, impactful conversation between managers and employees. Other employee programs include the new hire peer resource, mentoring, talent development and succession planning initiative, virtual and in person training opportunities and more.</w:t>
      </w:r>
    </w:p>
    <w:p>
      <w:pPr>
        <w:spacing w:after="0" w:line="18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u w:val="single" w:color="auto"/>
          <w:color w:val="auto"/>
        </w:rPr>
        <w:t>Work Environment:</w:t>
      </w:r>
      <w:r>
        <w:rPr>
          <w:rFonts w:ascii="Arial" w:cs="Arial" w:eastAsia="Arial" w:hAnsi="Arial"/>
          <w:sz w:val="18"/>
          <w:szCs w:val="18"/>
          <w:b w:val="1"/>
          <w:bCs w:val="1"/>
          <w:color w:val="auto"/>
        </w:rPr>
        <w:t xml:space="preserve"> </w:t>
      </w:r>
      <w:r>
        <w:rPr>
          <w:rFonts w:ascii="Arial" w:cs="Arial" w:eastAsia="Arial" w:hAnsi="Arial"/>
          <w:sz w:val="18"/>
          <w:szCs w:val="18"/>
          <w:color w:val="auto"/>
        </w:rPr>
        <w:t>While we are passionate about achieving our goals, our work environment is just as important as the products we make.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families are the priority, we put safety first, always. We strive for top quality and service to maintain the trust in our brand equity. Ethics and integrity are extremely important to us. RCP believes a diverse, equitable and inclusive organization will enhance the sense of belonging for all employees as well as add value for our customers, shareholders, and communities in which we operate. We are committed to building a respectful workplace, educating our employees, and integrating DE&amp;I with our overall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85090</wp:posOffset>
            </wp:positionV>
            <wp:extent cx="5820410" cy="52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0410" cy="52260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6" w:name="page7"/>
    <w:bookmarkEnd w:id="6"/>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979805</wp:posOffset>
            </wp:positionH>
            <wp:positionV relativeFrom="page">
              <wp:posOffset>260350</wp:posOffset>
            </wp:positionV>
            <wp:extent cx="5597525" cy="771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71525"/>
                    </a:xfrm>
                    <a:prstGeom prst="rect">
                      <a:avLst/>
                    </a:prstGeom>
                    <a:noFill/>
                  </pic:spPr>
                </pic:pic>
              </a:graphicData>
            </a:graphic>
          </wp:anchor>
        </w:drawing>
      </w:r>
    </w:p>
    <w:p>
      <w:pPr>
        <w:ind w:right="20"/>
        <w:spacing w:after="0" w:line="266" w:lineRule="auto"/>
        <w:rPr>
          <w:sz w:val="20"/>
          <w:szCs w:val="20"/>
          <w:color w:val="auto"/>
        </w:rPr>
      </w:pPr>
      <w:r>
        <w:rPr>
          <w:rFonts w:ascii="Arial" w:cs="Arial" w:eastAsia="Arial" w:hAnsi="Arial"/>
          <w:sz w:val="18"/>
          <w:szCs w:val="18"/>
          <w:b w:val="1"/>
          <w:bCs w:val="1"/>
          <w:u w:val="single" w:color="auto"/>
          <w:color w:val="auto"/>
        </w:rPr>
        <w:t>Next Steps:</w:t>
      </w:r>
      <w:r>
        <w:rPr>
          <w:rFonts w:ascii="Arial" w:cs="Arial" w:eastAsia="Arial" w:hAnsi="Arial"/>
          <w:sz w:val="18"/>
          <w:szCs w:val="18"/>
          <w:b w:val="1"/>
          <w:bCs w:val="1"/>
          <w:color w:val="auto"/>
        </w:rPr>
        <w:t xml:space="preserve"> </w:t>
      </w:r>
      <w:r>
        <w:rPr>
          <w:rFonts w:ascii="Arial" w:cs="Arial" w:eastAsia="Arial" w:hAnsi="Arial"/>
          <w:sz w:val="18"/>
          <w:szCs w:val="18"/>
          <w:color w:val="auto"/>
        </w:rPr>
        <w:t>This offer is contingent upon the execution of the Employment Agreement, Restrictive Covenant Agreement, and successful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 pre-employment drug screen and background check. The drug screen must be completed within 72 hours of acceptance of the offer package and specific instructions for completing the drug screen will be communicated once the signed offer is received.</w:t>
      </w:r>
    </w:p>
    <w:p>
      <w:pPr>
        <w:spacing w:after="0" w:line="18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accordance with federal law, you will be required to furnish documentation that establishes your identity and eligibility for employment in the United States. A list of acceptable documents is included in this packet; please review this list and bring appropriate documents with you on your first day.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Scott, we are pleased to extend this offer of employment to you and look forward to you joining the RCP or family where you will have the opportunity for new and exciting challenges. We believe that your experience and skills will be valuable as we strive to build upon our success as an industry leader.</w:t>
      </w:r>
    </w:p>
    <w:p>
      <w:pPr>
        <w:spacing w:after="0" w:line="124"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If you choose to accept this offer, please acknowledge your acceptance by signing below (including initialing all pages of the letter) and signing the Employment Agreement, Restrictive Covenant Agreement, and promissory note. Return all signed documents to Valerie Miller at Valerie.Miller@ReynoldsBrands.com on Monday, September 18</w:t>
      </w:r>
      <w:r>
        <w:rPr>
          <w:rFonts w:ascii="Arial" w:cs="Arial" w:eastAsia="Arial" w:hAnsi="Arial"/>
          <w:sz w:val="26"/>
          <w:szCs w:val="26"/>
          <w:color w:val="auto"/>
          <w:vertAlign w:val="superscript"/>
        </w:rPr>
        <w:t>th</w:t>
      </w:r>
      <w:r>
        <w:rPr>
          <w:rFonts w:ascii="Arial" w:cs="Arial" w:eastAsia="Arial" w:hAnsi="Arial"/>
          <w:sz w:val="18"/>
          <w:szCs w:val="18"/>
          <w:color w:val="auto"/>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feel free to contact the Valerie Miller.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Kind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702945" cy="539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Lance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Valerie Miller</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 accept Reynolds Consumer Products’ offer of employment as outlined in this letter. I understand that this employment arrangement is considered “at-will” and may be terminated either by me or by the company at any time with or without cause, and that this at-will employment relationship may only be altered by a written contract signed by the CEO expressly stating that my employment is not at-will.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Scott Huckins         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1809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Huckins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September 15,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Reynolds Consumer Products...a World of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111760</wp:posOffset>
            </wp:positionV>
            <wp:extent cx="5820410"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0410" cy="522605"/>
                    </a:xfrm>
                    <a:prstGeom prst="rect">
                      <a:avLst/>
                    </a:prstGeom>
                    <a:noFill/>
                  </pic:spPr>
                </pic:pic>
              </a:graphicData>
            </a:graphic>
          </wp:anchor>
        </w:drawing>
      </w:r>
    </w:p>
    <w:p>
      <w:pPr>
        <w:sectPr>
          <w:pgSz w:w="11900" w:h="16838" w:orient="portrait"/>
          <w:cols w:equalWidth="0" w:num="1">
            <w:col w:w="10940"/>
          </w:cols>
          <w:pgMar w:left="440" w:top="1440" w:right="5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October 23, 2023,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Scott E. Huckins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A. The Company and Employee desire to enter into this Agreement to set forth their agreements regarding certain terms and conditions of Employee’s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120" w:firstLine="436"/>
        <w:spacing w:after="0" w:line="266"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Employee’s employment pursuant to this Agreement shall commence on the date hereof and shall continue until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175" w:lineRule="exact"/>
        <w:rPr>
          <w:rFonts w:ascii="Arial" w:cs="Arial" w:eastAsia="Arial" w:hAnsi="Arial"/>
          <w:sz w:val="18"/>
          <w:szCs w:val="18"/>
          <w:color w:val="auto"/>
        </w:rPr>
      </w:pPr>
    </w:p>
    <w:p>
      <w:pPr>
        <w:ind w:right="200" w:firstLine="436"/>
        <w:spacing w:after="0" w:line="303"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Position, Duties and 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serve in the position(s)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Employee shall devote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except for customary business travel to other locations as may be necessary to fulfill Employee’s duties and responsibilities hereunder.</w:t>
      </w:r>
    </w:p>
    <w:p>
      <w:pPr>
        <w:spacing w:after="0" w:line="150" w:lineRule="exact"/>
        <w:rPr>
          <w:rFonts w:ascii="Arial" w:cs="Arial" w:eastAsia="Arial" w:hAnsi="Arial"/>
          <w:sz w:val="16"/>
          <w:szCs w:val="16"/>
          <w:color w:val="auto"/>
        </w:rPr>
      </w:pPr>
    </w:p>
    <w:p>
      <w:pPr>
        <w:ind w:left="620" w:hanging="18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w:t>
      </w:r>
    </w:p>
    <w:p>
      <w:pPr>
        <w:spacing w:after="0" w:line="225" w:lineRule="exact"/>
        <w:rPr>
          <w:rFonts w:ascii="Arial" w:cs="Arial" w:eastAsia="Arial" w:hAnsi="Arial"/>
          <w:sz w:val="18"/>
          <w:szCs w:val="18"/>
          <w:color w:val="auto"/>
        </w:rPr>
      </w:pPr>
    </w:p>
    <w:p>
      <w:pPr>
        <w:jc w:val="both"/>
        <w:ind w:right="20" w:firstLine="987"/>
        <w:spacing w:after="0" w:line="266" w:lineRule="auto"/>
        <w:tabs>
          <w:tab w:leader="none" w:pos="1236" w:val="left"/>
        </w:tabs>
        <w:numPr>
          <w:ilvl w:val="1"/>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 Salary shall be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175" w:lineRule="exact"/>
        <w:rPr>
          <w:rFonts w:ascii="Arial" w:cs="Arial" w:eastAsia="Arial" w:hAnsi="Arial"/>
          <w:sz w:val="18"/>
          <w:szCs w:val="18"/>
          <w:color w:val="auto"/>
        </w:rPr>
      </w:pPr>
    </w:p>
    <w:p>
      <w:pPr>
        <w:jc w:val="both"/>
        <w:ind w:right="80" w:firstLine="987"/>
        <w:spacing w:after="0" w:line="261"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179" w:lineRule="exact"/>
        <w:rPr>
          <w:rFonts w:ascii="Arial" w:cs="Arial" w:eastAsia="Arial" w:hAnsi="Arial"/>
          <w:sz w:val="18"/>
          <w:szCs w:val="18"/>
          <w:color w:val="auto"/>
        </w:rPr>
      </w:pPr>
    </w:p>
    <w:p>
      <w:pPr>
        <w:ind w:left="1240" w:hanging="253"/>
        <w:spacing w:after="0"/>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Other Compensation Programs.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shall be eligible to participate in such other compensation programs as set forth on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6" w:lineRule="exact"/>
        <w:rPr>
          <w:rFonts w:ascii="Arial" w:cs="Arial" w:eastAsia="Arial" w:hAnsi="Arial"/>
          <w:sz w:val="17"/>
          <w:szCs w:val="17"/>
          <w:color w:val="auto"/>
        </w:rPr>
      </w:pPr>
    </w:p>
    <w:p>
      <w:pPr>
        <w:ind w:right="520" w:firstLine="987"/>
        <w:spacing w:after="0" w:line="347" w:lineRule="auto"/>
        <w:tabs>
          <w:tab w:leader="none" w:pos="1246" w:val="left"/>
        </w:tabs>
        <w:numPr>
          <w:ilvl w:val="1"/>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shall be entitled to receive reimbursement for all reasonable expenses incurred by Employee in performing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hereunder, in accordance with the policies and procedures then in effect and established by the Company for its senior officers.</w:t>
      </w:r>
    </w:p>
    <w:p>
      <w:pPr>
        <w:spacing w:after="0" w:line="115" w:lineRule="exact"/>
        <w:rPr>
          <w:rFonts w:ascii="Arial" w:cs="Arial" w:eastAsia="Arial" w:hAnsi="Arial"/>
          <w:sz w:val="16"/>
          <w:szCs w:val="16"/>
          <w:color w:val="auto"/>
        </w:rPr>
      </w:pPr>
    </w:p>
    <w:p>
      <w:pPr>
        <w:ind w:right="80" w:firstLine="987"/>
        <w:spacing w:after="0" w:line="266" w:lineRule="auto"/>
        <w:tabs>
          <w:tab w:leader="none" w:pos="1236" w:val="left"/>
        </w:tabs>
        <w:numPr>
          <w:ilvl w:val="1"/>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participate in the Company’s employee health and welfare plans,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and arrangements as they may be amended from time to time, to the extent Employee meets the eligibility requirements for any such plan, policy, program or arrangement.</w:t>
      </w:r>
    </w:p>
    <w:p>
      <w:pPr>
        <w:sectPr>
          <w:pgSz w:w="11900" w:h="16838" w:orient="portrait"/>
          <w:cols w:equalWidth="0" w:num="1">
            <w:col w:w="11020"/>
          </w:cols>
          <w:pgMar w:left="440" w:top="121" w:right="439" w:bottom="1440" w:gutter="0" w:footer="0" w:header="0"/>
        </w:sectPr>
      </w:pPr>
    </w:p>
    <w:bookmarkStart w:id="8" w:name="page9"/>
    <w:bookmarkEnd w:id="8"/>
    <w:p>
      <w:pPr>
        <w:jc w:val="both"/>
        <w:ind w:right="100" w:firstLine="987"/>
        <w:spacing w:after="0" w:line="266" w:lineRule="auto"/>
        <w:tabs>
          <w:tab w:leader="none" w:pos="1216" w:val="left"/>
        </w:tabs>
        <w:numPr>
          <w:ilvl w:val="1"/>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paid vacation, as well as holidays and other paid absences, in accordance with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policies and procedures for similarly situated employees of the Company, to the extent Employee meets the eligibility requirements for any such policy and procedures.</w:t>
      </w:r>
    </w:p>
    <w:p>
      <w:pPr>
        <w:spacing w:after="0" w:line="175" w:lineRule="exact"/>
        <w:rPr>
          <w:rFonts w:ascii="Arial" w:cs="Arial" w:eastAsia="Arial" w:hAnsi="Arial"/>
          <w:sz w:val="18"/>
          <w:szCs w:val="18"/>
          <w:color w:val="auto"/>
        </w:rPr>
      </w:pPr>
    </w:p>
    <w:p>
      <w:pPr>
        <w:ind w:right="580" w:firstLine="436"/>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the Term shall automatically end.</w:t>
      </w:r>
    </w:p>
    <w:p>
      <w:pPr>
        <w:spacing w:after="0" w:line="161" w:lineRule="exact"/>
        <w:rPr>
          <w:rFonts w:ascii="Arial" w:cs="Arial" w:eastAsia="Arial" w:hAnsi="Arial"/>
          <w:sz w:val="18"/>
          <w:szCs w:val="18"/>
          <w:color w:val="auto"/>
        </w:rPr>
      </w:pPr>
    </w:p>
    <w:p>
      <w:pPr>
        <w:ind w:left="1240" w:hanging="253"/>
        <w:spacing w:after="0"/>
        <w:tabs>
          <w:tab w:leader="none" w:pos="1240"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shall automatically terminate upon Employee’s death.</w:t>
      </w:r>
    </w:p>
    <w:p>
      <w:pPr>
        <w:spacing w:after="0" w:line="225" w:lineRule="exact"/>
        <w:rPr>
          <w:rFonts w:ascii="Arial" w:cs="Arial" w:eastAsia="Arial" w:hAnsi="Arial"/>
          <w:sz w:val="18"/>
          <w:szCs w:val="18"/>
          <w:color w:val="auto"/>
        </w:rPr>
      </w:pPr>
    </w:p>
    <w:p>
      <w:pPr>
        <w:ind w:firstLine="987"/>
        <w:spacing w:after="0" w:line="256" w:lineRule="auto"/>
        <w:tabs>
          <w:tab w:leader="none" w:pos="1246"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for Cause at any time.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this Agreement, “Cause” shall mean in the good faith determination of the Company’s CEO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187" w:lineRule="exact"/>
        <w:rPr>
          <w:rFonts w:ascii="Arial" w:cs="Arial" w:eastAsia="Arial" w:hAnsi="Arial"/>
          <w:sz w:val="18"/>
          <w:szCs w:val="18"/>
          <w:color w:val="auto"/>
        </w:rPr>
      </w:pPr>
    </w:p>
    <w:p>
      <w:pPr>
        <w:ind w:right="240" w:firstLine="987"/>
        <w:spacing w:after="0" w:line="266"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at any time without Cause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175" w:lineRule="exact"/>
        <w:rPr>
          <w:rFonts w:ascii="Arial" w:cs="Arial" w:eastAsia="Arial" w:hAnsi="Arial"/>
          <w:sz w:val="18"/>
          <w:szCs w:val="18"/>
          <w:color w:val="auto"/>
        </w:rPr>
      </w:pPr>
    </w:p>
    <w:p>
      <w:pPr>
        <w:ind w:left="1240" w:hanging="253"/>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by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may terminate Employee’s employment hereunder upon 30 days’ written notice to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6" w:lineRule="exact"/>
        <w:rPr>
          <w:rFonts w:ascii="Arial" w:cs="Arial" w:eastAsia="Arial" w:hAnsi="Arial"/>
          <w:sz w:val="17"/>
          <w:szCs w:val="17"/>
          <w:color w:val="auto"/>
        </w:rPr>
      </w:pPr>
    </w:p>
    <w:p>
      <w:pPr>
        <w:ind w:right="20" w:firstLine="987"/>
        <w:spacing w:after="0" w:line="256"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 employment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p>
    <w:p>
      <w:pPr>
        <w:spacing w:after="0" w:line="225" w:lineRule="exact"/>
        <w:rPr>
          <w:rFonts w:ascii="Arial" w:cs="Arial" w:eastAsia="Arial" w:hAnsi="Arial"/>
          <w:sz w:val="18"/>
          <w:szCs w:val="18"/>
          <w:color w:val="auto"/>
        </w:rPr>
      </w:pPr>
    </w:p>
    <w:p>
      <w:pPr>
        <w:ind w:right="200" w:firstLine="987"/>
        <w:spacing w:after="0" w:line="258" w:lineRule="auto"/>
        <w:tabs>
          <w:tab w:leader="none" w:pos="1236"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with the Company is terminated for any reason, Employee (or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The Accrued Obligations shall be paid at the time(s) specified under any applicable employee benefit plan, or, if there is no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within 30 days after Employee’s Date of Termination.</w:t>
      </w:r>
    </w:p>
    <w:p>
      <w:pPr>
        <w:spacing w:after="0" w:line="183" w:lineRule="exact"/>
        <w:rPr>
          <w:rFonts w:ascii="Arial" w:cs="Arial" w:eastAsia="Arial" w:hAnsi="Arial"/>
          <w:sz w:val="18"/>
          <w:szCs w:val="18"/>
          <w:color w:val="auto"/>
        </w:rPr>
      </w:pPr>
    </w:p>
    <w:p>
      <w:pPr>
        <w:ind w:right="60" w:firstLine="987"/>
        <w:spacing w:after="0" w:line="266" w:lineRule="auto"/>
        <w:tabs>
          <w:tab w:leader="none" w:pos="1246" w:val="left"/>
        </w:tabs>
        <w:numPr>
          <w:ilvl w:val="1"/>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is terminated by the Company without Cause as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ectPr>
          <w:pgSz w:w="11900" w:h="16838" w:orient="portrait"/>
          <w:cols w:equalWidth="0" w:num="1">
            <w:col w:w="10980"/>
          </w:cols>
          <w:pgMar w:left="440" w:top="270" w:right="479" w:bottom="1440" w:gutter="0" w:footer="0" w:header="0"/>
        </w:sectPr>
      </w:pPr>
    </w:p>
    <w:bookmarkStart w:id="9" w:name="page10"/>
    <w:bookmarkEnd w:id="9"/>
    <w:p>
      <w:pPr>
        <w:ind w:left="4" w:right="20" w:firstLine="952"/>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w:t>
      </w:r>
      <w:r>
        <w:rPr>
          <w:rFonts w:ascii="Arial" w:cs="Arial" w:eastAsia="Arial" w:hAnsi="Arial"/>
          <w:sz w:val="16"/>
          <w:szCs w:val="16"/>
          <w:b w:val="1"/>
          <w:bCs w:val="1"/>
          <w:u w:val="single" w:color="auto"/>
          <w:color w:val="auto"/>
        </w:rPr>
        <w:t>Severance.</w:t>
      </w:r>
      <w:r>
        <w:rPr>
          <w:rFonts w:ascii="Arial" w:cs="Arial" w:eastAsia="Arial" w:hAnsi="Arial"/>
          <w:sz w:val="16"/>
          <w:szCs w:val="16"/>
          <w:color w:val="auto"/>
        </w:rPr>
        <w:t xml:space="preserve"> A severance payment (the “</w:t>
      </w:r>
      <w:r>
        <w:rPr>
          <w:rFonts w:ascii="Arial" w:cs="Arial" w:eastAsia="Arial" w:hAnsi="Arial"/>
          <w:sz w:val="16"/>
          <w:szCs w:val="16"/>
          <w:b w:val="1"/>
          <w:bCs w:val="1"/>
          <w:u w:val="single" w:color="auto"/>
          <w:color w:val="auto"/>
        </w:rPr>
        <w:t>Severance Amount</w:t>
      </w:r>
      <w:r>
        <w:rPr>
          <w:rFonts w:ascii="Arial" w:cs="Arial" w:eastAsia="Arial" w:hAnsi="Arial"/>
          <w:sz w:val="16"/>
          <w:szCs w:val="16"/>
          <w:color w:val="auto"/>
        </w:rPr>
        <w:t xml:space="preserve">”) in the Amount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the Severance Amount shall be paid to Employee in equal installments in accordance with the Company’s normal payroll practices over a period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Severance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of the severance shall be payable until the revocation period for the Release described in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161" w:lineRule="exact"/>
        <w:rPr>
          <w:sz w:val="20"/>
          <w:szCs w:val="20"/>
          <w:color w:val="auto"/>
        </w:rPr>
      </w:pPr>
    </w:p>
    <w:p>
      <w:pPr>
        <w:ind w:left="4" w:firstLine="948"/>
        <w:spacing w:after="0" w:line="291" w:lineRule="auto"/>
        <w:tabs>
          <w:tab w:leader="none" w:pos="1145" w:val="left"/>
        </w:tabs>
        <w:numPr>
          <w:ilvl w:val="2"/>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Health Care Continuation.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Employee and Employee’s eligible dependents, if any, shall continue to be covered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health plan (the “</w:t>
      </w:r>
      <w:r>
        <w:rPr>
          <w:rFonts w:ascii="Arial" w:cs="Arial" w:eastAsia="Arial" w:hAnsi="Arial"/>
          <w:sz w:val="16"/>
          <w:szCs w:val="16"/>
          <w:b w:val="1"/>
          <w:bCs w:val="1"/>
          <w:u w:val="single" w:color="auto"/>
          <w:color w:val="auto"/>
        </w:rPr>
        <w:t>Health Plan</w:t>
      </w:r>
      <w:r>
        <w:rPr>
          <w:rFonts w:ascii="Arial" w:cs="Arial" w:eastAsia="Arial" w:hAnsi="Arial"/>
          <w:sz w:val="16"/>
          <w:szCs w:val="16"/>
          <w:color w:val="auto"/>
        </w:rPr>
        <w:t>”),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6"/>
          <w:szCs w:val="16"/>
          <w:b w:val="1"/>
          <w:bCs w:val="1"/>
          <w:u w:val="single" w:color="auto"/>
          <w:color w:val="auto"/>
        </w:rPr>
        <w:t>Code</w:t>
      </w:r>
      <w:r>
        <w:rPr>
          <w:rFonts w:ascii="Arial" w:cs="Arial" w:eastAsia="Arial" w:hAnsi="Arial"/>
          <w:sz w:val="16"/>
          <w:szCs w:val="16"/>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a lump-sum cash payment equal to the total monthly premiums (or in the case of a self-funded plan, the cost of COBRA continuation coverage) that would have been paid by the Company for Employee under the Health Plan.</w:t>
      </w:r>
    </w:p>
    <w:p>
      <w:pPr>
        <w:spacing w:after="0" w:line="159" w:lineRule="exact"/>
        <w:rPr>
          <w:rFonts w:ascii="Arial" w:cs="Arial" w:eastAsia="Arial" w:hAnsi="Arial"/>
          <w:sz w:val="16"/>
          <w:szCs w:val="16"/>
          <w:color w:val="auto"/>
        </w:rPr>
      </w:pPr>
    </w:p>
    <w:p>
      <w:pPr>
        <w:ind w:left="-436" w:right="280" w:firstLine="987"/>
        <w:spacing w:after="0" w:line="291" w:lineRule="auto"/>
        <w:tabs>
          <w:tab w:leader="none" w:pos="799" w:val="left"/>
        </w:tabs>
        <w:numPr>
          <w:ilvl w:val="1"/>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Any payment that may become due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5(b)</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Employee signing a general release of claims in</w:t>
      </w:r>
      <w:r>
        <w:rPr>
          <w:rFonts w:ascii="Arial" w:cs="Arial" w:eastAsia="Arial" w:hAnsi="Arial"/>
          <w:sz w:val="16"/>
          <w:szCs w:val="16"/>
          <w:b w:val="1"/>
          <w:bCs w:val="1"/>
          <w:color w:val="auto"/>
        </w:rPr>
        <w:t xml:space="preserve"> </w:t>
      </w:r>
      <w:r>
        <w:rPr>
          <w:rFonts w:ascii="Arial" w:cs="Arial" w:eastAsia="Arial" w:hAnsi="Arial"/>
          <w:sz w:val="16"/>
          <w:szCs w:val="16"/>
          <w:color w:val="auto"/>
        </w:rPr>
        <w:t>favor of the Company and related persons and entities in a form and manner satisfactory to the Company (the “</w:t>
      </w:r>
      <w:r>
        <w:rPr>
          <w:rFonts w:ascii="Arial" w:cs="Arial" w:eastAsia="Arial" w:hAnsi="Arial"/>
          <w:sz w:val="16"/>
          <w:szCs w:val="16"/>
          <w:b w:val="1"/>
          <w:bCs w:val="1"/>
          <w:u w:val="single" w:color="auto"/>
          <w:color w:val="auto"/>
        </w:rPr>
        <w:t>Release</w:t>
      </w:r>
      <w:r>
        <w:rPr>
          <w:rFonts w:ascii="Arial" w:cs="Arial" w:eastAsia="Arial" w:hAnsi="Arial"/>
          <w:sz w:val="16"/>
          <w:szCs w:val="16"/>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contingent upon Employee abiding by and not breaching any of the covenants set forth in the Release and in the Restrictive Covenant Agreement.</w:t>
      </w:r>
    </w:p>
    <w:p>
      <w:pPr>
        <w:spacing w:after="0" w:line="159" w:lineRule="exact"/>
        <w:rPr>
          <w:rFonts w:ascii="Arial" w:cs="Arial" w:eastAsia="Arial" w:hAnsi="Arial"/>
          <w:sz w:val="16"/>
          <w:szCs w:val="16"/>
          <w:color w:val="auto"/>
        </w:rPr>
      </w:pPr>
    </w:p>
    <w:p>
      <w:pPr>
        <w:ind w:left="184" w:hanging="184"/>
        <w:spacing w:after="0"/>
        <w:tabs>
          <w:tab w:leader="none" w:pos="184"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p>
    <w:p>
      <w:pPr>
        <w:spacing w:after="0" w:line="229" w:lineRule="exact"/>
        <w:rPr>
          <w:rFonts w:ascii="Arial" w:cs="Arial" w:eastAsia="Arial" w:hAnsi="Arial"/>
          <w:sz w:val="18"/>
          <w:szCs w:val="18"/>
          <w:color w:val="auto"/>
        </w:rPr>
      </w:pPr>
    </w:p>
    <w:p>
      <w:pPr>
        <w:ind w:left="-436" w:firstLine="987"/>
        <w:spacing w:after="0" w:line="295" w:lineRule="auto"/>
        <w:tabs>
          <w:tab w:leader="none" w:pos="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1.409A-l(h).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Date of Termination.</w:t>
      </w:r>
    </w:p>
    <w:p>
      <w:pPr>
        <w:sectPr>
          <w:pgSz w:w="11900" w:h="16838" w:orient="portrait"/>
          <w:cols w:equalWidth="0" w:num="1">
            <w:col w:w="10564"/>
          </w:cols>
          <w:pgMar w:left="876" w:top="270" w:right="459" w:bottom="1440" w:gutter="0" w:footer="0" w:header="0"/>
        </w:sectPr>
      </w:pPr>
    </w:p>
    <w:bookmarkStart w:id="10" w:name="page11"/>
    <w:bookmarkEnd w:id="10"/>
    <w:p>
      <w:pPr>
        <w:ind w:right="240" w:firstLine="987"/>
        <w:spacing w:after="0" w:line="287" w:lineRule="auto"/>
        <w:tabs>
          <w:tab w:leader="none" w:pos="1246" w:val="left"/>
        </w:tabs>
        <w:numPr>
          <w:ilvl w:val="1"/>
          <w:numId w:val="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spacing w:after="0" w:line="2" w:lineRule="exact"/>
        <w:rPr>
          <w:rFonts w:ascii="Arial" w:cs="Arial" w:eastAsia="Arial" w:hAnsi="Arial"/>
          <w:sz w:val="16"/>
          <w:szCs w:val="16"/>
          <w:color w:val="auto"/>
        </w:rPr>
      </w:pPr>
    </w:p>
    <w:p>
      <w:pPr>
        <w:ind w:right="40"/>
        <w:spacing w:after="0" w:line="260" w:lineRule="auto"/>
        <w:rPr>
          <w:rFonts w:ascii="Arial" w:cs="Arial" w:eastAsia="Arial" w:hAnsi="Arial"/>
          <w:sz w:val="16"/>
          <w:szCs w:val="16"/>
          <w:color w:val="auto"/>
        </w:rPr>
      </w:pPr>
      <w:r>
        <w:rPr>
          <w:rFonts w:ascii="Arial" w:cs="Arial" w:eastAsia="Arial" w:hAnsi="Arial"/>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185" w:lineRule="exact"/>
        <w:rPr>
          <w:rFonts w:ascii="Arial" w:cs="Arial" w:eastAsia="Arial" w:hAnsi="Arial"/>
          <w:sz w:val="16"/>
          <w:szCs w:val="16"/>
          <w:color w:val="auto"/>
        </w:rPr>
      </w:pPr>
    </w:p>
    <w:p>
      <w:pPr>
        <w:ind w:right="100" w:firstLine="987"/>
        <w:spacing w:after="0" w:line="255" w:lineRule="auto"/>
        <w:tabs>
          <w:tab w:leader="none" w:pos="12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92" w:lineRule="exact"/>
        <w:rPr>
          <w:rFonts w:ascii="Arial" w:cs="Arial" w:eastAsia="Arial" w:hAnsi="Arial"/>
          <w:sz w:val="18"/>
          <w:szCs w:val="18"/>
          <w:color w:val="auto"/>
        </w:rPr>
      </w:pPr>
    </w:p>
    <w:p>
      <w:pPr>
        <w:ind w:firstLine="987"/>
        <w:spacing w:after="0" w:line="263" w:lineRule="auto"/>
        <w:tabs>
          <w:tab w:leader="none" w:pos="12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179" w:lineRule="exact"/>
        <w:rPr>
          <w:rFonts w:ascii="Arial" w:cs="Arial" w:eastAsia="Arial" w:hAnsi="Arial"/>
          <w:sz w:val="18"/>
          <w:szCs w:val="18"/>
          <w:color w:val="auto"/>
        </w:rPr>
      </w:pPr>
    </w:p>
    <w:p>
      <w:pPr>
        <w:ind w:right="180" w:firstLine="436"/>
        <w:spacing w:after="0" w:line="266"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under this Agreement, including the Company’s agreement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right="60" w:firstLine="436"/>
        <w:spacing w:after="0" w:line="287"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Any controversy or claim arising out of or relating to this Agreement or the breach thereof or otherwise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6"/>
          <w:szCs w:val="16"/>
          <w:b w:val="1"/>
          <w:bCs w:val="1"/>
          <w:u w:val="single" w:color="auto"/>
          <w:color w:val="auto"/>
        </w:rPr>
        <w:t>AAA</w:t>
      </w:r>
      <w:r>
        <w:rPr>
          <w:rFonts w:ascii="Arial" w:cs="Arial" w:eastAsia="Arial" w:hAnsi="Arial"/>
          <w:sz w:val="16"/>
          <w:szCs w:val="16"/>
          <w:color w:val="auto"/>
        </w:rPr>
        <w:t xml:space="preserve">”) in Chicago, Illinois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be specifically enforceable.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other relief shall be pursued through an arbitration proceeding pursuant to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Further notwithstanding the foregoing,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limit the Company’s ability to terminate Employee’s employment at any time.</w:t>
      </w:r>
    </w:p>
    <w:p>
      <w:pPr>
        <w:spacing w:after="0" w:line="167" w:lineRule="exact"/>
        <w:rPr>
          <w:rFonts w:ascii="Arial" w:cs="Arial" w:eastAsia="Arial" w:hAnsi="Arial"/>
          <w:sz w:val="16"/>
          <w:szCs w:val="16"/>
          <w:color w:val="auto"/>
        </w:rPr>
      </w:pPr>
    </w:p>
    <w:p>
      <w:pPr>
        <w:ind w:right="220" w:firstLine="436"/>
        <w:spacing w:after="0" w:line="266"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175" w:lineRule="exact"/>
        <w:rPr>
          <w:rFonts w:ascii="Arial" w:cs="Arial" w:eastAsia="Arial" w:hAnsi="Arial"/>
          <w:sz w:val="18"/>
          <w:szCs w:val="18"/>
          <w:color w:val="auto"/>
        </w:rPr>
      </w:pPr>
    </w:p>
    <w:p>
      <w:pPr>
        <w:ind w:right="100" w:firstLine="436"/>
        <w:spacing w:after="0" w:line="282"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made by the Company to Employee under this Agreement shall be net of any tax or other amounts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by the Company under applicable law.</w:t>
      </w:r>
    </w:p>
    <w:p>
      <w:pPr>
        <w:spacing w:after="0" w:line="161" w:lineRule="exact"/>
        <w:rPr>
          <w:rFonts w:ascii="Arial" w:cs="Arial" w:eastAsia="Arial" w:hAnsi="Arial"/>
          <w:sz w:val="18"/>
          <w:szCs w:val="18"/>
          <w:color w:val="auto"/>
        </w:rPr>
      </w:pPr>
    </w:p>
    <w:p>
      <w:pPr>
        <w:jc w:val="both"/>
        <w:ind w:right="260" w:firstLine="436"/>
        <w:spacing w:after="0" w:line="303" w:lineRule="auto"/>
        <w:tabs>
          <w:tab w:leader="none" w:pos="703"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Enforceability.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portion or provision of this Agreement (including, without limitation, any portion or provision of any section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ectPr>
          <w:pgSz w:w="11900" w:h="16838" w:orient="portrait"/>
          <w:cols w:equalWidth="0" w:num="1">
            <w:col w:w="11000"/>
          </w:cols>
          <w:pgMar w:left="440" w:top="274" w:right="459" w:bottom="1440" w:gutter="0" w:footer="0" w:header="0"/>
        </w:sectPr>
      </w:pPr>
    </w:p>
    <w:bookmarkStart w:id="11" w:name="page12"/>
    <w:bookmarkEnd w:id="11"/>
    <w:p>
      <w:pPr>
        <w:ind w:left="-20" w:firstLine="436"/>
        <w:spacing w:after="0" w:line="282"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 Employee’s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necessary to effectuate the terms contained herein.</w:t>
      </w:r>
    </w:p>
    <w:p>
      <w:pPr>
        <w:spacing w:after="0" w:line="161" w:lineRule="exact"/>
        <w:rPr>
          <w:rFonts w:ascii="Arial" w:cs="Arial" w:eastAsia="Arial" w:hAnsi="Arial"/>
          <w:sz w:val="18"/>
          <w:szCs w:val="18"/>
          <w:color w:val="auto"/>
        </w:rPr>
      </w:pPr>
    </w:p>
    <w:p>
      <w:pPr>
        <w:ind w:left="-20" w:right="80" w:firstLine="436"/>
        <w:spacing w:after="0" w:line="266"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 failure of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5" w:lineRule="exact"/>
        <w:rPr>
          <w:rFonts w:ascii="Arial" w:cs="Arial" w:eastAsia="Arial" w:hAnsi="Arial"/>
          <w:sz w:val="18"/>
          <w:szCs w:val="18"/>
          <w:color w:val="auto"/>
        </w:rPr>
      </w:pPr>
    </w:p>
    <w:p>
      <w:pPr>
        <w:ind w:left="-20" w:right="100" w:firstLine="436"/>
        <w:spacing w:after="0" w:line="261"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requests, demands and other communications provided for by this Agreement shall be sufficient if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Lance Mitchell.</w:t>
      </w:r>
    </w:p>
    <w:p>
      <w:pPr>
        <w:spacing w:after="0" w:line="179" w:lineRule="exact"/>
        <w:rPr>
          <w:rFonts w:ascii="Arial" w:cs="Arial" w:eastAsia="Arial" w:hAnsi="Arial"/>
          <w:sz w:val="18"/>
          <w:szCs w:val="18"/>
          <w:color w:val="auto"/>
        </w:rPr>
      </w:pPr>
    </w:p>
    <w:p>
      <w:pPr>
        <w:ind w:left="-20" w:right="500" w:firstLine="436"/>
        <w:spacing w:after="0" w:line="282"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Employee and by a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of the Company (other than Employee).</w:t>
      </w:r>
    </w:p>
    <w:p>
      <w:pPr>
        <w:spacing w:after="0" w:line="161" w:lineRule="exact"/>
        <w:rPr>
          <w:rFonts w:ascii="Arial" w:cs="Arial" w:eastAsia="Arial" w:hAnsi="Arial"/>
          <w:sz w:val="18"/>
          <w:szCs w:val="18"/>
          <w:color w:val="auto"/>
        </w:rPr>
      </w:pPr>
    </w:p>
    <w:p>
      <w:pPr>
        <w:ind w:left="-20" w:right="180" w:firstLine="436"/>
        <w:spacing w:after="0" w:line="282"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under and be governed in all respects by the laws of the State of Illinois without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effect to the conflict of laws principles of such State.</w:t>
      </w:r>
    </w:p>
    <w:p>
      <w:pPr>
        <w:spacing w:after="0" w:line="161" w:lineRule="exact"/>
        <w:rPr>
          <w:rFonts w:ascii="Arial" w:cs="Arial" w:eastAsia="Arial" w:hAnsi="Arial"/>
          <w:sz w:val="18"/>
          <w:szCs w:val="18"/>
          <w:color w:val="auto"/>
        </w:rPr>
      </w:pPr>
    </w:p>
    <w:p>
      <w:pPr>
        <w:ind w:left="-20" w:right="40" w:firstLine="436"/>
        <w:spacing w:after="0" w:line="282" w:lineRule="auto"/>
        <w:tabs>
          <w:tab w:leader="none" w:pos="69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 delivered shall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 be an original; but such counterparts shall together constitute one and the same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960"/>
          </w:cols>
          <w:pgMar w:left="460" w:top="270" w:right="47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effective as of the date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REYNOLDS CONSUMER PRODUCTS LLC</w:t>
            </w:r>
          </w:p>
        </w:tc>
        <w:tc>
          <w:tcPr>
            <w:tcW w:w="6120" w:type="dxa"/>
            <w:vAlign w:val="bottom"/>
            <w:gridSpan w:val="2"/>
          </w:tcPr>
          <w:p>
            <w:pPr>
              <w:ind w:left="4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391"/>
        </w:trPr>
        <w:tc>
          <w:tcPr>
            <w:tcW w:w="4900" w:type="dxa"/>
            <w:vAlign w:val="bottom"/>
            <w:gridSpan w:val="3"/>
          </w:tcPr>
          <w:p>
            <w:pPr>
              <w:spacing w:after="0"/>
              <w:rPr>
                <w:sz w:val="20"/>
                <w:szCs w:val="20"/>
                <w:color w:val="auto"/>
              </w:rPr>
            </w:pPr>
            <w:r>
              <w:rPr>
                <w:rFonts w:ascii="Arial" w:cs="Arial" w:eastAsia="Arial" w:hAnsi="Arial"/>
                <w:sz w:val="18"/>
                <w:szCs w:val="18"/>
                <w:color w:val="auto"/>
              </w:rPr>
              <w:t>By: /s/ V. Lance Mitchell               </w:t>
            </w:r>
          </w:p>
        </w:tc>
        <w:tc>
          <w:tcPr>
            <w:tcW w:w="94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 Scott E. Huckins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   V. Lance Mitchell</w:t>
            </w:r>
          </w:p>
        </w:tc>
        <w:tc>
          <w:tcPr>
            <w:tcW w:w="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Scott E. Huckins</w:t>
            </w: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   President and CEO</w:t>
            </w:r>
          </w:p>
        </w:tc>
        <w:tc>
          <w:tcPr>
            <w:tcW w:w="9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00" w:type="dxa"/>
            <w:vAlign w:val="bottom"/>
            <w:gridSpan w:val="3"/>
          </w:tcPr>
          <w:p>
            <w:pPr>
              <w:spacing w:after="0"/>
              <w:rPr>
                <w:sz w:val="20"/>
                <w:szCs w:val="20"/>
                <w:color w:val="auto"/>
              </w:rPr>
            </w:pPr>
            <w:r>
              <w:rPr>
                <w:rFonts w:ascii="Arial" w:cs="Arial" w:eastAsia="Arial" w:hAnsi="Arial"/>
                <w:sz w:val="18"/>
                <w:szCs w:val="18"/>
                <w:color w:val="auto"/>
              </w:rPr>
              <w:t>Date: 9/15/2023</w:t>
            </w:r>
          </w:p>
        </w:tc>
        <w:tc>
          <w:tcPr>
            <w:tcW w:w="94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Date: September 15, 2023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3" w:name="page14"/>
    <w:bookmarkEnd w:id="13"/>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56"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Chief Financial Officer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Primary Location:</w:t>
      </w:r>
      <w:r>
        <w:rPr>
          <w:rFonts w:ascii="Arial" w:cs="Arial" w:eastAsia="Arial" w:hAnsi="Arial"/>
          <w:sz w:val="18"/>
          <w:szCs w:val="18"/>
          <w:color w:val="auto"/>
        </w:rPr>
        <w:t xml:space="preserve"> Lake Forest, Illinois</w:t>
      </w:r>
    </w:p>
    <w:p>
      <w:pPr>
        <w:spacing w:after="0" w:line="130"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$675,000.00. The Company may adjust Employee’s base salary from time to time. For purposes of Sections 5 and 6 below, “Base Salary” shall be the Employee’s base salary at the time of separation.</w:t>
      </w:r>
    </w:p>
    <w:p>
      <w:pPr>
        <w:spacing w:after="0" w:line="75" w:lineRule="exact"/>
        <w:rPr>
          <w:rFonts w:ascii="Arial" w:cs="Arial" w:eastAsia="Arial" w:hAnsi="Arial"/>
          <w:sz w:val="18"/>
          <w:szCs w:val="18"/>
          <w:color w:val="auto"/>
        </w:rPr>
      </w:pPr>
    </w:p>
    <w:p>
      <w:pPr>
        <w:ind w:left="424" w:right="140" w:hanging="424"/>
        <w:spacing w:after="0" w:line="342"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Annual Bonus Target:</w:t>
      </w:r>
      <w:r>
        <w:rPr>
          <w:rFonts w:ascii="Arial" w:cs="Arial" w:eastAsia="Arial" w:hAnsi="Arial"/>
          <w:sz w:val="16"/>
          <w:szCs w:val="16"/>
          <w:color w:val="auto"/>
        </w:rPr>
        <w:t xml:space="preserve"> 75% of Base Salary, prorated for 2023 based on date of hire. The Company may adjust Employee’s annual bonus target from time to time. For purposes of Section 5 below, “Annual Bonus Target” shall be the annual bonus target percentage at the time of separation.</w:t>
      </w:r>
    </w:p>
    <w:p>
      <w:pPr>
        <w:spacing w:after="0" w:line="29" w:lineRule="exact"/>
        <w:rPr>
          <w:rFonts w:ascii="Arial" w:cs="Arial" w:eastAsia="Arial" w:hAnsi="Arial"/>
          <w:sz w:val="16"/>
          <w:szCs w:val="16"/>
          <w:color w:val="auto"/>
        </w:rPr>
      </w:pPr>
    </w:p>
    <w:p>
      <w:pPr>
        <w:ind w:left="424" w:hanging="424"/>
        <w:spacing w:after="0" w:line="268" w:lineRule="auto"/>
        <w:tabs>
          <w:tab w:leader="none" w:pos="42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Severance Amount/Period:</w:t>
      </w:r>
      <w:r>
        <w:rPr>
          <w:rFonts w:ascii="Arial" w:cs="Arial" w:eastAsia="Arial" w:hAnsi="Arial"/>
          <w:sz w:val="17"/>
          <w:szCs w:val="17"/>
          <w:color w:val="auto"/>
        </w:rPr>
        <w:t xml:space="preserve"> (i) Base Salary,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Base Salary plus (ii) Annual Bonus at Target prorated through Date of Termination, paid in equal installments over 24 months following the Date of Termination. All other terms of </w:t>
      </w:r>
      <w:r>
        <w:rPr>
          <w:rFonts w:ascii="Arial" w:cs="Arial" w:eastAsia="Arial" w:hAnsi="Arial"/>
          <w:sz w:val="17"/>
          <w:szCs w:val="17"/>
          <w:u w:val="single" w:color="auto"/>
          <w:color w:val="auto"/>
        </w:rPr>
        <w:t>Section 5(b)(i)</w:t>
      </w:r>
      <w:r>
        <w:rPr>
          <w:rFonts w:ascii="Arial" w:cs="Arial" w:eastAsia="Arial" w:hAnsi="Arial"/>
          <w:sz w:val="17"/>
          <w:szCs w:val="17"/>
          <w:color w:val="auto"/>
        </w:rPr>
        <w:t xml:space="preserve"> of the Agreement will apply. For purposes of this provision a “</w:t>
      </w:r>
      <w:r>
        <w:rPr>
          <w:rFonts w:ascii="Arial" w:cs="Arial" w:eastAsia="Arial" w:hAnsi="Arial"/>
          <w:sz w:val="17"/>
          <w:szCs w:val="17"/>
          <w:b w:val="1"/>
          <w:bCs w:val="1"/>
          <w:u w:val="single" w:color="auto"/>
          <w:color w:val="auto"/>
        </w:rPr>
        <w:t>Sale of Business</w:t>
      </w:r>
      <w:r>
        <w:rPr>
          <w:rFonts w:ascii="Arial" w:cs="Arial" w:eastAsia="Arial" w:hAnsi="Arial"/>
          <w:sz w:val="17"/>
          <w:szCs w:val="17"/>
          <w:color w:val="auto"/>
        </w:rPr>
        <w:t>” shall mean the sale or other disposition of (x) more than 50% of the shares or other equity interests of the Company or the Company’s direct or indirect parent to a non-affiliated party (which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 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89" w:lineRule="exact"/>
        <w:rPr>
          <w:rFonts w:ascii="Arial" w:cs="Arial" w:eastAsia="Arial" w:hAnsi="Arial"/>
          <w:sz w:val="17"/>
          <w:szCs w:val="17"/>
          <w:color w:val="auto"/>
        </w:rPr>
      </w:pPr>
    </w:p>
    <w:p>
      <w:pPr>
        <w:ind w:left="444" w:right="8300" w:hanging="444"/>
        <w:spacing w:after="0" w:line="422" w:lineRule="auto"/>
        <w:tabs>
          <w:tab w:leader="none" w:pos="43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 xml:space="preserve">Other Compensation Programs: </w:t>
      </w:r>
      <w:r>
        <w:rPr>
          <w:rFonts w:ascii="Arial" w:cs="Arial" w:eastAsia="Arial" w:hAnsi="Arial"/>
          <w:sz w:val="16"/>
          <w:szCs w:val="16"/>
          <w:color w:val="auto"/>
        </w:rPr>
        <w:t>Effective January 1, 2024:</w:t>
      </w:r>
    </w:p>
    <w:p>
      <w:pPr>
        <w:ind w:left="864"/>
        <w:spacing w:after="0"/>
        <w:rPr>
          <w:rFonts w:ascii="Arial" w:cs="Arial" w:eastAsia="Arial" w:hAnsi="Arial"/>
          <w:sz w:val="16"/>
          <w:szCs w:val="16"/>
          <w:color w:val="auto"/>
        </w:rPr>
      </w:pPr>
      <w:r>
        <w:rPr>
          <w:rFonts w:ascii="Arial" w:cs="Arial" w:eastAsia="Arial" w:hAnsi="Arial"/>
          <w:sz w:val="18"/>
          <w:szCs w:val="18"/>
          <w:color w:val="auto"/>
        </w:rPr>
        <w:t>Long-Term Incentive Program Target: 190% of Base Salary</w:t>
      </w:r>
    </w:p>
    <w:p>
      <w:pPr>
        <w:sectPr>
          <w:pgSz w:w="11900" w:h="16838" w:orient="portrait"/>
          <w:cols w:equalWidth="0" w:num="1">
            <w:col w:w="11004"/>
          </w:cols>
          <w:pgMar w:left="436" w:top="270" w:right="459" w:bottom="1440" w:gutter="0" w:footer="0" w:header="0"/>
        </w:sectPr>
      </w:pPr>
    </w:p>
    <w:bookmarkStart w:id="14" w:name="page15"/>
    <w:bookmarkEnd w:id="14"/>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Restrictive Covenant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Restrictive Covenant Agreement dated as of October 23, 2023, between Reynolds Consumer Products LLC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Scott 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Huckins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170"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B. In addition, the Company is providing Employee other consideration for Employee’s execution of this Agreement, as provided in a separate letter of even date herewith.</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24" w:hanging="184"/>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w:t>
      </w:r>
    </w:p>
    <w:p>
      <w:pPr>
        <w:spacing w:after="0" w:line="225" w:lineRule="exact"/>
        <w:rPr>
          <w:rFonts w:ascii="Arial" w:cs="Arial" w:eastAsia="Arial" w:hAnsi="Arial"/>
          <w:sz w:val="18"/>
          <w:szCs w:val="18"/>
          <w:color w:val="auto"/>
        </w:rPr>
      </w:pPr>
    </w:p>
    <w:p>
      <w:pPr>
        <w:jc w:val="both"/>
        <w:ind w:left="4" w:right="220" w:firstLine="987"/>
        <w:spacing w:after="0" w:line="281" w:lineRule="auto"/>
        <w:tabs>
          <w:tab w:leader="none" w:pos="1240" w:val="left"/>
        </w:tabs>
        <w:numPr>
          <w:ilvl w:val="2"/>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Product</w:t>
      </w:r>
      <w:r>
        <w:rPr>
          <w:rFonts w:ascii="Arial" w:cs="Arial" w:eastAsia="Arial" w:hAnsi="Arial"/>
          <w:sz w:val="17"/>
          <w:szCs w:val="17"/>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164" w:lineRule="exact"/>
        <w:rPr>
          <w:rFonts w:ascii="Arial" w:cs="Arial" w:eastAsia="Arial" w:hAnsi="Arial"/>
          <w:sz w:val="17"/>
          <w:szCs w:val="17"/>
          <w:color w:val="auto"/>
        </w:rPr>
      </w:pPr>
    </w:p>
    <w:p>
      <w:pPr>
        <w:ind w:left="4" w:right="220" w:firstLine="987"/>
        <w:spacing w:after="0" w:line="282" w:lineRule="auto"/>
        <w:tabs>
          <w:tab w:leader="none" w:pos="125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Competitive Activity</w:t>
      </w:r>
      <w:r>
        <w:rPr>
          <w:rFonts w:ascii="Arial" w:cs="Arial" w:eastAsia="Arial" w:hAnsi="Arial"/>
          <w:sz w:val="18"/>
          <w:szCs w:val="18"/>
          <w:color w:val="auto"/>
        </w:rPr>
        <w:t>” means the marketing, distribution, promotion, sales, development, delivery, or servicing of any product that competes with any Company Product.</w:t>
      </w:r>
    </w:p>
    <w:p>
      <w:pPr>
        <w:spacing w:after="0" w:line="161" w:lineRule="exact"/>
        <w:rPr>
          <w:rFonts w:ascii="Arial" w:cs="Arial" w:eastAsia="Arial" w:hAnsi="Arial"/>
          <w:sz w:val="18"/>
          <w:szCs w:val="18"/>
          <w:color w:val="auto"/>
        </w:rPr>
      </w:pPr>
    </w:p>
    <w:p>
      <w:pPr>
        <w:jc w:val="both"/>
        <w:ind w:left="4" w:firstLine="987"/>
        <w:spacing w:after="0" w:line="261" w:lineRule="auto"/>
        <w:tabs>
          <w:tab w:leader="none" w:pos="1240" w:val="left"/>
        </w:tabs>
        <w:numPr>
          <w:ilvl w:val="2"/>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Competitor</w:t>
      </w:r>
      <w:r>
        <w:rPr>
          <w:rFonts w:ascii="Arial" w:cs="Arial" w:eastAsia="Arial" w:hAnsi="Arial"/>
          <w:sz w:val="18"/>
          <w:szCs w:val="18"/>
          <w:color w:val="auto"/>
        </w:rPr>
        <w:t xml:space="preserve">” means (i) those entities listed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other entities that the Company reasonably determines are engaged in a Competitive Activity, in each case plus any direct or indirect parent or subsidiary of such entity, minus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4" w:right="320" w:firstLine="987"/>
        <w:spacing w:after="0" w:line="293" w:lineRule="auto"/>
        <w:tabs>
          <w:tab w:leader="none" w:pos="1250" w:val="left"/>
        </w:tabs>
        <w:numPr>
          <w:ilvl w:val="2"/>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Customer</w:t>
      </w:r>
      <w:r>
        <w:rPr>
          <w:rFonts w:ascii="Arial" w:cs="Arial" w:eastAsia="Arial" w:hAnsi="Arial"/>
          <w:sz w:val="16"/>
          <w:szCs w:val="16"/>
          <w:color w:val="auto"/>
        </w:rPr>
        <w:t>” means any customer, including distributors, with whom the Company transacted business during the 24-month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left="4" w:right="740" w:hanging="4"/>
        <w:spacing w:after="0" w:line="260" w:lineRule="auto"/>
        <w:tabs>
          <w:tab w:leader="none" w:pos="2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knew Proprietary Information of or about, the Customer during the 24-month period immediately preceding the termination of Employee’s employment with the Company.</w:t>
      </w:r>
    </w:p>
    <w:p>
      <w:pPr>
        <w:spacing w:after="0" w:line="181" w:lineRule="exact"/>
        <w:rPr>
          <w:rFonts w:ascii="Arial" w:cs="Arial" w:eastAsia="Arial" w:hAnsi="Arial"/>
          <w:sz w:val="18"/>
          <w:szCs w:val="18"/>
          <w:color w:val="auto"/>
        </w:rPr>
      </w:pPr>
    </w:p>
    <w:p>
      <w:pPr>
        <w:ind w:left="1244" w:hanging="253"/>
        <w:spacing w:after="0"/>
        <w:tabs>
          <w:tab w:leader="none" w:pos="1244"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121" w:lineRule="exact"/>
        <w:rPr>
          <w:rFonts w:ascii="Arial" w:cs="Arial" w:eastAsia="Arial" w:hAnsi="Arial"/>
          <w:sz w:val="18"/>
          <w:szCs w:val="18"/>
          <w:color w:val="auto"/>
        </w:rPr>
      </w:pPr>
    </w:p>
    <w:p>
      <w:pPr>
        <w:ind w:left="1644" w:hanging="252"/>
        <w:spacing w:after="0"/>
        <w:tabs>
          <w:tab w:leader="none" w:pos="1644" w:val="left"/>
        </w:tabs>
        <w:numPr>
          <w:ilvl w:val="3"/>
          <w:numId w:val="17"/>
        </w:numPr>
        <w:rPr>
          <w:rFonts w:ascii="Arial" w:cs="Arial" w:eastAsia="Arial" w:hAnsi="Arial"/>
          <w:sz w:val="18"/>
          <w:szCs w:val="18"/>
          <w:color w:val="auto"/>
        </w:rPr>
      </w:pPr>
      <w:r>
        <w:rPr>
          <w:rFonts w:ascii="Arial" w:cs="Arial" w:eastAsia="Arial" w:hAnsi="Arial"/>
          <w:sz w:val="18"/>
          <w:szCs w:val="18"/>
          <w:color w:val="auto"/>
        </w:rPr>
        <w:t>with whom or with which Employee dealt on behalf of the Company;</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3"/>
          <w:numId w:val="17"/>
        </w:numPr>
        <w:rPr>
          <w:rFonts w:ascii="Arial" w:cs="Arial" w:eastAsia="Arial" w:hAnsi="Arial"/>
          <w:sz w:val="18"/>
          <w:szCs w:val="18"/>
          <w:color w:val="auto"/>
        </w:rPr>
      </w:pPr>
      <w:r>
        <w:rPr>
          <w:rFonts w:ascii="Arial" w:cs="Arial" w:eastAsia="Arial" w:hAnsi="Arial"/>
          <w:sz w:val="18"/>
          <w:szCs w:val="18"/>
          <w:color w:val="auto"/>
        </w:rPr>
        <w:t>whose dealings with the Company were coordinated or supervised by Employee; or</w:t>
      </w:r>
    </w:p>
    <w:p>
      <w:pPr>
        <w:spacing w:after="0" w:line="117" w:lineRule="exact"/>
        <w:rPr>
          <w:rFonts w:ascii="Arial" w:cs="Arial" w:eastAsia="Arial" w:hAnsi="Arial"/>
          <w:sz w:val="18"/>
          <w:szCs w:val="18"/>
          <w:color w:val="auto"/>
        </w:rPr>
      </w:pPr>
    </w:p>
    <w:p>
      <w:pPr>
        <w:ind w:left="1644" w:hanging="252"/>
        <w:spacing w:after="0"/>
        <w:tabs>
          <w:tab w:leader="none" w:pos="1644" w:val="left"/>
        </w:tabs>
        <w:numPr>
          <w:ilvl w:val="3"/>
          <w:numId w:val="17"/>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ectPr>
          <w:pgSz w:w="11900" w:h="16838" w:orient="portrait"/>
          <w:cols w:equalWidth="0" w:num="1">
            <w:col w:w="11004"/>
          </w:cols>
          <w:pgMar w:left="436" w:top="270" w:right="459" w:bottom="1440" w:gutter="0" w:footer="0" w:header="0"/>
        </w:sectPr>
      </w:pPr>
    </w:p>
    <w:bookmarkStart w:id="15" w:name="page16"/>
    <w:bookmarkEnd w:id="15"/>
    <w:p>
      <w:pPr>
        <w:ind w:left="4" w:firstLine="987"/>
        <w:spacing w:after="0" w:line="285" w:lineRule="auto"/>
        <w:tabs>
          <w:tab w:leader="none" w:pos="1220" w:val="left"/>
        </w:tabs>
        <w:numPr>
          <w:ilvl w:val="2"/>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Proprietary Information</w:t>
      </w:r>
      <w:r>
        <w:rPr>
          <w:rFonts w:ascii="Arial" w:cs="Arial" w:eastAsia="Arial" w:hAnsi="Arial"/>
          <w:sz w:val="16"/>
          <w:szCs w:val="16"/>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 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387" w:lineRule="exact"/>
        <w:rPr>
          <w:rFonts w:ascii="Arial" w:cs="Arial" w:eastAsia="Arial" w:hAnsi="Arial"/>
          <w:sz w:val="16"/>
          <w:szCs w:val="16"/>
          <w:color w:val="auto"/>
        </w:rPr>
      </w:pPr>
    </w:p>
    <w:p>
      <w:pPr>
        <w:ind w:left="4" w:right="80" w:firstLine="987"/>
        <w:spacing w:after="0" w:line="293" w:lineRule="auto"/>
        <w:tabs>
          <w:tab w:leader="none" w:pos="1250" w:val="left"/>
        </w:tabs>
        <w:numPr>
          <w:ilvl w:val="2"/>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Prospective Customer</w:t>
      </w:r>
      <w:r>
        <w:rPr>
          <w:rFonts w:ascii="Arial" w:cs="Arial" w:eastAsia="Arial" w:hAnsi="Arial"/>
          <w:sz w:val="16"/>
          <w:szCs w:val="16"/>
          <w:color w:val="auto"/>
        </w:rPr>
        <w:t>” means any person with whom the Company was attempting to transact business within the six-month period immediately preceding the termination of Employee’s employment with the Company provided that (i) Employee had Material Contact with, or</w:t>
      </w:r>
    </w:p>
    <w:p>
      <w:pPr>
        <w:spacing w:after="0" w:line="1" w:lineRule="exact"/>
        <w:rPr>
          <w:rFonts w:ascii="Arial" w:cs="Arial" w:eastAsia="Arial" w:hAnsi="Arial"/>
          <w:sz w:val="16"/>
          <w:szCs w:val="16"/>
          <w:color w:val="auto"/>
        </w:rPr>
      </w:pPr>
    </w:p>
    <w:p>
      <w:pPr>
        <w:ind w:left="4" w:right="720" w:hanging="4"/>
        <w:spacing w:after="0" w:line="260" w:lineRule="auto"/>
        <w:tabs>
          <w:tab w:leader="none" w:pos="2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knew Proprietary Information of or about, the Prospective Customer during the six-month period immediately preceding the termination of Employee’s employment.</w:t>
      </w:r>
    </w:p>
    <w:p>
      <w:pPr>
        <w:spacing w:after="0" w:line="181" w:lineRule="exact"/>
        <w:rPr>
          <w:rFonts w:ascii="Arial" w:cs="Arial" w:eastAsia="Arial" w:hAnsi="Arial"/>
          <w:sz w:val="18"/>
          <w:szCs w:val="18"/>
          <w:color w:val="auto"/>
        </w:rPr>
      </w:pPr>
    </w:p>
    <w:p>
      <w:pPr>
        <w:ind w:left="4" w:right="20" w:firstLine="436"/>
        <w:spacing w:after="0" w:line="272" w:lineRule="auto"/>
        <w:tabs>
          <w:tab w:leader="none" w:pos="624" w:val="left"/>
        </w:tabs>
        <w:numPr>
          <w:ilvl w:val="1"/>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Legitimate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Due to the nature of the Company’s business, certain the Company employees, including Employee, have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 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171" w:lineRule="exact"/>
        <w:rPr>
          <w:rFonts w:ascii="Arial" w:cs="Arial" w:eastAsia="Arial" w:hAnsi="Arial"/>
          <w:sz w:val="17"/>
          <w:szCs w:val="17"/>
          <w:color w:val="auto"/>
        </w:rPr>
      </w:pPr>
    </w:p>
    <w:p>
      <w:pPr>
        <w:ind w:left="624" w:hanging="184"/>
        <w:spacing w:after="0"/>
        <w:tabs>
          <w:tab w:leader="none" w:pos="624" w:val="left"/>
        </w:tabs>
        <w:numPr>
          <w:ilvl w:val="1"/>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color w:val="auto"/>
        </w:rPr>
        <w:t>, Employee certifies the following:</w:t>
      </w:r>
    </w:p>
    <w:p>
      <w:pPr>
        <w:spacing w:after="0" w:line="229" w:lineRule="exact"/>
        <w:rPr>
          <w:rFonts w:ascii="Arial" w:cs="Arial" w:eastAsia="Arial" w:hAnsi="Arial"/>
          <w:sz w:val="18"/>
          <w:szCs w:val="18"/>
          <w:color w:val="auto"/>
        </w:rPr>
      </w:pPr>
    </w:p>
    <w:p>
      <w:pPr>
        <w:ind w:left="4" w:right="360" w:firstLine="987"/>
        <w:spacing w:after="0" w:line="259" w:lineRule="auto"/>
        <w:tabs>
          <w:tab w:leader="none" w:pos="12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ectPr>
          <w:pgSz w:w="11900" w:h="16838" w:orient="portrait"/>
          <w:cols w:equalWidth="0" w:num="1">
            <w:col w:w="11004"/>
          </w:cols>
          <w:pgMar w:left="436" w:top="270" w:right="459" w:bottom="1440" w:gutter="0" w:footer="0" w:header="0"/>
        </w:sectPr>
      </w:pPr>
    </w:p>
    <w:bookmarkStart w:id="16" w:name="page17"/>
    <w:bookmarkEnd w:id="16"/>
    <w:p>
      <w:pPr>
        <w:ind w:left="-436" w:firstLine="987"/>
        <w:spacing w:after="0" w:line="257" w:lineRule="auto"/>
        <w:tabs>
          <w:tab w:leader="none" w:pos="810"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B</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187" w:lineRule="exact"/>
        <w:rPr>
          <w:rFonts w:ascii="Arial" w:cs="Arial" w:eastAsia="Arial" w:hAnsi="Arial"/>
          <w:sz w:val="18"/>
          <w:szCs w:val="18"/>
          <w:color w:val="auto"/>
        </w:rPr>
      </w:pPr>
    </w:p>
    <w:p>
      <w:pPr>
        <w:jc w:val="both"/>
        <w:ind w:left="-436" w:right="100" w:firstLine="987"/>
        <w:spacing w:after="0" w:line="263" w:lineRule="auto"/>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84" w:hanging="184"/>
        <w:spacing w:after="0"/>
        <w:tabs>
          <w:tab w:leader="none" w:pos="184"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p>
    <w:p>
      <w:pPr>
        <w:spacing w:after="0" w:line="229" w:lineRule="exact"/>
        <w:rPr>
          <w:rFonts w:ascii="Arial" w:cs="Arial" w:eastAsia="Arial" w:hAnsi="Arial"/>
          <w:sz w:val="18"/>
          <w:szCs w:val="18"/>
          <w:color w:val="auto"/>
        </w:rPr>
      </w:pPr>
    </w:p>
    <w:p>
      <w:pPr>
        <w:ind w:left="-436" w:right="60" w:firstLine="987"/>
        <w:spacing w:after="0" w:line="289" w:lineRule="auto"/>
        <w:tabs>
          <w:tab w:leader="none" w:pos="8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166" w:lineRule="exact"/>
        <w:rPr>
          <w:rFonts w:ascii="Arial" w:cs="Arial" w:eastAsia="Arial" w:hAnsi="Arial"/>
          <w:sz w:val="16"/>
          <w:szCs w:val="16"/>
          <w:color w:val="auto"/>
        </w:rPr>
      </w:pPr>
    </w:p>
    <w:p>
      <w:pPr>
        <w:ind w:left="-436" w:firstLine="987"/>
        <w:spacing w:after="0" w:line="269" w:lineRule="auto"/>
        <w:tabs>
          <w:tab w:leader="none" w:pos="8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181" w:lineRule="exact"/>
        <w:rPr>
          <w:rFonts w:ascii="Arial" w:cs="Arial" w:eastAsia="Arial" w:hAnsi="Arial"/>
          <w:sz w:val="17"/>
          <w:szCs w:val="17"/>
          <w:color w:val="auto"/>
        </w:rPr>
      </w:pPr>
    </w:p>
    <w:p>
      <w:pPr>
        <w:ind w:left="-436" w:right="120" w:firstLine="987"/>
        <w:spacing w:after="0" w:line="311" w:lineRule="auto"/>
        <w:tabs>
          <w:tab w:leader="none" w:pos="8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Employee has identified on </w:t>
      </w:r>
      <w:r>
        <w:rPr>
          <w:rFonts w:ascii="Arial" w:cs="Arial" w:eastAsia="Arial" w:hAnsi="Arial"/>
          <w:sz w:val="16"/>
          <w:szCs w:val="16"/>
          <w:u w:val="single" w:color="auto"/>
          <w:color w:val="auto"/>
        </w:rPr>
        <w:t>Attachment C</w:t>
      </w:r>
      <w:r>
        <w:rPr>
          <w:rFonts w:ascii="Arial" w:cs="Arial" w:eastAsia="Arial" w:hAnsi="Arial"/>
          <w:sz w:val="16"/>
          <w:szCs w:val="16"/>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6"/>
          <w:szCs w:val="16"/>
          <w:u w:val="single" w:color="auto"/>
          <w:color w:val="auto"/>
        </w:rPr>
        <w:t>Attachment C</w:t>
      </w:r>
      <w:r>
        <w:rPr>
          <w:rFonts w:ascii="Arial" w:cs="Arial" w:eastAsia="Arial" w:hAnsi="Arial"/>
          <w:sz w:val="16"/>
          <w:szCs w:val="16"/>
          <w:color w:val="auto"/>
        </w:rPr>
        <w:t>, Employee represents that Employee has made no such inventions and improvements at the time of signing this Agreement.</w:t>
      </w:r>
    </w:p>
    <w:p>
      <w:pPr>
        <w:sectPr>
          <w:pgSz w:w="11900" w:h="16838" w:orient="portrait"/>
          <w:cols w:equalWidth="0" w:num="1">
            <w:col w:w="10544"/>
          </w:cols>
          <w:pgMar w:left="876" w:top="274" w:right="479" w:bottom="1440" w:gutter="0" w:footer="0" w:header="0"/>
        </w:sectPr>
      </w:pPr>
    </w:p>
    <w:bookmarkStart w:id="17" w:name="page18"/>
    <w:bookmarkEnd w:id="17"/>
    <w:p>
      <w:pPr>
        <w:ind w:right="80" w:firstLine="987"/>
        <w:spacing w:after="0" w:line="279" w:lineRule="auto"/>
        <w:tabs>
          <w:tab w:leader="none" w:pos="1246" w:val="left"/>
        </w:tabs>
        <w:numPr>
          <w:ilvl w:val="1"/>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provisions of this Agreement requiring the assignn1ent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167" w:lineRule="exact"/>
        <w:rPr>
          <w:rFonts w:ascii="Arial" w:cs="Arial" w:eastAsia="Arial" w:hAnsi="Arial"/>
          <w:sz w:val="17"/>
          <w:szCs w:val="17"/>
          <w:color w:val="auto"/>
        </w:rPr>
      </w:pPr>
    </w:p>
    <w:p>
      <w:pPr>
        <w:ind w:left="620" w:hanging="18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p>
    <w:p>
      <w:pPr>
        <w:spacing w:after="0" w:line="225" w:lineRule="exact"/>
        <w:rPr>
          <w:rFonts w:ascii="Arial" w:cs="Arial" w:eastAsia="Arial" w:hAnsi="Arial"/>
          <w:sz w:val="18"/>
          <w:szCs w:val="18"/>
          <w:color w:val="auto"/>
        </w:rPr>
      </w:pPr>
    </w:p>
    <w:p>
      <w:pPr>
        <w:ind w:right="20" w:firstLine="987"/>
        <w:spacing w:after="0" w:line="261"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179" w:lineRule="exact"/>
        <w:rPr>
          <w:rFonts w:ascii="Arial" w:cs="Arial" w:eastAsia="Arial" w:hAnsi="Arial"/>
          <w:sz w:val="18"/>
          <w:szCs w:val="18"/>
          <w:color w:val="auto"/>
        </w:rPr>
      </w:pPr>
    </w:p>
    <w:p>
      <w:pPr>
        <w:ind w:right="40" w:firstLine="987"/>
        <w:spacing w:after="0" w:line="261" w:lineRule="auto"/>
        <w:tabs>
          <w:tab w:leader="none" w:pos="1246"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Prospective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179" w:lineRule="exact"/>
        <w:rPr>
          <w:rFonts w:ascii="Arial" w:cs="Arial" w:eastAsia="Arial" w:hAnsi="Arial"/>
          <w:sz w:val="18"/>
          <w:szCs w:val="18"/>
          <w:color w:val="auto"/>
        </w:rPr>
      </w:pPr>
    </w:p>
    <w:p>
      <w:pPr>
        <w:ind w:firstLine="987"/>
        <w:spacing w:after="0" w:line="256"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 period of 12</w:t>
      </w:r>
      <w:r>
        <w:rPr>
          <w:rFonts w:ascii="Arial" w:cs="Arial" w:eastAsia="Arial" w:hAnsi="Arial"/>
          <w:sz w:val="18"/>
          <w:szCs w:val="18"/>
          <w:b w:val="1"/>
          <w:bCs w:val="1"/>
          <w:color w:val="auto"/>
        </w:rPr>
        <w:t xml:space="preserve"> </w:t>
      </w:r>
      <w:r>
        <w:rPr>
          <w:rFonts w:ascii="Arial" w:cs="Arial" w:eastAsia="Arial" w:hAnsi="Arial"/>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187" w:lineRule="exact"/>
        <w:rPr>
          <w:rFonts w:ascii="Arial" w:cs="Arial" w:eastAsia="Arial" w:hAnsi="Arial"/>
          <w:sz w:val="18"/>
          <w:szCs w:val="18"/>
          <w:color w:val="auto"/>
        </w:rPr>
      </w:pPr>
    </w:p>
    <w:p>
      <w:pPr>
        <w:ind w:right="40" w:firstLine="987"/>
        <w:spacing w:after="0" w:line="256" w:lineRule="auto"/>
        <w:tabs>
          <w:tab w:leader="none" w:pos="1246"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 period of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is reasonable and appropriate.</w:t>
      </w:r>
    </w:p>
    <w:p>
      <w:pPr>
        <w:spacing w:after="0" w:line="187" w:lineRule="exact"/>
        <w:rPr>
          <w:rFonts w:ascii="Arial" w:cs="Arial" w:eastAsia="Arial" w:hAnsi="Arial"/>
          <w:sz w:val="18"/>
          <w:szCs w:val="18"/>
          <w:color w:val="auto"/>
        </w:rPr>
      </w:pPr>
    </w:p>
    <w:p>
      <w:pPr>
        <w:ind w:left="1240" w:hanging="253"/>
        <w:spacing w:after="0"/>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 Covenant.</w:t>
      </w:r>
      <w:r>
        <w:rPr>
          <w:rFonts w:ascii="Arial" w:cs="Arial" w:eastAsia="Arial" w:hAnsi="Arial"/>
          <w:sz w:val="17"/>
          <w:szCs w:val="17"/>
          <w:b w:val="1"/>
          <w:bCs w:val="1"/>
          <w:color w:val="auto"/>
        </w:rPr>
        <w:t xml:space="preserve"> </w:t>
      </w:r>
      <w:r>
        <w:rPr>
          <w:rFonts w:ascii="Arial" w:cs="Arial" w:eastAsia="Arial" w:hAnsi="Arial"/>
          <w:sz w:val="17"/>
          <w:szCs w:val="17"/>
          <w:color w:val="auto"/>
        </w:rPr>
        <w:t>During Employee’s employment with the Company and following the termination of Employee’s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employment:</w:t>
      </w:r>
    </w:p>
    <w:p>
      <w:pPr>
        <w:spacing w:after="0" w:line="102" w:lineRule="exact"/>
        <w:rPr>
          <w:rFonts w:ascii="Arial" w:cs="Arial" w:eastAsia="Arial" w:hAnsi="Arial"/>
          <w:sz w:val="17"/>
          <w:szCs w:val="17"/>
          <w:color w:val="auto"/>
        </w:rPr>
      </w:pPr>
    </w:p>
    <w:p>
      <w:pPr>
        <w:ind w:left="440" w:firstLine="948"/>
        <w:spacing w:after="0" w:line="259" w:lineRule="auto"/>
        <w:tabs>
          <w:tab w:leader="none" w:pos="1607" w:val="left"/>
        </w:tabs>
        <w:numPr>
          <w:ilvl w:val="2"/>
          <w:numId w:val="23"/>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8" w:lineRule="exact"/>
        <w:rPr>
          <w:rFonts w:ascii="Arial" w:cs="Arial" w:eastAsia="Arial" w:hAnsi="Arial"/>
          <w:sz w:val="18"/>
          <w:szCs w:val="18"/>
          <w:color w:val="auto"/>
        </w:rPr>
      </w:pPr>
    </w:p>
    <w:p>
      <w:pPr>
        <w:ind w:left="440" w:right="140" w:firstLine="948"/>
        <w:spacing w:after="0" w:line="277" w:lineRule="auto"/>
        <w:tabs>
          <w:tab w:leader="none" w:pos="1657" w:val="left"/>
        </w:tabs>
        <w:numPr>
          <w:ilvl w:val="2"/>
          <w:numId w:val="23"/>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62" w:lineRule="exact"/>
        <w:rPr>
          <w:rFonts w:ascii="Arial" w:cs="Arial" w:eastAsia="Arial" w:hAnsi="Arial"/>
          <w:sz w:val="18"/>
          <w:szCs w:val="18"/>
          <w:color w:val="auto"/>
        </w:rPr>
      </w:pPr>
    </w:p>
    <w:p>
      <w:pPr>
        <w:ind w:left="440" w:right="80" w:firstLine="948"/>
        <w:spacing w:after="0" w:line="263" w:lineRule="auto"/>
        <w:tabs>
          <w:tab w:leader="none" w:pos="1707" w:val="left"/>
        </w:tabs>
        <w:numPr>
          <w:ilvl w:val="2"/>
          <w:numId w:val="23"/>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ectPr>
          <w:pgSz w:w="11900" w:h="16838" w:orient="portrait"/>
          <w:cols w:equalWidth="0" w:num="1">
            <w:col w:w="10980"/>
          </w:cols>
          <w:pgMar w:left="440" w:top="274" w:right="479" w:bottom="1440" w:gutter="0" w:footer="0" w:header="0"/>
        </w:sectPr>
      </w:pPr>
    </w:p>
    <w:bookmarkStart w:id="18" w:name="page19"/>
    <w:bookmarkEnd w:id="18"/>
    <w:p>
      <w:pPr>
        <w:ind w:left="-547" w:right="20" w:firstLine="948"/>
        <w:spacing w:after="0" w:line="263" w:lineRule="auto"/>
        <w:tabs>
          <w:tab w:leader="none" w:pos="709"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75" w:lineRule="exact"/>
        <w:rPr>
          <w:rFonts w:ascii="Arial" w:cs="Arial" w:eastAsia="Arial" w:hAnsi="Arial"/>
          <w:sz w:val="18"/>
          <w:szCs w:val="18"/>
          <w:color w:val="auto"/>
        </w:rPr>
      </w:pPr>
    </w:p>
    <w:p>
      <w:pPr>
        <w:ind w:left="-547" w:right="80" w:firstLine="948"/>
        <w:spacing w:after="0" w:line="263" w:lineRule="auto"/>
        <w:tabs>
          <w:tab w:leader="none" w:pos="6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75" w:lineRule="exact"/>
        <w:rPr>
          <w:rFonts w:ascii="Arial" w:cs="Arial" w:eastAsia="Arial" w:hAnsi="Arial"/>
          <w:sz w:val="18"/>
          <w:szCs w:val="18"/>
          <w:color w:val="auto"/>
        </w:rPr>
      </w:pPr>
    </w:p>
    <w:p>
      <w:pPr>
        <w:ind w:left="-547" w:firstLine="948"/>
        <w:spacing w:after="0" w:line="277" w:lineRule="auto"/>
        <w:tabs>
          <w:tab w:leader="none" w:pos="70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62" w:lineRule="exact"/>
        <w:rPr>
          <w:rFonts w:ascii="Arial" w:cs="Arial" w:eastAsia="Arial" w:hAnsi="Arial"/>
          <w:sz w:val="18"/>
          <w:szCs w:val="18"/>
          <w:color w:val="auto"/>
        </w:rPr>
      </w:pPr>
    </w:p>
    <w:p>
      <w:pPr>
        <w:ind w:left="-547" w:right="140" w:firstLine="948"/>
        <w:spacing w:after="0" w:line="263" w:lineRule="auto"/>
        <w:tabs>
          <w:tab w:leader="none" w:pos="75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179" w:lineRule="exact"/>
        <w:rPr>
          <w:rFonts w:ascii="Arial" w:cs="Arial" w:eastAsia="Arial" w:hAnsi="Arial"/>
          <w:sz w:val="18"/>
          <w:szCs w:val="18"/>
          <w:color w:val="auto"/>
        </w:rPr>
      </w:pPr>
    </w:p>
    <w:p>
      <w:pPr>
        <w:ind w:left="-987" w:right="60" w:firstLine="987"/>
        <w:spacing w:after="0" w:line="292"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Scope of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desire for the restrictive covenants, including any time period and geographic scope, to be construed</w:t>
      </w:r>
      <w:r>
        <w:rPr>
          <w:rFonts w:ascii="Arial" w:cs="Arial" w:eastAsia="Arial" w:hAnsi="Arial"/>
          <w:sz w:val="16"/>
          <w:szCs w:val="16"/>
          <w:b w:val="1"/>
          <w:bCs w:val="1"/>
          <w:color w:val="auto"/>
        </w:rPr>
        <w:t xml:space="preserve"> </w:t>
      </w:r>
      <w:r>
        <w:rPr>
          <w:rFonts w:ascii="Arial" w:cs="Arial" w:eastAsia="Arial" w:hAnsi="Arial"/>
          <w:sz w:val="16"/>
          <w:szCs w:val="16"/>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161" w:lineRule="exact"/>
        <w:rPr>
          <w:rFonts w:ascii="Arial" w:cs="Arial" w:eastAsia="Arial" w:hAnsi="Arial"/>
          <w:sz w:val="16"/>
          <w:szCs w:val="16"/>
          <w:color w:val="auto"/>
        </w:rPr>
      </w:pPr>
    </w:p>
    <w:p>
      <w:pPr>
        <w:ind w:left="-987" w:right="200" w:firstLine="987"/>
        <w:spacing w:after="0" w:line="256"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a threatened or existing violation of any of the post-employment restrictions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187" w:lineRule="exact"/>
        <w:rPr>
          <w:rFonts w:ascii="Arial" w:cs="Arial" w:eastAsia="Arial" w:hAnsi="Arial"/>
          <w:sz w:val="18"/>
          <w:szCs w:val="18"/>
          <w:color w:val="auto"/>
        </w:rPr>
      </w:pPr>
    </w:p>
    <w:p>
      <w:pPr>
        <w:jc w:val="both"/>
        <w:ind w:left="-987" w:right="320" w:firstLine="987"/>
        <w:spacing w:after="0" w:line="266"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as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175" w:lineRule="exact"/>
        <w:rPr>
          <w:rFonts w:ascii="Arial" w:cs="Arial" w:eastAsia="Arial" w:hAnsi="Arial"/>
          <w:sz w:val="18"/>
          <w:szCs w:val="18"/>
          <w:color w:val="auto"/>
        </w:rPr>
      </w:pPr>
    </w:p>
    <w:p>
      <w:pPr>
        <w:ind w:left="-987" w:right="40" w:firstLine="987"/>
        <w:spacing w:after="0" w:line="277" w:lineRule="auto"/>
        <w:tabs>
          <w:tab w:leader="none" w:pos="219"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Inevitable Use of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acknowledges and agrees that, after Employee’s separation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 will possess the Company’s Proprietary Information which Employee would inevitably use if Employee were to engage in the conduct prohibited by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ectPr>
          <w:pgSz w:w="11900" w:h="16838" w:orient="portrait"/>
          <w:cols w:equalWidth="0" w:num="1">
            <w:col w:w="10013"/>
          </w:cols>
          <w:pgMar w:left="1427" w:top="274" w:right="459" w:bottom="1440" w:gutter="0" w:footer="0" w:header="0"/>
        </w:sectPr>
      </w:pPr>
    </w:p>
    <w:bookmarkStart w:id="19" w:name="page20"/>
    <w:bookmarkEnd w:id="19"/>
    <w:p>
      <w:pPr>
        <w:ind w:left="-436" w:firstLine="436"/>
        <w:spacing w:after="0" w:line="258" w:lineRule="auto"/>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it is necessary and appropriate for the Company to protect its legitimate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183" w:lineRule="exact"/>
        <w:rPr>
          <w:rFonts w:ascii="Arial" w:cs="Arial" w:eastAsia="Arial" w:hAnsi="Arial"/>
          <w:sz w:val="18"/>
          <w:szCs w:val="18"/>
          <w:color w:val="auto"/>
        </w:rPr>
      </w:pPr>
    </w:p>
    <w:p>
      <w:pPr>
        <w:ind w:left="-436" w:right="80" w:firstLine="436"/>
        <w:spacing w:after="0" w:line="298" w:lineRule="auto"/>
        <w:tabs>
          <w:tab w:leader="none" w:pos="184"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No representation, promise, understanding, or warranty not set forth herein has been made or relied upon by either party in</w:t>
      </w:r>
      <w:r>
        <w:rPr>
          <w:rFonts w:ascii="Arial" w:cs="Arial" w:eastAsia="Arial" w:hAnsi="Arial"/>
          <w:sz w:val="16"/>
          <w:szCs w:val="16"/>
          <w:b w:val="1"/>
          <w:bCs w:val="1"/>
          <w:color w:val="auto"/>
        </w:rPr>
        <w:t xml:space="preserve"> </w:t>
      </w:r>
      <w:r>
        <w:rPr>
          <w:rFonts w:ascii="Arial" w:cs="Arial" w:eastAsia="Arial" w:hAnsi="Arial"/>
          <w:sz w:val="16"/>
          <w:szCs w:val="16"/>
          <w:color w:val="auto"/>
        </w:rPr>
        <w:t>making this Agreement. No modification, amendment or addition will be valid, unless set forth in writing and signed by the patty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patties agree that the term of any prior confidentiality or restrictive covenants shall govern.</w:t>
      </w:r>
    </w:p>
    <w:p>
      <w:pPr>
        <w:spacing w:after="0" w:line="153" w:lineRule="exact"/>
        <w:rPr>
          <w:rFonts w:ascii="Arial" w:cs="Arial" w:eastAsia="Arial" w:hAnsi="Arial"/>
          <w:sz w:val="16"/>
          <w:szCs w:val="16"/>
          <w:color w:val="auto"/>
        </w:rPr>
      </w:pPr>
    </w:p>
    <w:p>
      <w:pPr>
        <w:ind w:left="-436" w:right="280" w:firstLine="436"/>
        <w:spacing w:after="0" w:line="266" w:lineRule="auto"/>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constitute a contract of employment for any given duration.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Company and Employee shall be employment-at-will and either the Company or Employee may terminate it at any time for any reason without liability.</w:t>
      </w:r>
    </w:p>
    <w:p>
      <w:pPr>
        <w:spacing w:after="0" w:line="175" w:lineRule="exact"/>
        <w:rPr>
          <w:rFonts w:ascii="Arial" w:cs="Arial" w:eastAsia="Arial" w:hAnsi="Arial"/>
          <w:sz w:val="18"/>
          <w:szCs w:val="18"/>
          <w:color w:val="auto"/>
        </w:rPr>
      </w:pPr>
    </w:p>
    <w:p>
      <w:pPr>
        <w:ind w:left="184" w:hanging="184"/>
        <w:spacing w:after="0"/>
        <w:tabs>
          <w:tab w:leader="none" w:pos="184"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Employment.</w:t>
      </w:r>
    </w:p>
    <w:p>
      <w:pPr>
        <w:spacing w:after="0" w:line="229" w:lineRule="exact"/>
        <w:rPr>
          <w:rFonts w:ascii="Arial" w:cs="Arial" w:eastAsia="Arial" w:hAnsi="Arial"/>
          <w:sz w:val="18"/>
          <w:szCs w:val="18"/>
          <w:color w:val="auto"/>
        </w:rPr>
      </w:pPr>
    </w:p>
    <w:p>
      <w:pPr>
        <w:ind w:left="-436" w:right="80" w:firstLine="987"/>
        <w:spacing w:after="0" w:line="275" w:lineRule="auto"/>
        <w:tabs>
          <w:tab w:leader="none" w:pos="8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176" w:lineRule="exact"/>
        <w:rPr>
          <w:rFonts w:ascii="Arial" w:cs="Arial" w:eastAsia="Arial" w:hAnsi="Arial"/>
          <w:sz w:val="17"/>
          <w:szCs w:val="17"/>
          <w:color w:val="auto"/>
        </w:rPr>
      </w:pPr>
    </w:p>
    <w:p>
      <w:pPr>
        <w:jc w:val="both"/>
        <w:ind w:left="-436" w:right="80" w:firstLine="987"/>
        <w:spacing w:after="0" w:line="263" w:lineRule="auto"/>
        <w:tabs>
          <w:tab w:leader="none" w:pos="8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12-month period after the termination of Employee’s employment.</w:t>
      </w:r>
    </w:p>
    <w:p>
      <w:pPr>
        <w:spacing w:after="0" w:line="179" w:lineRule="exact"/>
        <w:rPr>
          <w:rFonts w:ascii="Arial" w:cs="Arial" w:eastAsia="Arial" w:hAnsi="Arial"/>
          <w:sz w:val="18"/>
          <w:szCs w:val="18"/>
          <w:color w:val="auto"/>
        </w:rPr>
      </w:pPr>
    </w:p>
    <w:p>
      <w:pPr>
        <w:ind w:left="-436" w:right="100" w:firstLine="436"/>
        <w:spacing w:after="0" w:line="277" w:lineRule="auto"/>
        <w:tabs>
          <w:tab w:leader="none" w:pos="274"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Assignment of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assign this Agreement, its rights, interests and remedies under this Agreement,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167" w:lineRule="exact"/>
        <w:rPr>
          <w:rFonts w:ascii="Arial" w:cs="Arial" w:eastAsia="Arial" w:hAnsi="Arial"/>
          <w:sz w:val="17"/>
          <w:szCs w:val="17"/>
          <w:color w:val="auto"/>
        </w:rPr>
      </w:pPr>
    </w:p>
    <w:p>
      <w:pPr>
        <w:jc w:val="both"/>
        <w:ind w:left="-436" w:right="20" w:firstLine="436"/>
        <w:spacing w:after="0" w:line="289" w:lineRule="auto"/>
        <w:tabs>
          <w:tab w:leader="none" w:pos="267"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Non-Waiver.</w:t>
      </w:r>
      <w:r>
        <w:rPr>
          <w:rFonts w:ascii="Arial" w:cs="Arial" w:eastAsia="Arial" w:hAnsi="Arial"/>
          <w:sz w:val="17"/>
          <w:szCs w:val="17"/>
          <w:b w:val="1"/>
          <w:bCs w:val="1"/>
          <w:color w:val="auto"/>
        </w:rPr>
        <w:t xml:space="preserve"> </w:t>
      </w:r>
      <w:r>
        <w:rPr>
          <w:rFonts w:ascii="Arial" w:cs="Arial" w:eastAsia="Arial" w:hAnsi="Arial"/>
          <w:sz w:val="17"/>
          <w:szCs w:val="17"/>
          <w:color w:val="auto"/>
        </w:rPr>
        <w:t>No failure or delay by any party to this Agreement in exercising any right, power or privilege hereunder, will operate as a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157" w:lineRule="exact"/>
        <w:rPr>
          <w:rFonts w:ascii="Arial" w:cs="Arial" w:eastAsia="Arial" w:hAnsi="Arial"/>
          <w:sz w:val="17"/>
          <w:szCs w:val="17"/>
          <w:color w:val="auto"/>
        </w:rPr>
      </w:pPr>
    </w:p>
    <w:p>
      <w:pPr>
        <w:ind w:left="-436" w:right="100" w:firstLine="436"/>
        <w:spacing w:after="0" w:line="282" w:lineRule="auto"/>
        <w:tabs>
          <w:tab w:leader="none" w:pos="274"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Illinois without giving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conflict of law principles.</w:t>
      </w:r>
    </w:p>
    <w:p>
      <w:pPr>
        <w:sectPr>
          <w:pgSz w:w="11900" w:h="16838" w:orient="portrait"/>
          <w:cols w:equalWidth="0" w:num="1">
            <w:col w:w="10564"/>
          </w:cols>
          <w:pgMar w:left="876" w:top="270" w:right="459" w:bottom="1440" w:gutter="0" w:footer="0" w:header="0"/>
        </w:sectPr>
      </w:pPr>
    </w:p>
    <w:bookmarkStart w:id="20" w:name="page21"/>
    <w:bookmarkEnd w:id="20"/>
    <w:p>
      <w:pPr>
        <w:ind w:firstLine="436"/>
        <w:spacing w:after="0" w:line="258"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expressly consent to the exclusive jurisdiction of the state or federal courts of Illinois to resolve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183" w:lineRule="exact"/>
        <w:rPr>
          <w:rFonts w:ascii="Arial" w:cs="Arial" w:eastAsia="Arial" w:hAnsi="Arial"/>
          <w:sz w:val="18"/>
          <w:szCs w:val="18"/>
          <w:color w:val="auto"/>
        </w:rPr>
      </w:pPr>
    </w:p>
    <w:p>
      <w:pPr>
        <w:jc w:val="both"/>
        <w:ind w:firstLine="436"/>
        <w:spacing w:after="0" w:line="261"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&amp;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duplicate counterparts, each of which shall be deemed an original,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179" w:lineRule="exact"/>
        <w:rPr>
          <w:rFonts w:ascii="Arial" w:cs="Arial" w:eastAsia="Arial" w:hAnsi="Arial"/>
          <w:sz w:val="18"/>
          <w:szCs w:val="18"/>
          <w:color w:val="auto"/>
        </w:rPr>
      </w:pPr>
    </w:p>
    <w:p>
      <w:pPr>
        <w:ind w:right="100" w:firstLine="436"/>
        <w:spacing w:after="0" w:line="289" w:lineRule="auto"/>
        <w:tabs>
          <w:tab w:leader="none" w:pos="71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Immunity.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understands that nothing in this Agreement is intended to prohibit Employee from disclosing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ofrepo11ing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166" w:lineRule="exact"/>
        <w:rPr>
          <w:rFonts w:ascii="Arial" w:cs="Arial" w:eastAsia="Arial" w:hAnsi="Arial"/>
          <w:sz w:val="16"/>
          <w:szCs w:val="16"/>
          <w:color w:val="auto"/>
        </w:rPr>
      </w:pPr>
    </w:p>
    <w:p>
      <w:pPr>
        <w:ind w:right="100" w:firstLine="436"/>
        <w:spacing w:after="0" w:line="272"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Return of the Company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At the request of the Company (or, without any request, upon termination of my employment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80" w:firstLine="436"/>
        <w:spacing w:after="0" w:line="272" w:lineRule="auto"/>
        <w:tabs>
          <w:tab w:leader="none" w:pos="710" w:val="left"/>
        </w:tabs>
        <w:numPr>
          <w:ilvl w:val="0"/>
          <w:numId w:val="27"/>
        </w:numPr>
        <w:rPr>
          <w:rFonts w:ascii="Arial" w:cs="Arial" w:eastAsia="Arial" w:hAnsi="Arial"/>
          <w:sz w:val="17"/>
          <w:szCs w:val="17"/>
          <w:color w:val="auto"/>
        </w:rPr>
      </w:pPr>
      <w:r>
        <w:rPr>
          <w:rFonts w:ascii="Arial" w:cs="Arial" w:eastAsia="Arial" w:hAnsi="Arial"/>
          <w:sz w:val="17"/>
          <w:szCs w:val="17"/>
          <w:b w:val="1"/>
          <w:bCs w:val="1"/>
          <w:u w:val="single" w:color="auto"/>
          <w:color w:val="auto"/>
        </w:rPr>
        <w:t>Promotional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authorizes and consents to, during the term of Employee’s employment with the Company, the creation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171" w:lineRule="exact"/>
        <w:rPr>
          <w:rFonts w:ascii="Arial" w:cs="Arial" w:eastAsia="Arial" w:hAnsi="Arial"/>
          <w:sz w:val="17"/>
          <w:szCs w:val="17"/>
          <w:color w:val="auto"/>
        </w:rPr>
      </w:pPr>
    </w:p>
    <w:p>
      <w:pPr>
        <w:ind w:left="700" w:hanging="264"/>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Fair Meaning.</w:t>
      </w:r>
      <w:r>
        <w:rPr>
          <w:rFonts w:ascii="Arial" w:cs="Arial" w:eastAsia="Arial" w:hAnsi="Arial"/>
          <w:sz w:val="16"/>
          <w:szCs w:val="16"/>
          <w:b w:val="1"/>
          <w:bCs w:val="1"/>
          <w:color w:val="auto"/>
        </w:rPr>
        <w:t xml:space="preserve"> </w:t>
      </w:r>
      <w:r>
        <w:rPr>
          <w:rFonts w:ascii="Arial" w:cs="Arial" w:eastAsia="Arial" w:hAnsi="Arial"/>
          <w:sz w:val="16"/>
          <w:szCs w:val="16"/>
          <w:color w:val="auto"/>
        </w:rPr>
        <w:t>The language of this Agreement shall be construed as a whole, according to its fair meaning, and not strictly for or against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w:t>
      </w:r>
    </w:p>
    <w:p>
      <w:pPr>
        <w:sectPr>
          <w:pgSz w:w="11900" w:h="16838" w:orient="portrait"/>
          <w:cols w:equalWidth="0" w:num="1">
            <w:col w:w="11000"/>
          </w:cols>
          <w:pgMar w:left="440" w:top="270" w:right="459" w:bottom="1440" w:gutter="0" w:footer="0" w:header="0"/>
        </w:sectPr>
      </w:pPr>
    </w:p>
    <w:bookmarkStart w:id="21" w:name="page22"/>
    <w:bookmarkEnd w:id="21"/>
    <w:p>
      <w:pPr>
        <w:ind w:left="-100" w:firstLine="436"/>
        <w:spacing w:after="0" w:line="273" w:lineRule="auto"/>
        <w:tabs>
          <w:tab w:leader="none" w:pos="610"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Consideration.</w:t>
      </w:r>
      <w:r>
        <w:rPr>
          <w:rFonts w:ascii="Arial" w:cs="Arial" w:eastAsia="Arial" w:hAnsi="Arial"/>
          <w:sz w:val="17"/>
          <w:szCs w:val="17"/>
          <w:b w:val="1"/>
          <w:bCs w:val="1"/>
          <w:color w:val="auto"/>
        </w:rPr>
        <w:t xml:space="preserve">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By initialing below, Employee specifically acknowledges that Employee has read, understands and agrees to Section 19.</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Employee initials: 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800"/>
          </w:cols>
          <w:pgMar w:left="540" w:top="270" w:right="559" w:bottom="1440" w:gutter="0" w:footer="0" w:header="0"/>
        </w:sectPr>
      </w:pPr>
    </w:p>
    <w:bookmarkStart w:id="22" w:name="page23"/>
    <w:bookmarkEnd w:id="2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executing this Agreement below, the parties confirm they have read, understood, and voluntarily agreed to be bound by the entire Agreement.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REYNOLDS CONSUMER PRODUCTS LLC</w:t>
            </w:r>
          </w:p>
        </w:tc>
        <w:tc>
          <w:tcPr>
            <w:tcW w:w="6120" w:type="dxa"/>
            <w:vAlign w:val="bottom"/>
            <w:gridSpan w:val="2"/>
          </w:tcPr>
          <w:p>
            <w:pPr>
              <w:ind w:left="4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392"/>
        </w:trPr>
        <w:tc>
          <w:tcPr>
            <w:tcW w:w="4900" w:type="dxa"/>
            <w:vAlign w:val="bottom"/>
            <w:gridSpan w:val="3"/>
          </w:tcPr>
          <w:p>
            <w:pPr>
              <w:spacing w:after="0"/>
              <w:rPr>
                <w:sz w:val="20"/>
                <w:szCs w:val="20"/>
                <w:color w:val="auto"/>
              </w:rPr>
            </w:pPr>
            <w:r>
              <w:rPr>
                <w:rFonts w:ascii="Arial" w:cs="Arial" w:eastAsia="Arial" w:hAnsi="Arial"/>
                <w:sz w:val="18"/>
                <w:szCs w:val="18"/>
                <w:color w:val="auto"/>
              </w:rPr>
              <w:t>By: /s/ V. Lance Mitchell               </w:t>
            </w:r>
          </w:p>
        </w:tc>
        <w:tc>
          <w:tcPr>
            <w:tcW w:w="94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 Scott E. Huckins</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3"/>
            <w:vMerge w:val="restart"/>
          </w:tcPr>
          <w:p>
            <w:pPr>
              <w:spacing w:after="0"/>
              <w:rPr>
                <w:sz w:val="20"/>
                <w:szCs w:val="20"/>
                <w:color w:val="auto"/>
              </w:rPr>
            </w:pPr>
            <w:r>
              <w:rPr>
                <w:rFonts w:ascii="Arial" w:cs="Arial" w:eastAsia="Arial" w:hAnsi="Arial"/>
                <w:sz w:val="18"/>
                <w:szCs w:val="18"/>
                <w:color w:val="auto"/>
              </w:rPr>
              <w:t>   V. Lance Mitchell</w:t>
            </w:r>
          </w:p>
        </w:tc>
        <w:tc>
          <w:tcPr>
            <w:tcW w:w="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0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Scott E. Huckins</w:t>
            </w: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8"/>
                <w:szCs w:val="18"/>
                <w:color w:val="auto"/>
              </w:rPr>
              <w:t>   President and CEO</w:t>
            </w:r>
          </w:p>
        </w:tc>
        <w:tc>
          <w:tcPr>
            <w:tcW w:w="9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900" w:type="dxa"/>
            <w:vAlign w:val="bottom"/>
            <w:gridSpan w:val="3"/>
          </w:tcPr>
          <w:p>
            <w:pPr>
              <w:spacing w:after="0"/>
              <w:rPr>
                <w:sz w:val="20"/>
                <w:szCs w:val="20"/>
                <w:color w:val="auto"/>
              </w:rPr>
            </w:pPr>
            <w:r>
              <w:rPr>
                <w:rFonts w:ascii="Arial" w:cs="Arial" w:eastAsia="Arial" w:hAnsi="Arial"/>
                <w:sz w:val="18"/>
                <w:szCs w:val="18"/>
                <w:color w:val="auto"/>
              </w:rPr>
              <w:t>Date: 9/15/2023</w:t>
            </w:r>
          </w:p>
        </w:tc>
        <w:tc>
          <w:tcPr>
            <w:tcW w:w="940" w:type="dxa"/>
            <w:vAlign w:val="bottom"/>
          </w:tcPr>
          <w:p>
            <w:pPr>
              <w:spacing w:after="0"/>
              <w:rPr>
                <w:sz w:val="24"/>
                <w:szCs w:val="24"/>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Date: September 15, 2023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3" w:name="page24"/>
    <w:bookmarkEnd w:id="23"/>
    <w:p>
      <w:pPr>
        <w:jc w:val="center"/>
        <w:ind w:righ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A</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u w:val="single" w:color="auto"/>
          <w:color w:val="auto"/>
        </w:rPr>
        <w:t>RCP Competitors</w:t>
      </w:r>
    </w:p>
    <w:p>
      <w:pPr>
        <w:spacing w:after="0" w:line="256" w:lineRule="exact"/>
        <w:rPr>
          <w:sz w:val="20"/>
          <w:szCs w:val="20"/>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Clorox Company</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 Johnson &amp; Sons, Inc.</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Trinidad Benham Corporation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Dart Container Corporation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Handi-foil Corporation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Durable Packaging, International</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Solo Cup Company</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Novellis</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Georgia Pacific</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Huhtamaki</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Newell/Rubbermaid</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Jarden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Waddington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CuBe</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Poly-America, Inc.</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Inteplast Group, Ltd.</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Waste Zero</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Petoskey</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Multibax</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King Pac Industrial</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Sunkor</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Threestone Packing</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Bagmait Packaging</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Thantawan</w:t>
      </w:r>
    </w:p>
    <w:p>
      <w:pPr>
        <w:sectPr>
          <w:pgSz w:w="11900" w:h="16838" w:orient="portrait"/>
          <w:cols w:equalWidth="0" w:num="1">
            <w:col w:w="9919"/>
          </w:cols>
          <w:pgMar w:left="540" w:top="270" w:right="1440" w:bottom="1440" w:gutter="0" w:footer="0" w:header="0"/>
        </w:sectPr>
      </w:pPr>
    </w:p>
    <w:bookmarkStart w:id="24" w:name="page25"/>
    <w:bookmarkEnd w:id="24"/>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B</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b w:val="1"/>
          <w:bCs w:val="1"/>
          <w:u w:val="single" w:color="auto"/>
          <w:color w:val="auto"/>
        </w:rPr>
        <w:t>List of Confidential or Proprietary Information Belonging to Others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25" w:name="page26"/>
    <w:bookmarkEnd w:id="25"/>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C</w:t>
      </w:r>
    </w:p>
    <w:p>
      <w:pPr>
        <w:spacing w:after="0" w:line="225"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u w:val="single" w:color="auto"/>
          <w:color w:val="auto"/>
        </w:rPr>
        <w:t>List of Prior Inventions or Improvements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70"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171450</wp:posOffset>
            </wp:positionV>
            <wp:extent cx="1774825" cy="891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8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Reynolds Consumer Products Announces the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Scott E. Huckins as Successor to Chief Financial Officer</w:t>
      </w:r>
    </w:p>
    <w:p>
      <w:pPr>
        <w:spacing w:after="0" w:line="207" w:lineRule="exact"/>
        <w:rPr>
          <w:sz w:val="20"/>
          <w:szCs w:val="20"/>
          <w:color w:val="auto"/>
        </w:rPr>
      </w:pPr>
    </w:p>
    <w:p>
      <w:pPr>
        <w:ind w:right="580"/>
        <w:spacing w:after="0" w:line="281" w:lineRule="auto"/>
        <w:rPr>
          <w:sz w:val="20"/>
          <w:szCs w:val="20"/>
          <w:color w:val="auto"/>
        </w:rPr>
      </w:pPr>
      <w:r>
        <w:rPr>
          <w:rFonts w:ascii="Arial" w:cs="Arial" w:eastAsia="Arial" w:hAnsi="Arial"/>
          <w:sz w:val="17"/>
          <w:szCs w:val="17"/>
          <w:b w:val="1"/>
          <w:bCs w:val="1"/>
          <w:color w:val="auto"/>
        </w:rPr>
        <w:t xml:space="preserve">LAKE FOREST, Ill., October 12, 2023 – (BUSINESSWIRE) – </w:t>
      </w:r>
      <w:r>
        <w:rPr>
          <w:rFonts w:ascii="Arial" w:cs="Arial" w:eastAsia="Arial" w:hAnsi="Arial"/>
          <w:sz w:val="17"/>
          <w:szCs w:val="17"/>
          <w:color w:val="auto"/>
        </w:rPr>
        <w:t>Reynolds Consumer Products Inc., (Nasdaq: REYN) today announced the</w:t>
      </w:r>
      <w:r>
        <w:rPr>
          <w:rFonts w:ascii="Arial" w:cs="Arial" w:eastAsia="Arial" w:hAnsi="Arial"/>
          <w:sz w:val="17"/>
          <w:szCs w:val="17"/>
          <w:b w:val="1"/>
          <w:bCs w:val="1"/>
          <w:color w:val="auto"/>
        </w:rPr>
        <w:t xml:space="preserve"> </w:t>
      </w:r>
      <w:r>
        <w:rPr>
          <w:rFonts w:ascii="Arial" w:cs="Arial" w:eastAsia="Arial" w:hAnsi="Arial"/>
          <w:sz w:val="17"/>
          <w:szCs w:val="17"/>
          <w:color w:val="auto"/>
        </w:rPr>
        <w:t>appointment of Scott E. Huckins as the company’s Chief Financial Officer (CFO), effective November 13, 2023. He is the successor to Michael Graham, who will then shift to an advisory role until his retirement in February 2024. To ensure a successful transition, Mr. Huckins will join the company in an advisory role on October 23, then assume the role of CFO on November 13.</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excited for Scott to join us as CFO as we continue to provide products that simplify daily life for consumers. He brings extensive experience in leading Finance at consumer staples and publicly traded companies - most recently as CFO at SunOpta, where he demonstrated his expertise in P&amp;L management. During this time, he also served a dual role as general manager for the turnaround of one of SunOpta’s business units, further exhibiting his strength as a business leader. I look forward to working with Scott, who will lead our financial team as we continue to focus on growth and operational excellence.” said Lance Mitchell, Chief Executive Officer.</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Mr. Mitchell added, “We extend our sincere gratitude to Michael Graham for his leadership over many years. From carefully managing our resources, to developing a strong Finance team, to his role in taking the company public, his contributions have truly made RCP successful. We look forward to a smooth transition and wish Michael all the best in his retirement.”</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Huckins brings extensive experience to the company. He most recently served as the CFO of SunOpta, Inc., since 2019, where he was instrumental in contributing to substantial revenue and earnings growth through significant operational focus and portfolio prioritization. Serving in the additional role of general manager for SunOpta’s fruit business unit, he helped to drive overall success of the business from 2021 to 2022. He also led the 2020 sale of the global ingredients segment, SunOpta’s largest business unit at the time.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Mr. Huckins previously served as CFO of Claire’s Stores, Inc., from 2016 to 2019, which included leading recapitalization and business consolidation initiatives, followed by a change of ownership.</w:t>
      </w:r>
    </w:p>
    <w:p>
      <w:pPr>
        <w:spacing w:after="0" w:line="17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Prior to Claire’s, Mr. Huckins was with Sears Holdings from 2012 to 2016, as vice president - treasurer, and president of Sears Reinsurance Company, Ltd. In his previous role, he served at RSC Holdings, Inc., as vice president of Treasury, Tax, and Investor Relations. He also formerly served as principal at Pioneer Advisors. He had several leadership roles at Koch Industries Inc. and affiliated companies, including president &amp; CEO of Koch Financial Products, LLC, CFO of the Capital Markets Division, treasurer at Koch Industries Inc., and CFO at KoSa B.V.</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Huckins holds a Bachelor of Science in Finance from Arizona State University and earned a Master of Management, with concentrations in Finance and Management Strategy, from Northwestern University, J.L. Kellogg Graduate School of Management.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Huckins added, “I’m excited to be joining Reynolds Consumer Products. Knowing the strength of the brands and products, I’m looking forward to working with the team to drive further growth and additional margin expansion.”</w:t>
      </w:r>
    </w:p>
    <w:p>
      <w:pPr>
        <w:sectPr>
          <w:pgSz w:w="11900" w:h="16838" w:orient="portrait"/>
          <w:cols w:equalWidth="0" w:num="1">
            <w:col w:w="11020"/>
          </w:cols>
          <w:pgMar w:left="440" w:top="121" w:right="439" w:bottom="1440" w:gutter="0" w:footer="0" w:header="0"/>
        </w:sectPr>
      </w:pPr>
    </w:p>
    <w:bookmarkStart w:id="27" w:name="page28"/>
    <w:bookmarkEnd w:id="27"/>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855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9855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Reynolds Consumer Products Inc.</w:t>
      </w:r>
    </w:p>
    <w:p>
      <w:pPr>
        <w:spacing w:after="0" w:line="121"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Reynolds Consumer Products is a leading provider of household products that simplify daily life so consumers can enjoy what matters most. With a presence in 95% of households across the United States, Reynolds Consumer Products manufactures and sells products that people use in their homes across three broad categories: cooking, waste and storage, and disposable tableware. Iconic brands include Reynolds Wrap</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aluminum foil and Hefty</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trash bags, as well as dedicated store brands which are strategically important to retail customers. Overall, Reynolds Consumer Products holds the No. 1 or No. 2 U.S. market share position in the majority of product categories it serves. For more information, visit </w:t>
      </w:r>
      <w:r>
        <w:rPr>
          <w:rFonts w:ascii="Arial" w:cs="Arial" w:eastAsia="Arial" w:hAnsi="Arial"/>
          <w:sz w:val="18"/>
          <w:szCs w:val="18"/>
          <w:u w:val="single" w:color="auto"/>
          <w:color w:val="auto"/>
        </w:rPr>
        <w:t>https://investors.reynoldsconsumerproducts.com/</w:t>
      </w:r>
      <w:r>
        <w:rPr>
          <w:rFonts w:ascii="Arial" w:cs="Arial" w:eastAsia="Arial" w:hAnsi="Arial"/>
          <w:sz w:val="18"/>
          <w:szCs w:val="18"/>
          <w:color w:val="auto"/>
        </w:rPr>
        <w: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press release contains statements reflecting our views about our future performance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 “confident,” “look forward,” “potential” “on track”, or “continue,”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but not limited to the risk factors set forth in our most recent Annual Report on Form 10-K and in our Quarterly Reports on Form 10-Q.</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For additional information on these and other factors that could cause our actual results to materially differ from those set forth herein, please see our filings with the Securities and Exchange Commission, including our most recent Annual Report on Form 10-K and subsequent filings. Investors are cautioned not to place undue reliance on any such forward-looking statements, which speak only as of the date they are made. The Company undertakes no obligation to update any forward-looking statement,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REYN-F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Swartzberg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Mark.Swartzberg@reynoldsbrands.com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 482-4081</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lvl w:ilvl="1">
      <w:lvlJc w:val="left"/>
      <w:lvlText w:val="(%2)"/>
      <w:numFmt w:val="lowerLetter"/>
      <w:start w:val="1"/>
    </w:lvl>
  </w:abstractNum>
  <w:abstractNum w:abstractNumId="6">
    <w:nsid w:val="431BD7B7"/>
    <w:multiLevelType w:val="hybridMultilevel"/>
    <w:lvl w:ilvl="0">
      <w:lvlJc w:val="left"/>
      <w:lvlText w:val="%1"/>
      <w:numFmt w:val="decimal"/>
      <w:start w:val="1"/>
    </w:lvl>
    <w:lvl w:ilvl="1">
      <w:lvlJc w:val="left"/>
      <w:lvlText w:val="(%2)"/>
      <w:numFmt w:val="lowerLetter"/>
      <w:start w:val="6"/>
    </w:lvl>
  </w:abstractNum>
  <w:abstractNum w:abstractNumId="7">
    <w:nsid w:val="3F2DBA31"/>
    <w:multiLevelType w:val="hybridMultilevel"/>
    <w:lvl w:ilvl="0">
      <w:lvlJc w:val="left"/>
      <w:lvlText w:val="%1."/>
      <w:numFmt w:val="decimal"/>
      <w:start w:val="4"/>
    </w:lvl>
    <w:lvl w:ilvl="1">
      <w:lvlJc w:val="left"/>
      <w:lvlText w:val="(%2)"/>
      <w:numFmt w:val="lowerLetter"/>
      <w:start w:val="1"/>
    </w:lvl>
  </w:abstractNum>
  <w:abstractNum w:abstractNumId="8">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
    <w:nsid w:val="257130A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
    <w:nsid w:val="62BBD95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436C6125"/>
    <w:multiLevelType w:val="hybridMultilevel"/>
    <w:lvl w:ilvl="0">
      <w:lvlJc w:val="left"/>
      <w:lvlText w:val="%1"/>
      <w:numFmt w:val="decimal"/>
      <w:start w:val="1"/>
    </w:lvl>
    <w:lvl w:ilvl="1">
      <w:lvlJc w:val="left"/>
      <w:lvlText w:val="(%2)"/>
      <w:numFmt w:val="lowerLetter"/>
      <w:start w:val="2"/>
    </w:lvl>
  </w:abstractNum>
  <w:abstractNum w:abstractNumId="12">
    <w:nsid w:val="628C895D"/>
    <w:multiLevelType w:val="hybridMultilevel"/>
    <w:lvl w:ilvl="0">
      <w:lvlJc w:val="left"/>
      <w:lvlText w:val="%1."/>
      <w:numFmt w:val="decimal"/>
      <w:start w:val="7"/>
    </w:lvl>
    <w:lvl w:ilvl="1">
      <w:lvlJc w:val="left"/>
      <w:lvlText w:val="%2"/>
      <w:numFmt w:val="lowerLetter"/>
      <w:start w:val="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6">
    <w:nsid w:val="2D1D5AE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lvl w:ilvl="3">
      <w:lvlJc w:val="left"/>
      <w:lvlText w:val="(%4)"/>
      <w:numFmt w:val="decimal"/>
      <w:start w:val="1"/>
    </w:lvl>
  </w:abstractNum>
  <w:abstractNum w:abstractNumId="17">
    <w:nsid w:val="6763845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8">
    <w:nsid w:val="75A2A8D4"/>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19">
    <w:nsid w:val="8EDBDAB"/>
    <w:multiLevelType w:val="hybridMultilevel"/>
    <w:lvl w:ilvl="0">
      <w:lvlJc w:val="left"/>
      <w:lvlText w:val="%1"/>
      <w:numFmt w:val="decimal"/>
      <w:start w:val="1"/>
    </w:lvl>
    <w:lvl w:ilvl="1">
      <w:lvlJc w:val="left"/>
      <w:lvlText w:val="(%2)"/>
      <w:numFmt w:val="lowerLetter"/>
      <w:start w:val="2"/>
    </w:lvl>
  </w:abstractNum>
  <w:abstractNum w:abstractNumId="20">
    <w:nsid w:val="79838CB2"/>
    <w:multiLevelType w:val="hybridMultilevel"/>
    <w:lvl w:ilvl="0">
      <w:lvlJc w:val="left"/>
      <w:lvlText w:val="%1."/>
      <w:numFmt w:val="decimal"/>
      <w:start w:val="4"/>
    </w:lvl>
    <w:lvl w:ilvl="1">
      <w:lvlJc w:val="left"/>
      <w:lvlText w:val="(%2)"/>
      <w:numFmt w:val="lowerLetter"/>
      <w:start w:val="1"/>
    </w:lvl>
  </w:abstractNum>
  <w:abstractNum w:abstractNumId="21">
    <w:nsid w:val="4353D0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
    <w:nsid w:val="B03E0C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189A769B"/>
    <w:multiLevelType w:val="hybridMultilevel"/>
    <w:lvl w:ilvl="0">
      <w:lvlJc w:val="left"/>
      <w:lvlText w:val="%1"/>
      <w:numFmt w:val="lowerLetter"/>
      <w:start w:val="1"/>
    </w:lvl>
    <w:lvl w:ilvl="1">
      <w:lvlJc w:val="left"/>
      <w:lvlText w:val="(%2)"/>
      <w:numFmt w:val="lowerRoman"/>
      <w:start w:val="4"/>
    </w:lvl>
  </w:abstractNum>
  <w:abstractNum w:abstractNumId="24">
    <w:nsid w:val="54E49EB4"/>
    <w:multiLevelType w:val="hybridMultilevel"/>
    <w:lvl w:ilvl="0">
      <w:lvlJc w:val="left"/>
      <w:lvlText w:val="(%1)"/>
      <w:numFmt w:val="lowerLetter"/>
      <w:start w:val="6"/>
    </w:lvl>
    <w:lvl w:ilvl="1">
      <w:lvlJc w:val="left"/>
      <w:lvlText w:val="%2"/>
      <w:numFmt w:val="lowerRoman"/>
      <w:start w:val="1"/>
    </w:lvl>
  </w:abstractNum>
  <w:abstractNum w:abstractNumId="25">
    <w:nsid w:val="71F32454"/>
    <w:multiLevelType w:val="hybridMultilevel"/>
    <w:lvl w:ilvl="0">
      <w:lvlJc w:val="left"/>
      <w:lvlText w:val="%1."/>
      <w:numFmt w:val="decimal"/>
      <w:start w:val="6"/>
    </w:lvl>
    <w:lvl w:ilvl="1">
      <w:lvlJc w:val="left"/>
      <w:lvlText w:val="(%2)"/>
      <w:numFmt w:val="lowerLetter"/>
      <w:start w:val="1"/>
    </w:lvl>
  </w:abstractNum>
  <w:abstractNum w:abstractNumId="26">
    <w:nsid w:val="2CA88611"/>
    <w:multiLevelType w:val="hybridMultilevel"/>
    <w:lvl w:ilvl="0">
      <w:lvlJc w:val="left"/>
      <w:lvlText w:val="%1."/>
      <w:numFmt w:val="decimal"/>
      <w:start w:val="13"/>
    </w:lvl>
  </w:abstractNum>
  <w:abstractNum w:abstractNumId="27">
    <w:nsid w:val="836C40E"/>
    <w:multiLevelType w:val="hybridMultilevel"/>
    <w:lvl w:ilvl="0">
      <w:lvlJc w:val="left"/>
      <w:lvlText w:val="%1."/>
      <w:numFmt w:val="decimal"/>
      <w:start w:val="19"/>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2023-10-12T15:11:55Z</dcterms:created>
  <dcterms:modified xsi:type="dcterms:W3CDTF">2023-10-12T15:11:55Z</dcterms:modified>
</cp:coreProperties>
</file>