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23, 2022</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34290</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40005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REYNOLDS CONSUMER PRODUCTS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40" w:type="dxa"/>
        <w:tblCellMar>
          <w:top w:w="0" w:type="dxa"/>
          <w:left w:w="0" w:type="dxa"/>
          <w:bottom w:w="0" w:type="dxa"/>
          <w:right w:w="0" w:type="dxa"/>
        </w:tblCellMar>
      </w:tblPr>
      <w:tr>
        <w:trPr>
          <w:trHeight w:val="216"/>
        </w:trPr>
        <w:tc>
          <w:tcPr>
            <w:tcW w:w="31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40" w:type="dxa"/>
            <w:vAlign w:val="bottom"/>
          </w:tcPr>
          <w:p>
            <w:pPr>
              <w:spacing w:after="0"/>
              <w:rPr>
                <w:sz w:val="18"/>
                <w:szCs w:val="18"/>
                <w:color w:val="auto"/>
              </w:rPr>
            </w:pPr>
          </w:p>
        </w:tc>
        <w:tc>
          <w:tcPr>
            <w:tcW w:w="228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45-3464426</w:t>
            </w:r>
          </w:p>
        </w:tc>
      </w:tr>
      <w:tr>
        <w:trPr>
          <w:trHeight w:val="216"/>
        </w:trPr>
        <w:tc>
          <w:tcPr>
            <w:tcW w:w="31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1900 W. Field Court</w:t>
            </w:r>
          </w:p>
        </w:tc>
        <w:tc>
          <w:tcPr>
            <w:tcW w:w="228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16"/>
        </w:trPr>
        <w:tc>
          <w:tcPr>
            <w:tcW w:w="31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Lake Forest, Illinois 60045</w:t>
            </w:r>
          </w:p>
        </w:tc>
        <w:tc>
          <w:tcPr>
            <w:tcW w:w="228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238"/>
        </w:trPr>
        <w:tc>
          <w:tcPr>
            <w:tcW w:w="3120" w:type="dxa"/>
            <w:vAlign w:val="bottom"/>
          </w:tcPr>
          <w:p>
            <w:pPr>
              <w:spacing w:after="0"/>
              <w:rPr>
                <w:sz w:val="20"/>
                <w:szCs w:val="20"/>
                <w:color w:val="auto"/>
              </w:rPr>
            </w:pPr>
          </w:p>
        </w:tc>
        <w:tc>
          <w:tcPr>
            <w:tcW w:w="3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Telephone: (800) 879-5067</w:t>
            </w:r>
          </w:p>
        </w:tc>
        <w:tc>
          <w:tcPr>
            <w:tcW w:w="228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40005</wp:posOffset>
            </wp:positionV>
            <wp:extent cx="1062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David Watson,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1900 W. Field Court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Lake Forest, Illinois 60045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(800) 879-5067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40005</wp:posOffset>
            </wp:positionV>
            <wp:extent cx="1062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Byron B. Rooney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Davis Polk &amp; Wardwell</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450-4000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40005</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1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w:t>
      </w:r>
    </w:p>
    <w:p>
      <w:pPr>
        <w:spacing w:after="0" w:line="229" w:lineRule="exact"/>
        <w:rPr>
          <w:sz w:val="24"/>
          <w:szCs w:val="24"/>
          <w:color w:val="auto"/>
        </w:rPr>
      </w:pPr>
    </w:p>
    <w:p>
      <w:pPr>
        <w:ind w:right="30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20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30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2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3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84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86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ADDITIONAL REGISTRANT GUARANTORS OF DEBT SECURITIES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w:t>
            </w: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w:t>
            </w:r>
          </w:p>
        </w:tc>
        <w:tc>
          <w:tcPr>
            <w:tcW w:w="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6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or</w:t>
            </w:r>
          </w:p>
        </w:tc>
        <w:tc>
          <w:tcPr>
            <w:tcW w:w="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6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Registrant Guarantor's</w:t>
            </w:r>
          </w:p>
        </w:tc>
      </w:t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Exact Name of Registrant Guarantor</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organization</w:t>
            </w:r>
          </w:p>
        </w:tc>
        <w:tc>
          <w:tcPr>
            <w:tcW w:w="6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Pr>
          <w:p>
            <w:pPr>
              <w:spacing w:after="0"/>
              <w:rPr>
                <w:sz w:val="20"/>
                <w:szCs w:val="20"/>
                <w:color w:val="auto"/>
              </w:rPr>
            </w:pPr>
          </w:p>
        </w:tc>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Offices</w:t>
            </w:r>
          </w:p>
        </w:tc>
      </w:tr>
      <w:tr>
        <w:trPr>
          <w:trHeight w:val="191"/>
        </w:trPr>
        <w:tc>
          <w:tcPr>
            <w:tcW w:w="3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Reynolds Presto Products Inc.</w:t>
            </w:r>
          </w:p>
        </w:tc>
        <w:tc>
          <w:tcPr>
            <w:tcW w:w="1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Delaware</w:t>
            </w:r>
          </w:p>
        </w:tc>
        <w:tc>
          <w:tcPr>
            <w:tcW w:w="60" w:type="dxa"/>
            <w:vAlign w:val="bottom"/>
          </w:tcPr>
          <w:p>
            <w:pPr>
              <w:spacing w:after="0"/>
              <w:rPr>
                <w:sz w:val="16"/>
                <w:szCs w:val="16"/>
                <w:color w:val="auto"/>
              </w:rPr>
            </w:pPr>
          </w:p>
        </w:tc>
        <w:tc>
          <w:tcPr>
            <w:tcW w:w="1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76-0170620</w:t>
            </w:r>
          </w:p>
        </w:tc>
        <w:tc>
          <w:tcPr>
            <w:tcW w:w="60" w:type="dxa"/>
            <w:vAlign w:val="bottom"/>
          </w:tcPr>
          <w:p>
            <w:pPr>
              <w:spacing w:after="0"/>
              <w:rPr>
                <w:sz w:val="16"/>
                <w:szCs w:val="16"/>
                <w:color w:val="auto"/>
              </w:rPr>
            </w:pPr>
          </w:p>
        </w:tc>
        <w:tc>
          <w:tcPr>
            <w:tcW w:w="4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1900 W. Field Court, Lake Forest IL 60045, United States</w:t>
            </w:r>
          </w:p>
        </w:tc>
      </w:tr>
      <w:tr>
        <w:trPr>
          <w:trHeight w:val="216"/>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 Western Polymers, Inc.</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94-2906693</w:t>
            </w:r>
          </w:p>
        </w:tc>
        <w:tc>
          <w:tcPr>
            <w:tcW w:w="6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1900 W. Field Court, Lake Forest IL 60045, United States</w:t>
            </w:r>
          </w:p>
        </w:tc>
      </w:tr>
      <w:tr>
        <w:trPr>
          <w:trHeight w:val="216"/>
        </w:trPr>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Reynolds Consumer Products Holdings LLC</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77-0710450</w:t>
            </w:r>
          </w:p>
        </w:tc>
        <w:tc>
          <w:tcPr>
            <w:tcW w:w="6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1900 W. Field Court, Lake Forest IL 60045, United States</w:t>
            </w:r>
          </w:p>
        </w:tc>
      </w:tr>
      <w:tr>
        <w:trPr>
          <w:trHeight w:val="216"/>
        </w:trPr>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Reynolds Consumer Products LLC</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77-0710443</w:t>
            </w:r>
          </w:p>
        </w:tc>
        <w:tc>
          <w:tcPr>
            <w:tcW w:w="6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1900 W. Field Court, Lake Forest IL 60045, United States</w:t>
            </w:r>
          </w:p>
        </w:tc>
      </w:tr>
      <w:tr>
        <w:trPr>
          <w:trHeight w:val="216"/>
        </w:trPr>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Reynolds Manufacturing, Inc.</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45-3412370</w:t>
            </w:r>
          </w:p>
        </w:tc>
        <w:tc>
          <w:tcPr>
            <w:tcW w:w="6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1900 W. Field Court, Lake Forest IL 60045, United States</w:t>
            </w:r>
          </w:p>
        </w:tc>
      </w:tr>
      <w:tr>
        <w:trPr>
          <w:trHeight w:val="234"/>
        </w:trPr>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Reynolds International Services LLC</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61-1927361</w:t>
            </w:r>
          </w:p>
        </w:tc>
        <w:tc>
          <w:tcPr>
            <w:tcW w:w="60" w:type="dxa"/>
            <w:vAlign w:val="bottom"/>
          </w:tcPr>
          <w:p>
            <w:pPr>
              <w:spacing w:after="0"/>
              <w:rPr>
                <w:sz w:val="20"/>
                <w:szCs w:val="20"/>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1900 W. Field Court, Lake Forest IL 60045, United States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Debt securities may be issued and/or guaranteed by one or more of the entities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Guarantees of Debt Securities</w:t>
      </w: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247015</wp:posOffset>
            </wp:positionV>
            <wp:extent cx="1062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We may, from time to time, offer to sell these securities in one or more offerings. This prospectus describes some of the general terms and conditions that may apply to these securities. We will provide the specific terms and conditions of these securities in prospectus supplements to this prospectus. You should read this prospectus and the applicable prospectus supplement carefully before you invest.</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on a continuous or delayed basis.</w:t>
      </w:r>
    </w:p>
    <w:p>
      <w:pPr>
        <w:spacing w:after="0" w:line="16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debt securities may be issued and/or guaranteed by one or more of Reynolds Consumer Products Inc., Reynolds Presto Products Inc., Trans Western Polymers, Inc., Reynolds Consumer Products Holdings LLC, Reynolds Consumer Products LLC, Reynolds International Services LLC and Reynolds Manufacturing, Inc. See “Description of Debt Securities and Guarantees—Guarantees.” Whether the debt securities will be guaranteed, and the terms thereof, will be disclosed in a prospectus supplement.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Stock Market LLC under the symbol “REYN.”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188595</wp:posOffset>
            </wp:positionV>
            <wp:extent cx="1062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50" w:lineRule="exact"/>
        <w:rPr>
          <w:sz w:val="20"/>
          <w:szCs w:val="20"/>
          <w:color w:val="auto"/>
        </w:rPr>
      </w:pPr>
    </w:p>
    <w:p>
      <w:pPr>
        <w:ind w:right="40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You should carefully read and consider the risk factors included in our periodic reports, in any prospectus supplement relating to any specific offering of securities and in other documents that we file with the Securities and Exchange Commission.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on page 2 of this prospectus.</w:t>
      </w:r>
    </w:p>
    <w:p>
      <w:pPr>
        <w:spacing w:after="0" w:line="171"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prospectus is dated May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3" w:name="page4"/>
    <w:bookmarkEnd w:id="3"/>
    <w:p>
      <w:pPr>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any information other than that contained or incorporated by reference in this prospectus or in any related prospectus supplement or free writing prospectus prepared by or on behalf of us or to which we have referred you. We take no responsibility for, and can provide no assurance as to the reliability of, any other information that others may give you. You should not assume that the information contained in or incorporated by reference in this prospectus and any related prospectus supplement or in any free writing prospectus is accurate as of any date other than the respective dates of such document. Our business, financial condition, results of operations and prospects may have changed since those dates.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We are not making an offer to sell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40" w:type="dxa"/>
            <w:vAlign w:val="bottom"/>
            <w:gridSpan w:val="7"/>
          </w:tcPr>
          <w:p>
            <w:pPr>
              <w:jc w:val="right"/>
              <w:ind w:right="4587"/>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47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78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40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0000EE"/>
              </w:rPr>
              <w:t>ii</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1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71"/>
              </w:rPr>
              <w:t>ii</w:t>
            </w:r>
          </w:p>
        </w:tc>
        <w:tc>
          <w:tcPr>
            <w:tcW w:w="0" w:type="dxa"/>
            <w:vAlign w:val="bottom"/>
          </w:tcPr>
          <w:p>
            <w:pPr>
              <w:spacing w:after="0"/>
              <w:rPr>
                <w:sz w:val="1"/>
                <w:szCs w:val="1"/>
                <w:color w:val="auto"/>
              </w:rPr>
            </w:pPr>
          </w:p>
        </w:tc>
      </w:tr>
      <w:tr>
        <w:trPr>
          <w:trHeight w:val="196"/>
        </w:trPr>
        <w:tc>
          <w:tcPr>
            <w:tcW w:w="4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ii</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5"/>
              </w:rPr>
              <w:t>iv</w:t>
            </w: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Our Company</w:t>
            </w:r>
          </w:p>
        </w:tc>
        <w:tc>
          <w:tcPr>
            <w:tcW w:w="1080" w:type="dxa"/>
            <w:vAlign w:val="bottom"/>
            <w:tcBorders>
              <w:top w:val="single" w:sz="8" w:color="0000EE"/>
            </w:tcBorders>
            <w:gridSpan w:val="9"/>
          </w:tcPr>
          <w:p>
            <w:pPr>
              <w:spacing w:after="0"/>
              <w:rPr>
                <w:sz w:val="17"/>
                <w:szCs w:val="17"/>
                <w:color w:val="auto"/>
              </w:rPr>
            </w:pPr>
          </w:p>
        </w:tc>
        <w:tc>
          <w:tcPr>
            <w:tcW w:w="1880" w:type="dxa"/>
            <w:vAlign w:val="bottom"/>
            <w:gridSpan w:val="5"/>
          </w:tcPr>
          <w:p>
            <w:pPr>
              <w:spacing w:after="0"/>
              <w:rPr>
                <w:sz w:val="17"/>
                <w:szCs w:val="17"/>
                <w:color w:val="auto"/>
              </w:rPr>
            </w:pPr>
          </w:p>
        </w:tc>
        <w:tc>
          <w:tcPr>
            <w:tcW w:w="7100" w:type="dxa"/>
            <w:vAlign w:val="bottom"/>
            <w:gridSpan w:val="5"/>
          </w:tcPr>
          <w:p>
            <w:pPr>
              <w:spacing w:after="0"/>
              <w:rPr>
                <w:sz w:val="17"/>
                <w:szCs w:val="17"/>
                <w:color w:val="auto"/>
              </w:rPr>
            </w:pPr>
          </w:p>
        </w:tc>
        <w:tc>
          <w:tcPr>
            <w:tcW w:w="14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120" w:type="dxa"/>
            <w:vAlign w:val="bottom"/>
          </w:tcPr>
          <w:p>
            <w:pPr>
              <w:spacing w:after="0"/>
              <w:rPr>
                <w:sz w:val="17"/>
                <w:szCs w:val="17"/>
                <w:color w:val="auto"/>
              </w:rPr>
            </w:pPr>
          </w:p>
        </w:tc>
        <w:tc>
          <w:tcPr>
            <w:tcW w:w="2960" w:type="dxa"/>
            <w:vAlign w:val="bottom"/>
            <w:gridSpan w:val="14"/>
          </w:tcPr>
          <w:p>
            <w:pPr>
              <w:spacing w:after="0"/>
              <w:rPr>
                <w:sz w:val="17"/>
                <w:szCs w:val="17"/>
                <w:color w:val="auto"/>
              </w:rPr>
            </w:pPr>
          </w:p>
        </w:tc>
        <w:tc>
          <w:tcPr>
            <w:tcW w:w="7240" w:type="dxa"/>
            <w:vAlign w:val="bottom"/>
            <w:gridSpan w:val="7"/>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2820" w:type="dxa"/>
            <w:vAlign w:val="bottom"/>
            <w:gridSpan w:val="13"/>
          </w:tcPr>
          <w:p>
            <w:pPr>
              <w:spacing w:after="0"/>
              <w:rPr>
                <w:sz w:val="17"/>
                <w:szCs w:val="17"/>
                <w:color w:val="auto"/>
              </w:rPr>
            </w:pPr>
          </w:p>
        </w:tc>
        <w:tc>
          <w:tcPr>
            <w:tcW w:w="7240" w:type="dxa"/>
            <w:vAlign w:val="bottom"/>
            <w:gridSpan w:val="7"/>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640" w:type="dxa"/>
            <w:vAlign w:val="bottom"/>
          </w:tcPr>
          <w:p>
            <w:pPr>
              <w:spacing w:after="0"/>
              <w:rPr>
                <w:sz w:val="17"/>
                <w:szCs w:val="17"/>
                <w:color w:val="auto"/>
              </w:rPr>
            </w:pPr>
          </w:p>
        </w:tc>
        <w:tc>
          <w:tcPr>
            <w:tcW w:w="7240" w:type="dxa"/>
            <w:vAlign w:val="bottom"/>
            <w:gridSpan w:val="7"/>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tcPr>
          <w:p>
            <w:pPr>
              <w:spacing w:after="0"/>
              <w:rPr>
                <w:sz w:val="17"/>
                <w:szCs w:val="17"/>
                <w:color w:val="auto"/>
              </w:rPr>
            </w:pPr>
          </w:p>
        </w:tc>
        <w:tc>
          <w:tcPr>
            <w:tcW w:w="7240" w:type="dxa"/>
            <w:vAlign w:val="bottom"/>
            <w:gridSpan w:val="7"/>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7240" w:type="dxa"/>
            <w:vAlign w:val="bottom"/>
            <w:gridSpan w:val="7"/>
          </w:tcPr>
          <w:p>
            <w:pPr>
              <w:jc w:val="right"/>
              <w:spacing w:after="0" w:line="196" w:lineRule="exact"/>
              <w:rPr>
                <w:sz w:val="20"/>
                <w:szCs w:val="20"/>
                <w:color w:val="auto"/>
              </w:rPr>
            </w:pPr>
            <w:r>
              <w:rPr>
                <w:rFonts w:ascii="Times New Roman" w:cs="Times New Roman" w:eastAsia="Times New Roman" w:hAnsi="Times New Roman"/>
                <w:sz w:val="18"/>
                <w:szCs w:val="18"/>
                <w:color w:val="0000EE"/>
              </w:rPr>
              <w:t>15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Purchase Contracts</w:t>
            </w:r>
          </w:p>
        </w:tc>
        <w:tc>
          <w:tcPr>
            <w:tcW w:w="1520" w:type="dxa"/>
            <w:vAlign w:val="bottom"/>
            <w:gridSpan w:val="3"/>
          </w:tcPr>
          <w:p>
            <w:pPr>
              <w:spacing w:after="0"/>
              <w:rPr>
                <w:sz w:val="17"/>
                <w:szCs w:val="17"/>
                <w:color w:val="auto"/>
              </w:rPr>
            </w:pPr>
          </w:p>
        </w:tc>
        <w:tc>
          <w:tcPr>
            <w:tcW w:w="7060" w:type="dxa"/>
            <w:vAlign w:val="bottom"/>
            <w:gridSpan w:val="4"/>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18</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Units</w:t>
            </w:r>
          </w:p>
        </w:tc>
        <w:tc>
          <w:tcPr>
            <w:tcW w:w="2520" w:type="dxa"/>
            <w:vAlign w:val="bottom"/>
            <w:gridSpan w:val="11"/>
          </w:tcPr>
          <w:p>
            <w:pPr>
              <w:spacing w:after="0"/>
              <w:rPr>
                <w:sz w:val="17"/>
                <w:szCs w:val="17"/>
                <w:color w:val="auto"/>
              </w:rPr>
            </w:pPr>
          </w:p>
        </w:tc>
        <w:tc>
          <w:tcPr>
            <w:tcW w:w="7060" w:type="dxa"/>
            <w:vAlign w:val="bottom"/>
            <w:gridSpan w:val="4"/>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19</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2260" w:type="dxa"/>
            <w:vAlign w:val="bottom"/>
            <w:gridSpan w:val="9"/>
          </w:tcPr>
          <w:p>
            <w:pPr>
              <w:spacing w:after="0"/>
              <w:rPr>
                <w:sz w:val="17"/>
                <w:szCs w:val="17"/>
                <w:color w:val="auto"/>
              </w:rPr>
            </w:pPr>
          </w:p>
        </w:tc>
        <w:tc>
          <w:tcPr>
            <w:tcW w:w="7060" w:type="dxa"/>
            <w:vAlign w:val="bottom"/>
            <w:gridSpan w:val="4"/>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20</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560" w:type="dxa"/>
            <w:vAlign w:val="bottom"/>
            <w:gridSpan w:val="12"/>
          </w:tcPr>
          <w:p>
            <w:pPr>
              <w:spacing w:after="0"/>
              <w:rPr>
                <w:sz w:val="17"/>
                <w:szCs w:val="17"/>
                <w:color w:val="auto"/>
              </w:rPr>
            </w:pPr>
          </w:p>
        </w:tc>
        <w:tc>
          <w:tcPr>
            <w:tcW w:w="7060" w:type="dxa"/>
            <w:vAlign w:val="bottom"/>
            <w:gridSpan w:val="4"/>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21</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Validity of the Securities</w:t>
            </w:r>
          </w:p>
        </w:tc>
        <w:tc>
          <w:tcPr>
            <w:tcW w:w="2200" w:type="dxa"/>
            <w:vAlign w:val="bottom"/>
            <w:gridSpan w:val="8"/>
          </w:tcPr>
          <w:p>
            <w:pPr>
              <w:spacing w:after="0"/>
              <w:rPr>
                <w:sz w:val="17"/>
                <w:szCs w:val="17"/>
                <w:color w:val="auto"/>
              </w:rPr>
            </w:pPr>
          </w:p>
        </w:tc>
        <w:tc>
          <w:tcPr>
            <w:tcW w:w="7060" w:type="dxa"/>
            <w:vAlign w:val="bottom"/>
            <w:gridSpan w:val="4"/>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23</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Experts</w:t>
            </w:r>
          </w:p>
        </w:tc>
        <w:tc>
          <w:tcPr>
            <w:tcW w:w="3440" w:type="dxa"/>
            <w:vAlign w:val="bottom"/>
            <w:gridSpan w:val="16"/>
          </w:tcPr>
          <w:p>
            <w:pPr>
              <w:spacing w:after="0"/>
              <w:rPr>
                <w:sz w:val="17"/>
                <w:szCs w:val="17"/>
                <w:color w:val="auto"/>
              </w:rPr>
            </w:pPr>
          </w:p>
        </w:tc>
        <w:tc>
          <w:tcPr>
            <w:tcW w:w="7060" w:type="dxa"/>
            <w:vAlign w:val="bottom"/>
            <w:gridSpan w:val="4"/>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under the Securities Act of 1933, as amended, or the Securities Act, utilizing a “shelf” registration process. Under this shelf registration process, we may, from time to time, sell in one or more offerings any combination of our securities described in this prospectus.</w:t>
      </w:r>
    </w:p>
    <w:p>
      <w:pPr>
        <w:spacing w:after="0" w:line="176"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we may offer. Each time we sell securities, we will provide a prospectus supplement that will contain specific information about the terms of that offering, including the specific amounts, prices and terms of the securities offered. The prospectus supplement may also add, update or change information contained in this prospectus.</w:t>
      </w:r>
    </w:p>
    <w:p>
      <w:pPr>
        <w:spacing w:after="0" w:line="176"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You should carefully read both this prospectus and any prospectus supplement together with additional information described below under the heading “Where You Can Find More Information.”</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this prospectus, unless otherwise indicated or the context otherwise requires, references to “Reynolds Consumer Products,” “RCP,” the “Company,” “we,” “us” and “our” refer to Reynolds Consumer Products Inc. which (i) prior to the Corporate Reorganization on February 4, 2020, as defined in our Registration Statement on Form S-1 (File No. 333-234731), as amended and as filed with the U.S. Securities and Exchange Commission (the “SEC”), refers to the Reynolds Consumer Group business consisting of the combination of Reynolds Consumer Products Inc. and the operations, assets and liabilities comprising Pactiv Evergreen Inc.’s (“PEI”) Reynolds Consumer Products segment as reflected in the consolidated financial statements incorporated by reference from our Annual Report on Form 10-K (the “Form 10-K”) into this prospectus; and (ii) after the Corporate Reorganization, refers to Reynolds Consumer Products Inc. and its consolidated subsidiaries.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that contains reports, proxy and information statements, and other information regarding issuers, including us, that file electronically with the SEC. The public can obtain any documents that we file electronically with the SEC at http://www.sec.gov. Our common stock is traded on the Nasdaq Stock Market LLC under the symbol “REYN.”</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also make available, free of charge, on or through our website (www.reynoldsconsumerproducts.com) our Annual Reports on Form 10-K, Quarterly Reports on Form 10-Q, Current Reports on Form 8-K, Proxy Statements on Schedule 14A and, if applicable, amendments to those reports filed or furnished pursuant to Section 13(a) of the Securities Exchange Act of 1934, as amended, or the Exchange Act, as soon as reasonably practicable after we electronically file such material with, or furnish it to, the SEC. Please note, however, that we have not incorporated any other information by reference from our website, other than the documents listed below under the heading “Incorporation by Reference.” In addition, you may request copies of these filings at no cost by writing to us at the following address: Reynolds Consumer Products Inc., 1900 W. Field Court, Lake Forest, Illinois 60045, or by telephoning us at (800) 879-5067.</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relating to the securities covered by this prospectus. This prospectus is a part of the registration statement and does not contain all the information in the registration statement. Whenever a reference is made in this prospectus to a contract or other document of ours, the reference is only a summary and you should refer to the exhibits that are a part of the registration statement for a copy of the contract or other document. You may review a copy of the registration statement and the documents incorporated by reference herein through the SEC’s website listed above.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This means that we can disclose important information to you by referring you to another document. Any information referred to in this way is considered part of this prospectus from the date we file that document. Any reports filed by us with the SEC after the date of this prospectus and before the date that the offering of the securities by means of this prospectus is terminated will automatically update and, where applicable, supersede any information contained in this prospectus or incorporated by reference in this prospectus.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incorporate by reference in this prospectus the documents set forth below; provided, however, that we are not incorporating any documents or information deemed to have been furnished rather than filed in accordance with SEC rules:</w:t>
      </w:r>
    </w:p>
    <w:p>
      <w:pPr>
        <w:spacing w:after="0" w:line="16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2021 filed with the SEC on February 9,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March 31, 2022, filed with the SEC on May 10, 2022;</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Definitive Proxy Statement on Schedule 14A filed with the SEC on March 15, 2022 (solely to the extent incorporated by reference into our Annual Report on Form 10-K);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on April 28, 2022;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filings we make with the SEC under Sections 13(a), 13(c), 14 or 15(d) of the Exchange Act (other than those “furnished” pursuant to Item</w:t>
      </w:r>
    </w:p>
    <w:p>
      <w:pPr>
        <w:spacing w:after="0" w:line="27"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 or Item 7.01 in any Current Report on Form 8-K or other information deemed to have been “furnished” rather than filed in accordance with the SEC’s rules) on or after the date of this prospectus and before the termination of any offerings pursuant to this prospectus.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obtain copies of these filings, see “Where You Can Find More Information.”</w:t>
      </w:r>
    </w:p>
    <w:p>
      <w:pPr>
        <w:spacing w:after="0" w:line="3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223"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This prospectus, any prospectus supplement and the documents incorporated by reference herein contain forward-looking statements pursuant to the safe harbor provisions of the Private Securities Litigation Reform Act of 1995. All statements other than statements of historical facts may be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anticipated trends in our business and anticipated growth in the markets served by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related to:</w:t>
      </w:r>
    </w:p>
    <w:p>
      <w:pPr>
        <w:spacing w:after="0" w:line="188"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lifestyle and environmental concerns;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our major customers, consolidation of our customer bases and loss of a significant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disruption at, any of our key manufacturing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of raw materials and any interruption in our supply of raw materials;</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an accident, labor issues, weather conditions, natural disaster, the emergence of a pandemic or disease outbreak, such as coronavirus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unknown duration and economic, operational and financial impacts of the global COVID-19 pandemic;</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energy, labor and freight, including the impact of tariffs, trade sanctions and similar matters affecting our importation of certain raw materials;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increased labor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brands that are critical to our success;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our target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meeting our sales growth objectives and innovation goals;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or a phase-out or replacement of the LIBO rate as an interest rate benchmark.</w:t>
      </w:r>
    </w:p>
    <w:p>
      <w:pPr>
        <w:spacing w:after="0" w:line="22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 detailed discussion of these and other risks and uncertainties that could cause actual results and events to differ materially from such forward-looking statements is included in Part I, Item 1A of our Annual Report on Form 10-K and our Quarterly Reports on Form 10-Q in the section entitled “Risk Factors,” and as may be included from time to time in our reports filed with the SEC. We caution you that the important factors referenced above may not contain all of the factors that are important to you. For the reasons described above, we caution you against relying on any forward-looking statements.</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mission is to simplify daily life so consumers can enjoy what matters most.</w:t>
      </w:r>
    </w:p>
    <w:p>
      <w:pPr>
        <w:spacing w:after="0" w:line="22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96% of households across the United States. We produce and sell products across three broad categories: cooking products, waste and storage products and tableware. We sell our products under iconic brands such as Reynolds and Hefty, and also under store brands that are strategically important to our customers. Overall, across both our branded and store brand offerings, we hold the #1 or #2 U.S. market share position in the majority of product categories in which we participate. We have developed our market-leading position by investing in our product categories and consistently developing innovative products that meet the evolving needs and preferences of the modern consumer.</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with our customers’ goals and positions us as a trusted strategic partner to our retailers. Our Reynolds and Hefty brands have preeminent positions in their categories and carry strong brand recognition in household aisles.</w:t>
      </w:r>
    </w:p>
    <w:p>
      <w:pPr>
        <w:spacing w:after="0" w:line="176"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Our products are typically used in the homes of consumers of all demographics on a daily basis and meet the convenience-oriented preferences of today’s consumer across a broad range of household activities. We help make daily life easier by assisting with preparation, cooking, mealtime and clean-up and by providing convenient storage and indoor/outdoor disposal solutions. Our diverse product portfolio includes aluminum foil, wraps, disposable bakeware, trash bags, food storage bags and disposable tableware. Our products are known for their quality, which is recognized by our consumers and retail partners alike. Our consumers know they can rely on our trusted brands. These factors generate loyalty which empowers us to develop and launch new products that expand usage occasions and transition our portfolio into adjacent categories.</w:t>
      </w:r>
    </w:p>
    <w:p>
      <w:pPr>
        <w:spacing w:after="0" w:line="18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are a corporation incorporated under the laws of the State of Delaware. Our principal executive offices are located at 1900 W. Field Court, Lake Forest, Illinois, 60045 and telephone number is (800) 879-5067.</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risks. Before making a decision to invest in our securities, in addition to the other information contained in this prospectus and any prospectus supplement, you should carefully consider the risks described under “Risk Factors” in Part I, Item 1A of our Annual Report on Form 10-K and Part II, Item 1A of each subsequently filed Quarterly Report on Form 10-Q and in the other documents incorporated by reference into this prospectus, as well as the other information contained or incorporated by reference in this prospectus and in any accompanying prospectus supplement. See “Where You Can Find More Information” and “Incorporation by Reference.”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the applicable prospectus supplement, we intend to use the net proceeds from sales of the securities for general corporate purposes, including, but not limited to, capital expenditures, working capital, repayment or reduction of indebtedness and the financing of business acquisitions. We may temporarily invest funds that are not immediately needed for these purposes in marketable securities, including short term investments.</w:t>
      </w:r>
    </w:p>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223"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summarized below general terms and conditions of the debt securities and guarantees covered by this prospectus. When we offer to sell a particular series of debt securities, we will describe the specific terms and conditions of the series in a prospectus supplement to this prospectus. We will also indicate in the applicable prospectus supplement whether the general terms and conditions described in this prospectus apply to the series of debt securities and guarantees. In addition, the terms and conditions of the debt securities of a series may be different in one or more respects from the terms and conditions described below. If so, those differences will be described in the applicable prospectus supplement. We may, but need not, describe any additional or different terms and conditions of those debt securities in an annual report on Form 10-K, a quarterly report on Form 10-Q or a current report on Form 8-K filed with the SEC, the information in which would be incorporated by reference in this prospectus and that report will be identified in the applicable prospectus supplement.</w:t>
      </w:r>
    </w:p>
    <w:p>
      <w:pPr>
        <w:spacing w:after="0" w:line="192"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We will issue the debt securities in one or more series, which will consist of either our senior debt or our subordinated debt, under an indenture between us and Wilmington Trust, National Association, as trustee. The debt securities of any series, whether senior or subordinated, may be issued as convertible debt securities or exchangeable debt securities. We may use different trustees for different series of debt securities issued under the indenture. The following summary of provisions of the indenture does not purport to be complete and is subject to, and qualified in its entirety by reference to, all of the provisions of the indenture, including definitions therein of certain terms. This summary may not contain all of the information that you may find useful. The terms and conditions of the debt securities of each series will be set forth in those debt securities and may also be set forth in an indenture supplemental to the indenture. For a comprehensive description of any series of debt securities being offered pursuant to this prospectus, you should read both this prospectus and the applicable prospectus supplement.</w:t>
      </w:r>
    </w:p>
    <w:p>
      <w:pPr>
        <w:spacing w:after="0" w:line="1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filed the indenture as an exhibit to the registration statement of which this prospectus forms a part. A form of each debt security, reflecting the specific terms and provisions of that series of debt securities, will be filed with the SEC in connection with each offering and will be incorporated by reference in the registration statement of which this prospectus forms a part. Copies of the indenture, any supplemental indenture and any form of debt security that has been filed may be obtained in the manner described under “Where You Can Find More Information.”</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Capitalized terms used and not defined in this summary have the meanings specified in the indenture. For purposes of this section of this prospectus, references to “we,” “us” and “our” are to Reynolds Consumer Products Inc. and not to any of its subsidiaries. References to the “applicable prospectus supplement” are to the prospectus supplement to this prospectus that describes the specific terms and conditions of a series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may offer the debt securities from time to time in as many distinct series as we may determine. Our senior debt securities will be our senior obligations and will rank equally in right of payment with all of our senior indebtedness. If we issue subordinated debt securities, the terms of the subordination will be described in the applicable prospectus supplement. The indenture does not limit the amount of debt securities that we may issue under that indenture. We may, without the consent of the holders of the debt securities of any series, issue additional debt securities ranking equally with, and otherwise similar in all respects to, the debt securities of the series (except for the public offering price and the issue date) so that those additional debt securities will be consolidated and form a single series with the debt securities of the series previously offered and sold.</w:t>
      </w:r>
    </w:p>
    <w:p>
      <w:pPr>
        <w:spacing w:after="0" w:line="18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debt securities may be issued and/or guaranteed by one or more of Reynolds Consumer Products Inc., Reynolds Presto Products Inc., Trans Western Polymers, Inc., Reynolds Consumer Products Holdings LLC, Reynolds Consumer Products LLC, Reynolds International Services LLC and Reynolds Manufacturing, Inc. See “Description of Debt Securities and Guarantees—Guarantees.” Whether the debt securities will be guaranteed, and the terms thereof, will be disclosed in a prospectus supplement.</w:t>
      </w:r>
    </w:p>
    <w:p>
      <w:pPr>
        <w:spacing w:after="0" w:line="180"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debt securities of each series will be issued in fully registered form without interest coupons. We currently anticipate that the debt securities of each series offered and sold pursuant to this prospectus will be issued as global debt securities as described under “—Book-Entry; Delivery and Form; Global Securities” and will trade in book-entry form only.</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Debt securities denominated in U.S. dollars will be issued in minimum denominations of $2,000 and any integral multiple of $1,000 in excess thereof, unless otherwise specified in the applicable prospectus supplement. If the debt securities of a series are denominated in a foreign or composite currency, the applicable prospectus supplement will specify the denomination or denominations in which those debt securities will be issued.</w:t>
      </w:r>
    </w:p>
    <w:p>
      <w:pPr>
        <w:spacing w:after="0" w:line="176"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Unless otherwise specified in the applicable prospectus supplement, we will repay the debt securities of each series at 100% of their principal amount, together with accrued and unpaid interest thereon at maturity, except if those debt securities have been previously redeemed or purchased and cancelled.</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specified in the applicable prospectus supplement, the debt securities of each series will not be listed on any securities exchange.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of Indenture</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indenture provides that debt securities may be issued under it from time to time in one or more series. For each series of debt securities, this prospectus and the applicable prospectus supplement will describe the following terms and conditions of that series of debt securities:</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principal amount, if any, established for debt securities of the series;</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 debt security of the series will be payable, if other than the person in whose name that debt security (or one or more predecessor debt securities) is registered at the close of business on the regular record date for that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or subordinated debt and the terms of any subordination;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any debt securities of the series will be payable or the method used to determine or extend those dates;</w:t>
      </w:r>
    </w:p>
    <w:p>
      <w:pPr>
        <w:spacing w:after="0" w:line="225"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any debt securities of the series will bear interest, if any, the date or dates from which interest, if any, will accrue, the interest payment dates on which interest, if any, will be payable and the regular record date for interest, if any, payable on any interest payment date;</w:t>
      </w:r>
    </w:p>
    <w:p>
      <w:pPr>
        <w:spacing w:after="0" w:line="17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on any debt securities of the series will be payable and the manner in which any payment may be made;</w:t>
      </w:r>
    </w:p>
    <w:p>
      <w:pPr>
        <w:spacing w:after="0" w:line="16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will be evidenced;</w:t>
      </w:r>
    </w:p>
    <w:p>
      <w:pPr>
        <w:spacing w:after="0" w:line="175"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if any, to redeem or purchase any debt securities of the series pursuant to any sinking fund or at the option of the holder thereof and the period or periods within which, the price or prices at which and the terms and conditions upon which any debt securities of the series will be redeemed or purchased, in whole or in part, pursuant to that obligation;</w:t>
      </w:r>
    </w:p>
    <w:p>
      <w:pPr>
        <w:spacing w:after="0" w:line="17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$2,000 and any integral multiple of $1,000 in excess thereof, the denominations in which any debt securities of the series will be issuable;</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principal of or premium, if any, or interest on any debt securities of the series may be determined with reference to a financial or economic measure or index or pursuant to a formula, the manner in which those amounts will be determined;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currencies or currency units in which the principal of or premium, if any, or interest on any debt securities of the series will be payable and the manner of determining the equivalent thereof in U.S. dollars for any purpose;</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left="660" w:right="2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premium, if any, or interest on any debt securities of the series is to be payable, at our election or the election of the holder thereof, in one or more currencies or currency units other than that or those in which those debt securities are stated to be payable, the currency, currencies or currency units in which the principal of or premium, if any, or interest on the debt securities as to which that election is made will be payable, the periods within which and the terms and conditions upon which that election is to be made and the amount so payable (or the manner in which that amount will be determined);</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thereof, the portion of the principal amount of any debt securities of the series which will be payable upon declaration of acceleration of the maturity thereof pursuant to the indenture;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any debt securities of the series will not be determinable as of any one or more dates prior to the stated maturity, the amount which will be deemed to be the principal amount of those debt securities as of any date for any purpose, including the principal amount thereof which will be due and payable upon any maturity other than the stated maturity or which will be deemed to be outstanding as of any date prior to the stated maturity (or, in any case, the manner in which the amount deemed to be the principal amount will be determined);</w:t>
      </w:r>
    </w:p>
    <w:p>
      <w:pPr>
        <w:spacing w:after="0" w:line="183" w:lineRule="exact"/>
        <w:rPr>
          <w:rFonts w:ascii="Times New Roman" w:cs="Times New Roman" w:eastAsia="Times New Roman" w:hAnsi="Times New Roman"/>
          <w:sz w:val="18"/>
          <w:szCs w:val="18"/>
          <w:color w:val="auto"/>
        </w:rPr>
      </w:pPr>
    </w:p>
    <w:p>
      <w:pPr>
        <w:ind w:left="660" w:right="22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by a board resolution, the manner in which any election by us to defease any debt securities of the series pursuant to the indenture will be evidenced; whether any debt securities of the series other than debt securities denominated in U.S. dollars and bearing interest at a fixed rate are to be subject to the defeasance provisions of the indenture; or, in the case of debt securities denominated in U.S. dollars and bearing interest at a fixed rate, if applicable, that the debt securities of the series, in whole or any specified part, will not be defeasible pursuant to the indenture;</w:t>
      </w:r>
    </w:p>
    <w:p>
      <w:pPr>
        <w:spacing w:after="0" w:line="183"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any debt securities of the series will be issuable in whole or in part in the form of one or more global securities and, in that case, the respective depositaries for those global securities and the form of any legend or legends which will be borne by any global securities, and any circumstances in which any global security may be exchanged in whole or in part for debt securities registered, and any transfer of a global security in whole or in part may be registered, in the name or names of persons other than the depositary for that global security or a nominee thereof and any other provisions governing exchanges or transfers of global securities;</w:t>
      </w:r>
    </w:p>
    <w:p>
      <w:pPr>
        <w:spacing w:after="0" w:line="18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from or change in the events of default applicable to any debt securities of the series and any change in the right of the trustee or the requisite holders of those debt securities to declare the principal amount thereof due and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from or change in the covenants described in this prospectus applicable to debt securities of the series;</w:t>
      </w:r>
    </w:p>
    <w:p>
      <w:pPr>
        <w:spacing w:after="0" w:line="225"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series are to be convertible into or exchangeable for cash and/or any securities or other property of any person (including us), the terms and conditions upon which those debt securities will be so convertible or exchangeable;</w:t>
      </w:r>
    </w:p>
    <w:p>
      <w:pPr>
        <w:spacing w:after="0" w:line="16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will be guaranteed by any persons and, if so, the terms of the guarantees and the identities of the guarantors and, if applicable, the terms and conditions upon which those guarantees may be subordinated to other indebtedness of the respective guarantors;</w:t>
      </w:r>
    </w:p>
    <w:p>
      <w:pPr>
        <w:spacing w:after="0" w:line="175"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of the series will be secured by any collateral and, if so, the terms and conditions upon which those debt securities will be secured and, if applicable, upon which those liens may be subordinated to other liens securing other indebtedness of us or of any guarantor;</w:t>
      </w:r>
    </w:p>
    <w:p>
      <w:pPr>
        <w:spacing w:after="0" w:line="139"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trustee other than Wilmington Trust, National Association is to act as trustee for the debt securities of such series, the name and corporate trust office of such trustee;</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of the series (which terms will not be inconsistent with the provisions of the indenture, except as permitted thereunder);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and/or ISIN number(s) of the debt securities of the series.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Guarantees may be issued from time to time in connection with debt securities. This description does not contain all of the information that you may find useful. The particular terms of the guarantees of debt securities and related agreements will be described in the prospectus supplement relating to those debt securities to be guaranteed.</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Each of the guarantors will fully and unconditionally guarantee, jointly and severally, the due and punctual payment of principal of and any premium and interest on the debt securities, and the due and punctual payment of any sinking fund payments, when the same shall become due and payable, whether at maturity, by declaration of acceleration, by call for redemption or otherwise.</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Each guarantee will be limited to an amount not to exceed the maximum amount that can be guaranteed by the applicable guarantor without rendering the guarantee, as it relates to such guarantor, voidable under applicable law relating to fraudulent conveyance or fraudulent transfer or similar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Interest Rates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the applicable prospectus supplement, we will designate the debt securities of a series as being either debt securities bearing interest at a fixed rate of interest or debt securities bearing interest at a floating rate of interest. Each debt security will begin to accrue interest from the date on which it is originally issued. Interest on each debt security will be payable in arrears on the interest payment dates set forth in the applicable prospectus supplement and as otherwise described below and at maturity or, if earlier, the redemption date described below. Interest will be payable to the holder of record of the debt securities at the close of business on the record date for each interest payment date, which record dates will be specified in the applicable prospectus supplement.</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used in the indenture, the term “business day” means, with respect to debt securities of a series, any day, other than a Saturday or Sunday, that is not a day on which banking institutions are authorized or obligated by law or executive order to close in the place where the principal of and premium, if any, and interest on the debt securities of that series are payable.</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Fixed Rate Debt Securities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If the debt securities of a series being offered will bear interest at a fixed rate of interest, the debt securities of that series will bear interest at the annual interest rate specified on the cover page of the applicable prospectus supplement. Interest on those debt securities will be payable semi-annually in arrears on the interest payment dates for those debt securities unless otherwise specified in the applicable prospectus supplement. If the maturity date, the redemption date or an interest payment date is not a business day, we will pay principal, premium, if any, the redemption price, if any, and accrued and unpaid interest, if any, to but excluding the redemption date, on the next succeeding business day, and no interest will accrue from and after the relevant maturity date, redemption date or interest payment date to the date of that payment. Unless otherwise specified in the applicable prospectus supplement, interest on the fixed rate debt securities will be computed on the basis of a 360-day year of twelve 30-day months.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Floating Rate Debt Securities</w:t>
      </w:r>
    </w:p>
    <w:p>
      <w:pPr>
        <w:spacing w:after="0" w:line="22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If the debt securities of a series being offered will bear interest at a floating rate of interest, the debt securities of that series will bear interest during each relevant interest period at the rate determined as set forth in the applicable prospectus supplement. In the applicable prospectus supplement, we will indicate any spread or spread multiplier to be applied in the interest rate formula to determine the interest rate applicable in any interest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Transfer or Exchange</w:t>
      </w:r>
    </w:p>
    <w:p>
      <w:pPr>
        <w:spacing w:after="0" w:line="22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Principal of and premium, if any, and interest on the debt securities of each series will be payable, and the debt securities may be exchanged or transferred, at the office or agency maintained by us for that purpose (which initially</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will be the corporate trust office of the trustee). Payment of principal of and premium, if any, and interest on a global security registered in the name of or held by The Depository Trust Company (“DTC”) or its nominee will be made in immediately available funds to DTC or its nominee, as the case may be, as the registered holder of that global security. If any of the debt securities are no longer represented by a global security, payment of interest on certificated debt securities in definitive form may, at our option, be made by check mailed directly to holders at their registered addresses. See “—Book-Entry; Delivery and Form; Global Securities.”</w:t>
      </w:r>
    </w:p>
    <w:p>
      <w:pPr>
        <w:spacing w:after="0" w:line="18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 holder may transfer or exchange any certificated debt securities in definitive form at the corporate trust office of the trustee. No service charge will be made for any registration of transfer or exchange of debt securities, but we may require payment of a sum sufficient to cover any transfer tax or other similar governmental charge payable in connection therewith.</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are not required to transfer or exchange any debt security selected for redemption for a period of 15 days before mailing of a notice of redemption of the debt security to be redeemed.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registered holder of debt securities will be treated as the owner of those debt securities for all purposes.</w:t>
      </w:r>
    </w:p>
    <w:p>
      <w:pPr>
        <w:spacing w:after="0" w:line="225"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All amounts in respect of principal of and premium, if any, or interest on the debt securities paid by us that remain unclaimed two years after that payment was due and payable will be repaid to us, and the holders of those debt securities will thereafter look solely to us for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applicable prospectus supplement will set forth any covenants that will apply to each series of debt securities to be issued.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applicable prospectus supplement will set forth any events of default that will apply to each series of debt securities to be issued.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Same-Day Settlement and Payment</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debt securities will trade in the same-day funds settlement system of DTC until maturity or until we issue the debt securities in certificated form. DTC will therefore require secondary market trading activity in the debt securities to settle in immediately available funds. We can give no assurance as to the effect, if any, of settlement in immediately available funds on trading activity in the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 Global Securities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Each global security will be deposited with the trustee as custodian for DTC and registered in the name of a nominee of DTC in New York, New York for the accounts of participants in DTC.</w:t>
      </w:r>
    </w:p>
    <w:p>
      <w:pPr>
        <w:spacing w:after="0" w:line="180"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Investors may hold their interests in a global security directly through DTC if they are DTC participants, or indirectly through organizations that are DTC participants. Except in the limited circumstances described below, holders of debt securities represented by interests in a global security will not be entitled to receive their debt securities in fully registered certificated form.</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DTC has advised us as follows: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those securities through electronic book-entry changes in accounts of the participants, thereby eliminating the need for physical movement of securities certificates. DTC’s</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participants include both U.S. and non-U.S. securities brokers and dealers, banks, trust companies, clearing corporations and certain other organizations. Access to DTC’s book-entry system is also available to others, such as both U.S. and non-U.S. securities brokers and dealers, banks, trust companies and clearing corporations that clear through or maintain a custodial relationship with a participant, whether directly or indirectly.</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Ownership of Beneficial Interests</w:t>
      </w:r>
    </w:p>
    <w:p>
      <w:pPr>
        <w:spacing w:after="0" w:line="22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Upon the issuance of each global security, DTC will credit, on its book-entry registration and transfer system, the respective principal amount of the individual beneficial interests represented by the global security to the accounts of participants. Ownership of beneficial interests in each global security will be limited to participants or persons that may hold interests through participants. Ownership of beneficial interests in each global security will be shown on, and the transfer of those ownership interests will be effected only through, records maintained by DTC (with respect to participants’ interests) and those participants (with respect to the owners of beneficial interests in the global security other than participants).</w:t>
      </w:r>
    </w:p>
    <w:p>
      <w:pPr>
        <w:spacing w:after="0" w:line="18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So long as DTC or its nominee is the registered holder and owner of a global security, DTC or that nominee, as the case may be, will be considered the sole legal owner of the debt security represented by the global security for all purposes under the indenture, the debt securities and applicable law. Except as set forth below, owners of beneficial interests in a global security will not be entitled to receive certificated debt securities and will not be considered to be the owners or holders of any debt securities represented by the global security. We understand that under existing industry practice, in the event an owner of a beneficial interest in a global security desires to take any actions that DTC, as the holder of the global security, is entitled to take, DTC would authorize the participants to take that action, and that participants would authorize beneficial owners owning through those participants to take that action or would otherwise act upon the instructions of beneficial owners owning through them. No beneficial owner of an interest in a global security will be able to transfer that interest except in accordance with DTC’s applicable procedures, in addition to those provided for under the indenture. Because DTC can only act on behalf of participants, who in turn act on behalf of others, the ability of a person having a beneficial interest in a global security to pledge that interest to persons that do not participate in the DTC system, or otherwise to take actions in respect of that interest, may be impaired by the lack of a physical certificate representing that interest.</w:t>
      </w:r>
    </w:p>
    <w:p>
      <w:pPr>
        <w:spacing w:after="0" w:line="19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All payments on the debt securities represented by a global security registered in the name of and held by DTC or its nominee will be made to DTC or its nominee, as the case may be, as the registered owner and holder of the global security.</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expect that DTC or its nominee, upon receipt of any payment of principal or premium, if any, or interest in respect of a global security, will credit participants’ accounts with payments in amounts proportionate to their respective beneficial interests in the principal amount of the global security as shown on the records of DTC or its nominee. We also expect that payments by participants to owners of beneficial interests in the global security held through those participants will be governed by standing instructions and customary practices as is now the case with securities held for accounts for customers registered in the names of nominees for those customers. These payments, however, will be the responsibility of those participants and indirect participants, and none of we, the trustee or any paying agent will have any responsibility or liability for any aspect of the records relating to, or payments made on account of, beneficial ownership interests in any global security or for maintaining, supervising or reviewing any records relating to those beneficial ownership interests or for any other aspect of the relationship between DTC and its participants or the relationship between those participants and the owners of beneficial interests in a global security.</w:t>
      </w:r>
    </w:p>
    <w:p>
      <w:pPr>
        <w:spacing w:after="0" w:line="188"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Unless and until it is exchanged in whole or in part for certificated debt securities, each global security may not be transferred except as a whole by DTC to a nominee of DTC or by a nominee of DTC to DTC or another nominee of DTC. Transfers between participants in DTC will be effected in the ordinary way in accordance with DTC rules and will be settled in same-day funds.</w:t>
      </w:r>
    </w:p>
    <w:p>
      <w:pPr>
        <w:spacing w:after="0" w:line="176"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We expect that DTC will take any action permitted to be taken by a holder of debt securities only at the direction of one or more participants to whose account the DTC interests in a global security are credited and only in respect of that portion of the aggregate principal amount of the debt securities as to which that participant or participants has or have given that direction. However, if there is an event of default under the debt securities, DTC will exchange each global security for certificated debt securities, which it will distribute to its participants.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Although we expect that DTC will agree to the foregoing procedures in order to facilitate transfers of interests in each global security among participants of DTC, DTC is under no obligation to perform or continue to perform those procedures, and those procedures may be discontinued at any time. Neither we nor the trustee will have any responsibility for the performance or nonperformance by DTC or its participants or indirect participants of their respective obligations under the rules and procedures governing their operations.</w:t>
      </w:r>
    </w:p>
    <w:p>
      <w:pPr>
        <w:spacing w:after="0" w:line="180"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indenture provides that the global securities will be exchanged for debt securities in certificated form of like tenor and of an equal principal amount, in authorized denominations in the following limited circumstances:</w:t>
      </w:r>
    </w:p>
    <w:p>
      <w:pPr>
        <w:spacing w:after="0" w:line="162" w:lineRule="exact"/>
        <w:rPr>
          <w:sz w:val="20"/>
          <w:szCs w:val="20"/>
          <w:color w:val="auto"/>
        </w:rPr>
      </w:pPr>
    </w:p>
    <w:p>
      <w:pPr>
        <w:ind w:left="660" w:right="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depository or if DTC ceases to be eligible under the indenture and we do not appoint a successor depository within 90 days;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that the debt securities will no longer be represented by global securities and execute and deliver to the trustee an order to that effect;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debt securities has occurred and is continuing.</w:t>
      </w:r>
    </w:p>
    <w:p>
      <w:pPr>
        <w:spacing w:after="0" w:line="22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These certificated debt securities will be registered in the name or names as DTC instructs the trustee. It is expected that those instructions may be based upon directions received by DTC from participants with respect to ownership of beneficial interests in global securities.</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and DTC’s book-entry system has been obtained from sources that we believe to be reliable.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227"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If the depositary for a global security is DTC, you may hold interests in the global security through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which we refer to as “Clearstream,” or Euroclear Bank SA/ NV, as operator of the Euroclear System, which we refer to as “Euroclear,” in each case, as a participant in DTC. Euroclear and Clearstream will hold interests, in each case, on behalf of their participants through customers’ securities accounts in the names of Euroclear and Clearstream on the books of their respective depositaries, which in turn will hold those interests in customers’ securities in the depositaries’ names on DTC’s books.</w:t>
      </w:r>
    </w:p>
    <w:p>
      <w:pPr>
        <w:spacing w:after="0" w:line="18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the debt securities made through Euroclear or Clearstream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on one hand, and other participants in DTC, on the other hand, would also be subject to DTC’s rules and procedures.</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addition, because of time-zone differences, U.S. investors who hold their interests in the debt securities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 or sales of their interests between the U.S. and European clearing systems, and those transactions may settle later than transactions within one clearing system.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Wilmington Trust, National Association is the trustee under the indenture. As of the date of this prospectus, the corporate trust office of the trustee is located at Global Capital Markets, 50 South Sixth Street, Suite 1290, Minneapolis, Minnesota 55402; Attention: Reynolds Consumer Products Inc. Administrator.</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trustee is permitted to engage in transactions, including commercial banking and other transactions, with us and our subsidiaries from time to time; provided that if the trustee acquires any conflicting interest it must eliminate that conflict upon the occurrence of an event of default, or else resign.</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is a summary and is qualified in its entirety by reference to our Amended and Restated Certificate of Incorporation and Amended and Restated Bylaws, which are incorporated by reference as exhibits to the registration statement of which this prospectus forms a part, and by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2,000,000,000 shares of common stock, par value $0.001 per share and 200,000,000 shares of preferred stock, par value $0.001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our common stock are entitled to one vote per share on all matters to be voted upon by the stockholders.</w:t>
      </w:r>
    </w:p>
    <w:p>
      <w:pPr>
        <w:spacing w:after="0" w:line="225" w:lineRule="exact"/>
        <w:rPr>
          <w:sz w:val="20"/>
          <w:szCs w:val="20"/>
          <w:color w:val="auto"/>
        </w:rPr>
      </w:pPr>
    </w:p>
    <w:p>
      <w:pPr>
        <w:ind w:right="4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Holders of shares of our common stock are entitled to receive dividends when, as and if declared by our board of directors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legally available therefor, subject to preferences that may be applicable to any outstanding preferred stock.</w:t>
      </w:r>
    </w:p>
    <w:p>
      <w:pPr>
        <w:spacing w:after="0" w:line="158"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Rights upon liquidation. </w:t>
      </w:r>
      <w:r>
        <w:rPr>
          <w:rFonts w:ascii="Times New Roman" w:cs="Times New Roman" w:eastAsia="Times New Roman" w:hAnsi="Times New Roman"/>
          <w:sz w:val="18"/>
          <w:szCs w:val="18"/>
          <w:color w:val="auto"/>
        </w:rPr>
        <w:t>In the event of liquidation, dissolution or winding up of Reynolds Consumer Products Inc., the holders of common stock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entitled to share equally, identically and ratably in all assets remaining after the payment of any liabilities, liquidation preferences and accrued or declared but unpaid dividends, if any, with respect to any outstanding preferred stock.</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Our common stock is not entitled to preemptive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rights and is not subject to conversion, redemption or sinking fund provisions.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xml:space="preserve">Transfer Agent and </w:t>
      </w:r>
      <w:r>
        <w:rPr>
          <w:rFonts w:ascii="Times New Roman" w:cs="Times New Roman" w:eastAsia="Times New Roman" w:hAnsi="Times New Roman"/>
          <w:sz w:val="18"/>
          <w:szCs w:val="18"/>
          <w:i w:val="1"/>
          <w:iCs w:val="1"/>
          <w:color w:val="000000"/>
        </w:rPr>
        <w:t>Registrar.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American Stock Transfer &amp; Trust Company, LLC is the transfer agent and registrar of our 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Our common stock is traded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Stock Market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under the trading symbol “REYN.”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the authority to issue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the stockholders and may adversely affect the voting and other rights of the holders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our Amended and Restated Certificate of Incorporation and Bylaws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and, together with the ability of our board of directors to issue shares of our preferred stock and to set the voting rights, preferences and other terms of our preferred stock, may delay or prevent takeover attempts not first approved by our board of directors.</w:t>
      </w:r>
    </w:p>
    <w:p>
      <w:pPr>
        <w:spacing w:after="0" w:line="174" w:lineRule="exact"/>
        <w:rPr>
          <w:sz w:val="20"/>
          <w:szCs w:val="20"/>
          <w:color w:val="auto"/>
        </w:rPr>
      </w:pPr>
    </w:p>
    <w:p>
      <w:pPr>
        <w:ind w:right="140"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Staggered Board</w:t>
      </w:r>
      <w:r>
        <w:rPr>
          <w:rFonts w:ascii="Times New Roman" w:cs="Times New Roman" w:eastAsia="Times New Roman" w:hAnsi="Times New Roman"/>
          <w:sz w:val="17"/>
          <w:szCs w:val="17"/>
          <w:color w:val="auto"/>
        </w:rPr>
        <w:t>. Our amended and restated certificate of incorporation and our amended and restated bylaws provide that our board of directors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divided into three classes serving staggered three-year terms. At each annual meeting of stockholders, directors will be elected to succeed the class of directors whose terms have expired. An election of the directors shall be determined by a plurality of votes cast by the stockholders entitled to vote on</w:t>
      </w: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election. The holders of our common stock are not entitled to cumulative voting rights with respect to the election of directors.</w:t>
      </w:r>
    </w:p>
    <w:p>
      <w:pPr>
        <w:spacing w:after="0" w:line="22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Limits on Stockholder Action by Written Consents. </w:t>
      </w:r>
      <w:r>
        <w:rPr>
          <w:rFonts w:ascii="Times New Roman" w:cs="Times New Roman" w:eastAsia="Times New Roman" w:hAnsi="Times New Roman"/>
          <w:sz w:val="18"/>
          <w:szCs w:val="18"/>
          <w:color w:val="auto"/>
        </w:rPr>
        <w:t>Our amended and restated certificate of incorporation and our amended and restated bylaws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from and after the date on which Packaging Finance Limited (“PFL”) and all other entities beneficially owned by Mr. Graeme Richard Hart or his estate, heirs, executor, administrator or other personal representative, or any of his immediate family members or any trust, fund or other entity which is controlled by his estate, heirs, any of his immediate family members or any of their respective affiliates (PFL and all of the foregoing, collectively, the “Hart Entities”) and any other transferee of all of the outstanding shares of common stock held at any time by the Hart Entities which are transferred other than pursuant to a widely distributed public sale (“Permitted Assigns”) no longer beneficially own more than 50% of the outstanding shares of our common stock, holders of our common stock will not be able to act by written consent without a meeting.</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Stockholder Meetings. </w:t>
      </w:r>
      <w:r>
        <w:rPr>
          <w:rFonts w:ascii="Times New Roman" w:cs="Times New Roman" w:eastAsia="Times New Roman" w:hAnsi="Times New Roman"/>
          <w:sz w:val="18"/>
          <w:szCs w:val="18"/>
          <w:color w:val="auto"/>
        </w:rPr>
        <w:t>Our amended and restated certificate of incorporation and our amended and restated bylaws provide that special meetings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may be called only by our Chief Executive Officer, the chairman of our board of directors, a majority of the directors, or stockholders holding 50% of the voting power of our outstanding common stock (which ability of stockholders to call special meetings will terminate once the Hart Entities or Permitted Assigns beneficially own less than 50% of the outstanding shares of our common stock). Our amended and restated certificate of incorporation and our amended and restated bylaws specifically deny any power of any other person to call a special meeting.</w:t>
      </w:r>
    </w:p>
    <w:p>
      <w:pPr>
        <w:spacing w:after="0" w:line="183"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Limits on Amending Our Certificate of Incorporation. </w:t>
      </w:r>
      <w:r>
        <w:rPr>
          <w:rFonts w:ascii="Times New Roman" w:cs="Times New Roman" w:eastAsia="Times New Roman" w:hAnsi="Times New Roman"/>
          <w:sz w:val="18"/>
          <w:szCs w:val="18"/>
          <w:color w:val="auto"/>
        </w:rPr>
        <w:t>The provisions of our amended and restated certificate of incorporation may be amended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affirmative vote of holders of at least a majority of the voting power of our outstanding shares of voting stock, for as long as the Hart Entities or Permitted Assigns beneficially own more than 50% of the outstanding shares of our common stock. From and after the date on which the Hart Entities or Permitted Assigns no longer beneficially own more than 50% of the outstanding shares of our common stock, the affirmative vote of holders of at least</w:t>
      </w:r>
    </w:p>
    <w:p>
      <w:pPr>
        <w:spacing w:after="0" w:line="1" w:lineRule="exact"/>
        <w:rPr>
          <w:sz w:val="20"/>
          <w:szCs w:val="20"/>
          <w:color w:val="auto"/>
        </w:rPr>
      </w:pPr>
    </w:p>
    <w:p>
      <w:pPr>
        <w:ind w:right="360"/>
        <w:spacing w:after="0" w:line="209" w:lineRule="auto"/>
        <w:rPr>
          <w:sz w:val="20"/>
          <w:szCs w:val="20"/>
          <w:color w:val="auto"/>
        </w:rPr>
      </w:pPr>
      <w:r>
        <w:rPr>
          <w:rFonts w:ascii="Times New Roman" w:cs="Times New Roman" w:eastAsia="Times New Roman" w:hAnsi="Times New Roman"/>
          <w:sz w:val="18"/>
          <w:szCs w:val="18"/>
          <w:color w:val="auto"/>
        </w:rPr>
        <w:t>66</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of the voting power of our outstanding shares of common stock will be required to amend provisions of our amended and restated certificate of incorporation.</w:t>
      </w:r>
    </w:p>
    <w:p>
      <w:pPr>
        <w:spacing w:after="0" w:line="196"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i w:val="1"/>
          <w:iCs w:val="1"/>
          <w:color w:val="auto"/>
        </w:rPr>
        <w:t>Limits on Amending Our Bylaws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amended and restated bylaws may generally be altered, amended or repealed, and new bylaws may be adopted,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w:t>
      </w:r>
    </w:p>
    <w:p>
      <w:pPr>
        <w:spacing w:after="0" w:line="15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a majority of directors present at any regular or special meeting of the board of directors called for that purpose; or</w:t>
      </w:r>
    </w:p>
    <w:p>
      <w:pPr>
        <w:spacing w:after="0" w:line="225" w:lineRule="exact"/>
        <w:rPr>
          <w:rFonts w:ascii="Times New Roman" w:cs="Times New Roman" w:eastAsia="Times New Roman" w:hAnsi="Times New Roman"/>
          <w:sz w:val="18"/>
          <w:szCs w:val="18"/>
          <w:color w:val="auto"/>
        </w:rPr>
      </w:pPr>
    </w:p>
    <w:p>
      <w:pPr>
        <w:ind w:left="660" w:hanging="328"/>
        <w:spacing w:after="0" w:line="26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at least a majority of the voting power of our outstanding shares of voting stock for as long as the Hart Entities or Permitted Assigns beneficially own more than 50% of the outstanding shares of our common stock. From and after the date on which the Hart Entities or Permitted Assigns no longer beneficially own more than 50% of the outstanding shares of our common stock, the affirmative vote of holders of at least 66</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of the voting power of our outstanding shares of common stock will be required to amend provisions of our bylaws.</w:t>
      </w:r>
    </w:p>
    <w:p>
      <w:pPr>
        <w:spacing w:after="0" w:line="4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Our amended and restated bylaws establish advance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with respect to stockholder proposals and nomination of candidates for election as directors other than nominations made by or at the direction of the board of directors or a committee of the board of directors. To be timely, stockholders must deliver notice:</w:t>
      </w:r>
    </w:p>
    <w:p>
      <w:pPr>
        <w:spacing w:after="0" w:line="175" w:lineRule="exact"/>
        <w:rPr>
          <w:sz w:val="20"/>
          <w:szCs w:val="20"/>
          <w:color w:val="auto"/>
        </w:rPr>
      </w:pPr>
    </w:p>
    <w:p>
      <w:pPr>
        <w:ind w:left="660" w:right="6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 annual meeting of stockholders, not less than 120 nor more than 180 days prior to the date on which the annual meeting of stockholders was held in the immediately preceding year. However, in the event that the date of the annual meeting is more than 30 days before or more than 60 days after the anniversary date of the preceding annual meeting of stockholders, a stockholder notice will be timely if received by us no earlier than 120 days prior to such annual meeting and not later than the close of business on the later of (1) 70 days prior to the date of the annual meeting and (2) the 10th day following the day on which we first publicly announce the date of the annual meeting; or</w:t>
      </w:r>
    </w:p>
    <w:p>
      <w:pPr>
        <w:spacing w:after="0" w:line="18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election of a director at a special meeting of stockholders, a stockholder notice will be timely if received by us (1) not earlier than 150 days prior to the date of the special meeting nor (2) later</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than the later of (a) 120 days prior to the date of the special meeting or (b) the 10th day following the day on which public announcement of the date of the special meeting of the stockholders is first made.</w:t>
      </w:r>
    </w:p>
    <w:p>
      <w:pPr>
        <w:spacing w:after="0" w:line="16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Undesignated Preferred Stock. </w:t>
      </w:r>
      <w:r>
        <w:rPr>
          <w:rFonts w:ascii="Times New Roman" w:cs="Times New Roman" w:eastAsia="Times New Roman" w:hAnsi="Times New Roman"/>
          <w:sz w:val="18"/>
          <w:szCs w:val="18"/>
          <w:color w:val="auto"/>
        </w:rPr>
        <w:t>Our board of directors has the authority, without further vote or action by the stockholders, to issue preferred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or more series and to fix the rights, preferences, privileges and restrictions thereof, including dividend rights, dividend rates, conversion rights, voting rights, terms of redemption, redemption prices, liquidation preferences or other rights or preferences that could impede the success of any attempt to change control of the Company.</w:t>
      </w:r>
    </w:p>
    <w:p>
      <w:pPr>
        <w:spacing w:after="0" w:line="180"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203 of the Delaware General Corporation Law. </w:t>
      </w:r>
      <w:r>
        <w:rPr>
          <w:rFonts w:ascii="Times New Roman" w:cs="Times New Roman" w:eastAsia="Times New Roman" w:hAnsi="Times New Roman"/>
          <w:sz w:val="18"/>
          <w:szCs w:val="18"/>
          <w:color w:val="auto"/>
        </w:rPr>
        <w:t>Section 203 of the DGCL prohibits an “interested stockholder,” which is defined generally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owning 15% or more of a corporation’s voting stock, or any affiliate or associate of that person, from engaging in a broad range of “business combinations” with a Delaware corporation for three years after becoming an interested stockholder unless:</w:t>
      </w:r>
    </w:p>
    <w:p>
      <w:pPr>
        <w:spacing w:after="0" w:line="175" w:lineRule="exact"/>
        <w:rPr>
          <w:sz w:val="20"/>
          <w:szCs w:val="20"/>
          <w:color w:val="auto"/>
        </w:rPr>
      </w:pPr>
    </w:p>
    <w:p>
      <w:pPr>
        <w:ind w:left="660" w:right="9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had previously approved either the business combination or the transaction that resulted in the stockholder’s becoming an interested stockholder;</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transaction that resulted in the stockholder’s becoming an interested stockholder, that person owned at least 85% of the voting stock of the corporation outstanding at the time the transaction commenced, other than statutorily excluded shares; or</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transaction in which that person became an interested stockholder, the business combination is approved by the board of directors of the corporation and holders of at least two-thirds of the outstanding voting stock not owned by the interested stockholder.</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 Delaware corporation may elect in its certificate of incorporation or bylaws not to be governed by this particular Delaware law. Our amended and restated certificate of incorporation contains a provision expressly electing not to be governed by Section 203. Therefore, the restrictions on certain business combinations in Section 203 do not currently apply in respect of the Company.</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9"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7"/>
          <w:szCs w:val="17"/>
          <w:color w:val="auto"/>
        </w:rPr>
        <w:t>The following description of shares represented by depositary shares sets forth certain general terms and provisions of depositary agreements, depositary shares and depositary receipts. This summary does not contain all of the information that you may find useful. The particular terms of the depositary shares and related agreements and receipts will be described in the prospectus supplement relating to those depositary shares. For more information, you should review the relevant form of deposit agreement and relevant form of depositary receipts, which are or will be filed with the SEC.</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may elect to have shares represented by depositary shares. The shares underlying the depositary shares will be deposited under a separate deposit agreement between us and a bank or trust company we select. The prospectus supplement relating to a series of depositary shares will set forth the name and address of this share depositary. Subject to the terms of the deposit agreement, each owner of a depositary share will be entitled, proportionately, to all the rights, preferences and privileges of the share represented by such depositary share (including dividend, voting, redemption, conversion, exchange and liquidation rights).</w:t>
      </w:r>
    </w:p>
    <w:p>
      <w:pPr>
        <w:spacing w:after="0" w:line="18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each of which will represent the applicable interest in a number of shares, or fraction thereof, as described in the applicable prospectus supplement.</w:t>
      </w:r>
    </w:p>
    <w:p>
      <w:pPr>
        <w:spacing w:after="0" w:line="162"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A holder of depositary shares will be entitled to receive the shares (but only in whole shares) underlying those depositary shares. If the depositary receipts delivered by the holder evidence a number of depositary shares in excess of the whole number of shares to be withdrawn, the depositary will deliver to that holder at the same time a new depositary receipt for the excess number of depositary shares.</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depositary agreement, the depositary shares and the depositary receipts will be governed by and construed in accordance with the law of the State of New York.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share depositary will distribute all cash dividends or other cash distributions in respect of the shares to the record holders of depositary receipts in proportion, insofar as possible, to the number of depositary shares owned by those holders.</w:t>
      </w:r>
    </w:p>
    <w:p>
      <w:pPr>
        <w:spacing w:after="0" w:line="162"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If there is a distribution other than in cash in respect of the shares, the share depositary will distribute property received by it to the record holders of depositary receipts in proportion, insofar as possible, to the number of depositary shares owned by those holders, unless the share depositary determines that it is not feasible to make such a distribution. In that case, the share depositary may, with our approval, adopt any method that it deems equitable and practicable to effect the distribution, including a public or private sale of the property and distribution of the net proceeds from the sale to the holders.</w:t>
      </w:r>
    </w:p>
    <w:p>
      <w:pPr>
        <w:spacing w:after="0" w:line="180"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amount distributed in any of the above cases will be reduced by any amount we or the share depositary are required to withhold on account of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229"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If any share underlying the depositary shares is subject to provisions relating to its conversion or exchange as set forth in an applicable prospectus supplement, each record holder of depositary shares will have the right or obligation to convert or exchange those depositary shares pursuant to those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Whenever we redeem a share held by the share depositary, the share depositary will redeem as of the same redemption date a proportionate number of depositary shares representing the shares that were redeemed. The redemption price per depositary share will be equal to the aggregate redemption price payable with respect to the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3"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number of shares underlying the depositary shares. If fewer than all the depositary shares are to be redeemed, the depositary shares to be redeemed will be selected by lot or proportionately as we may determine.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the date fixed for redemption, the depositary shares called for redemption will no longer be deemed to be outstanding and all rights of the holders of the depositary shares will cease, except the right to receive the redemption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any shares underlying the depositary shares are entitled to vote, the share depositary will mail the information contained in the notice to the record holders of the depositary receipts. Each record holder of the depositary receipts on the record date (which will be the same date as the record date for the shares) may then instruct the share depositary as to the exercise of the voting rights pertaining to the number of shares underlying that holder’s depositary shares. The share depositary will try to vote the number of shares underlying the depositary shares in accordance with the instructions, and we will agree to take all reasonable action which the share depositary deems necessary to enable the share depositary to do so. The share depositary will abstain from voting the shares to the extent that it does not receive specific written instructions from holders of depositary receipts representing the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Whenever</w:t>
      </w:r>
    </w:p>
    <w:p>
      <w:pPr>
        <w:spacing w:after="0" w:line="225" w:lineRule="exact"/>
        <w:rPr>
          <w:sz w:val="20"/>
          <w:szCs w:val="20"/>
          <w:color w:val="auto"/>
        </w:rPr>
      </w:pPr>
    </w:p>
    <w:p>
      <w:pPr>
        <w:ind w:left="660" w:right="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dividend or other cash distribution becomes payable, any distribution other than cash is made, or any rights, preferences or privileges are offered with respect to the shares; or</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depositary receives notice of any meeting at which holders of shares are entitled to vote or of which holders of shares are entitled to notice, or of the mandatory conversion of or any election by us to call for the redemption of any share,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share depositary will in each instance fix a record date (which will be the same as the record date for the shares) for the determination of the holders of depositary receipts:</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will be entitled to receive dividend, distribution, rights, preferences or privileges or the net proceeds of any sale; or</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will be entitled to give instructions for the exercise of voting rights at any such meeting or to receive notice of the meeting or the redemption or conversion, subject to the provisions of the deposit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and the share depositary may at any time agree to amend the form of depositary receipt and any provision of the deposit agreement. However, any amendment that materially and adversely alters the rights of holders of depositary shares will not be effective unless the amendment has been approved by the holders of at least a majority of the depositary shares then outstanding. The deposit agreement may be terminated by us or by the share depositary only if all outstanding shares have been redeemed or if a final distribution in respect of the underlying shares has been made to the holders of the depositary shares in connection with the liquidation, dissolution or winding up of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of Share Depositary</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will pay all charges of the share depositary including charges in connection with the initial deposit of the shares, the initial issuance of the depositary receipts, the distribution of information to the holders of depositary receipts with respect to matters on which the share is entitled to vote, withdrawals of the share by the holders of depositary receipts or redemption or conversion of the share, except for taxes (including transfer taxes, if any) and other governmental charges and any other charges expressly provided in the deposit agreement to be at the expense of holders of depositary receipts or persons depositing shares.</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shares underlying the depositary shares.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the shares underlying the depositary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Neither we nor the share depositary will be liable if either of us is prevented or delayed by law or any circumstance beyond our control in performing any obligations under the deposit agreement. The obligations of the share depositary under the deposit agreement are limited to performing its duties under the agreement without negligence or bad faith. Our obligations under the deposit agreement are limited to performing our duties in good faith. Neither we nor the share depositary is obligated to prosecute or defend any legal proceeding in respect of any depositary shares or shares unless satisfactory indemnity is furnished. We and the share depositary may rely on advice of or information from counsel, accountants or other persons that they believe to be competent and on documents that they believe to be genuine. The share depositary may resign at any time or be removed by us, effective upon the acceptance by its successor of its appointment. If we have not appointed a successor share depositary and the successor depositary has not accepted its appointment within 60 days after the share depositary delivered a resignation notice to us, the share depositary may terminate the deposit agreement. See “—Amendment and Termination of the Deposit Agreement” above.</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purchase contracts that we may offer from time to time. This summary does not contain all of the information that you may find useful. The particular terms of any purchase contract that we may offer and the related agreements will be described in the prospectus supplement relating to those purchase contracts. For more information, you should review the relevant form of purchase contract and the relevant form of pledge agreement for purchase contracts, if any, which are or will be filed with the SEC.</w:t>
      </w:r>
    </w:p>
    <w:p>
      <w:pPr>
        <w:spacing w:after="0" w:line="180"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If we offer any purchase contracts, certain terms of that series of purchase contracts will be described in the applicable prospectus supplement, including, without limitation, the following:</w:t>
      </w:r>
    </w:p>
    <w:p>
      <w:pPr>
        <w:spacing w:after="0" w:line="162" w:lineRule="exact"/>
        <w:rPr>
          <w:sz w:val="20"/>
          <w:szCs w:val="20"/>
          <w:color w:val="auto"/>
        </w:rPr>
      </w:pPr>
    </w:p>
    <w:p>
      <w:pPr>
        <w:ind w:left="660" w:right="6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or other property subject to the purchase contracts (which may be determined by reference to a specific formula described in the purchase contracts);</w:t>
      </w:r>
    </w:p>
    <w:p>
      <w:pPr>
        <w:spacing w:after="0" w:line="161"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purchase contracts are issued separately, or as a part of units each consisting of a purchase contract and one or more of our other securities or securities of an unaffiliated entity, including U.S. Treasury securities, securing the holder’s obligations under the purchase contract;</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us to make periodic payments to holders or vice versa, and whether the payments are unsecured or pre-funded;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purchase contracts;</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purchase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purchase contracts and any securities subject to such purchase contracts.</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units that we may offer from time to time. This summary does not contain all of the information that you may find useful. The particular terms of any of the units that we may offer and the related agreements will be described in the prospectus supplement relating to those units. For more information, you should review the relevant form of unit agreement and the relevant form of unit certificate, if any, which are or will be filed with the SEC.</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3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223" w:right="5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warrants that we may offer from time to time. This summary does not contain all of the information that you may find useful. The particular terms of any of the warrants that we may offer and the related agreements will be described in the prospectus supplement relating to those warrants. For more information, you should review the relevant form of warrant agreement and the relevant form of warrant certificate, if any, which are or will be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our securities or rights (including rights to receive payment in cash or securities based on the value, rate or price of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 separate warrant agreement to be entered into between us and a warrant agent we select.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review the applicable prospectus supplement for the specific terms of any warrants that may be offered, including:</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the warrants may be payable;</w:t>
      </w:r>
    </w:p>
    <w:p>
      <w:pPr>
        <w:spacing w:after="0" w:line="225" w:lineRule="exact"/>
        <w:rPr>
          <w:rFonts w:ascii="Times New Roman" w:cs="Times New Roman" w:eastAsia="Times New Roman" w:hAnsi="Times New Roman"/>
          <w:sz w:val="18"/>
          <w:szCs w:val="18"/>
          <w:color w:val="auto"/>
        </w:rPr>
      </w:pPr>
    </w:p>
    <w:p>
      <w:pPr>
        <w:ind w:left="660" w:right="60" w:hanging="328"/>
        <w:spacing w:after="0" w:line="312" w:lineRule="auto"/>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securities or rights (including rights to receive payment in cash or securities based on the value, rate or price of one or more specified commodities, currencies or indices) or securities of other issuers or any combination of the foregoing purchasable upon exercise of such warrants;</w:t>
      </w:r>
    </w:p>
    <w:p>
      <w:pPr>
        <w:spacing w:after="0" w:line="139" w:lineRule="exact"/>
        <w:rPr>
          <w:rFonts w:ascii="Times New Roman" w:cs="Times New Roman" w:eastAsia="Times New Roman" w:hAnsi="Times New Roman"/>
          <w:sz w:val="17"/>
          <w:szCs w:val="17"/>
          <w:color w:val="auto"/>
        </w:rPr>
      </w:pPr>
    </w:p>
    <w:p>
      <w:pPr>
        <w:ind w:left="660" w:right="6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including composite currencies, in which the securities purchasable upon exercise of the warrants may be purchased;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that right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United States federal income tax considerations;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the securities described in this prospectus from time to time in one or more transactions:</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Nasdaq Stock Market LLC (including through at-the-market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purchasers directly;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for public offering and sale by them;</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block trade in which a broker/dealer will attempt to sell a block of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foregoing methods of sale.</w:t>
      </w:r>
    </w:p>
    <w:p>
      <w:pPr>
        <w:spacing w:after="0" w:line="225"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resale of the securities. To the extent required, a prospectus supplement will describe the terms of any sale of securities we are offering hereunder. Direct sales may be arranged by a securities broker-dealer or other financial intermediary.</w:t>
      </w:r>
    </w:p>
    <w:p>
      <w:pPr>
        <w:spacing w:after="0" w:line="176"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To the extent required, the applicable prospectus supplement will name any underwriter involved in a sale of securities. Underwriters may offer and sell securities at a fixed price or prices, which may be changed, or from time to time at market prices prevailing at the time of sale, at prices related to market prices, or at negotiated prices. Underwriters may be deemed to have received compensation from us from sales of securities in the form of underwriting discounts or commissions and may also receive commissions from purchasers of securities for whom they may act as agent. Underwriters may be involved in any at-the-market offering of securities by or on our behalf.</w:t>
      </w:r>
    </w:p>
    <w:p>
      <w:pPr>
        <w:spacing w:after="0" w:line="183"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obligations of any underwriters to purchase securities will be subject to certain conditions precedent, and the underwriters will be obligated to purchase all the securities if any are purchased.</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To the extent required, the applicable prospectus supplement will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To the extent required, we will name any agent involved in a sale of securities, as well as any commissions payable by us to such agent, in the applicable prospectus supplement. Unless otherwise specified in the applicable prospectus supplement, any such agent will be acting on a best efforts basis for the period of its appointment.</w:t>
      </w:r>
    </w:p>
    <w:p>
      <w:pPr>
        <w:spacing w:after="0" w:line="17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pursuant to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may have agreements with underwriters, dealers and agents to indemnify them against certain civil liabilities, including liabilities under the Securities Act, and to reimburse them for certain expenses.</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Underwriters or agents and their affiliates may be customers of, engage in transactions with or perform services for us or our affiliates in the ordinary course of business.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Some or all of the securities may be new issues of securities with no established trading market. Any underwriters that purchase the securities for public offering and sale may make a market in such securities, but such underwriters will not be obligated to do so and may discontinue any market making at any time without notice. We make no assurance as to the liquidity of or the trading markets for any securities.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VALIDITY OF THE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securities will be passed upon for us by Davis Polk &amp; Wardwell LLP, New York, New York.</w:t>
      </w:r>
    </w:p>
    <w:p>
      <w:pPr>
        <w:spacing w:after="0" w:line="2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223" w:right="5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Other Expenses of Issuance and Distribution</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statement of the expenses (all of which are estimated) to be incurred by the Registrant in connection with a distribution of securities registered under this registration statement: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38"/>
        </w:trPr>
        <w:tc>
          <w:tcPr>
            <w:tcW w:w="4120" w:type="dxa"/>
            <w:vAlign w:val="bottom"/>
            <w:tcBorders>
              <w:bottom w:val="single" w:sz="8" w:color="D5EAEA"/>
            </w:tcBorders>
          </w:tcPr>
          <w:p>
            <w:pPr>
              <w:spacing w:after="0"/>
              <w:rPr>
                <w:sz w:val="20"/>
                <w:szCs w:val="20"/>
                <w:color w:val="auto"/>
              </w:rPr>
            </w:pPr>
          </w:p>
        </w:tc>
        <w:tc>
          <w:tcPr>
            <w:tcW w:w="6020" w:type="dxa"/>
            <w:vAlign w:val="bottom"/>
            <w:tcBorders>
              <w:bottom w:val="single" w:sz="8" w:color="D5EAEA"/>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 be paid</w:t>
            </w:r>
          </w:p>
        </w:tc>
      </w:tr>
      <w:tr>
        <w:trPr>
          <w:trHeight w:val="210"/>
        </w:trPr>
        <w:tc>
          <w:tcPr>
            <w:tcW w:w="1014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D5EAEA"/>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shd w:val="clear" w:color="auto" w:fill="D5EAEA"/>
          </w:tcPr>
          <w:p>
            <w:pPr>
              <w:spacing w:after="0"/>
              <w:rPr>
                <w:sz w:val="18"/>
                <w:szCs w:val="18"/>
                <w:color w:val="auto"/>
              </w:rPr>
            </w:pPr>
          </w:p>
        </w:tc>
        <w:tc>
          <w:tcPr>
            <w:tcW w:w="1000" w:type="dxa"/>
            <w:vAlign w:val="bottom"/>
            <w:gridSpan w:val="2"/>
            <w:shd w:val="clear" w:color="auto" w:fill="D5EAEA"/>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fees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Rating agency fees</w:t>
            </w:r>
          </w:p>
        </w:tc>
        <w:tc>
          <w:tcPr>
            <w:tcW w:w="100" w:type="dxa"/>
            <w:vAlign w:val="bottom"/>
            <w:shd w:val="clear" w:color="auto" w:fill="D5EAEA"/>
          </w:tcPr>
          <w:p>
            <w:pPr>
              <w:spacing w:after="0"/>
              <w:rPr>
                <w:sz w:val="18"/>
                <w:szCs w:val="18"/>
                <w:color w:val="auto"/>
              </w:rPr>
            </w:pPr>
          </w:p>
        </w:tc>
        <w:tc>
          <w:tcPr>
            <w:tcW w:w="1000" w:type="dxa"/>
            <w:vAlign w:val="bottom"/>
            <w:gridSpan w:val="2"/>
            <w:shd w:val="clear" w:color="auto" w:fill="D5EAEA"/>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Trustee’s fees and expenses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0140" w:type="dxa"/>
            <w:vAlign w:val="bottom"/>
            <w:tcBorders>
              <w:bottom w:val="single" w:sz="8" w:color="D5EAEA"/>
            </w:tcBorders>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 w:type="dxa"/>
            <w:vAlign w:val="bottom"/>
            <w:tcBorders>
              <w:bottom w:val="single" w:sz="8" w:color="D5EAEA"/>
            </w:tcBorders>
            <w:shd w:val="clear" w:color="auto" w:fill="D5EAEA"/>
          </w:tcPr>
          <w:p>
            <w:pPr>
              <w:spacing w:after="0"/>
              <w:rPr>
                <w:sz w:val="20"/>
                <w:szCs w:val="20"/>
                <w:color w:val="auto"/>
              </w:rPr>
            </w:pPr>
          </w:p>
        </w:tc>
        <w:tc>
          <w:tcPr>
            <w:tcW w:w="90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5EAEA"/>
            </w:tcBorders>
            <w:shd w:val="clear" w:color="auto" w:fill="D5EAEA"/>
          </w:tcPr>
          <w:p>
            <w:pPr>
              <w:spacing w:after="0"/>
              <w:rPr>
                <w:sz w:val="20"/>
                <w:szCs w:val="20"/>
                <w:color w:val="auto"/>
              </w:rPr>
            </w:pPr>
          </w:p>
        </w:tc>
      </w:tr>
      <w:tr>
        <w:trPr>
          <w:trHeight w:val="217"/>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 w:lineRule="exact"/>
        <w:rPr>
          <w:sz w:val="20"/>
          <w:szCs w:val="20"/>
          <w:color w:val="auto"/>
        </w:rPr>
      </w:pPr>
    </w:p>
    <w:p>
      <w:pPr>
        <w:ind w:left="340" w:right="1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registering an indeterminate amount of securities under this Registration Statement and in accordance with Rules 456(b) and 457(r), the Registrant is deferring payment of all of the registration fee.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applicable prospectus supplement will set forth the estimated aggregate amount of expenses payable in respect of any offering of securities.</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Indemnification of Directors and Officers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Section 145 of the General Corporation Law of the State of Delaware (the “DGCL”) grants each corporation organized thereunder the power to indemnify any person who is or was a director, officer, employee or agent of a corporation or enterprise, against expenses (including attorneys’ fees), judgments, fines and amounts paid in settlement actually and reasonably incurred by him in connection with any threatened, pending or completed action, suit or proceeding, whether civil, criminal, administrative or investigative, by reason of being or having been in any such capacity, if he acted in good faith in a manner reasonably believed to be in or not opposed to the best interests of the corporation, and, with respect to any criminal action, or proceeding, had no reasonable cause to believe his conduct was unlawful, except that with respect to an action brought by or in the right of the corporation such indemnification is limited to expenses (including attorneys fees). Our amended and restated certificate of incorporation provides that we must indemnify our directors and officers to the fullest extent permitted by Delaware law. We have also entered into indemnification agreements with certain of our directors that provide for us to indemnify them to the fullest extent permitted by Delaware law.</w:t>
      </w:r>
    </w:p>
    <w:p>
      <w:pPr>
        <w:spacing w:after="0" w:line="18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Section 102(b)(7) of the DGCL enables a corporation, in its certificate of incorporation or an amendment thereto, to eliminate or limit the personal liability of a director to the corporation or its stockholders for monetary damages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(providing for liability of directors for unlawful payment of dividends or unlawful stock purchases or redemptions) or (iv) for any transaction from which a director derived an improper personal benefit. Our amended and restated certificate of incorporation provides for such limitations on liability for our directors.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currently maintain liability insurance for our directors and officers.</w:t>
      </w:r>
    </w:p>
    <w:p>
      <w:pPr>
        <w:spacing w:after="0" w:line="225"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Reference is made to the forms of underwriting agreement to be filed as Exhibits 1.1, 1.2, 1.3, 1.4, 1.5, 1.6 and 1.7 hereto for provisions providing that the underwriters are obligated under certain circumstances, to indemnify our directors, officers and controlling persons against certain liabilities under the Securities Act of 1933, as amended.</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attached Exhibit Index, which is incorporated herein by reference.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i w:val="1"/>
          <w:iCs w:val="1"/>
          <w:color w:val="auto"/>
        </w:rPr>
        <w:t>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ind w:left="1300" w:right="60" w:hanging="320"/>
        <w:spacing w:after="0" w:line="255"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(i), (ii) and (iii) do not apply if the information required to be included in a post-effective amendment by those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is contained in reports filed with or furnished to the Securities and Exchange Commission by the Registrant pursuant to Section 13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15(d) of the Securities Exchange Act of 1934 that are incorporated by reference in the registration statement, or is contained in a form of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pursuant to Rule 424(b) that is part of the registration statement.</w:t>
      </w:r>
    </w:p>
    <w:p>
      <w:pPr>
        <w:spacing w:after="0" w:line="207" w:lineRule="exact"/>
        <w:rPr>
          <w:sz w:val="20"/>
          <w:szCs w:val="20"/>
          <w:color w:val="auto"/>
        </w:rPr>
      </w:pPr>
    </w:p>
    <w:p>
      <w:pPr>
        <w:ind w:left="960" w:right="60" w:hanging="385"/>
        <w:spacing w:after="0" w:line="266"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960" w:right="600" w:hanging="385"/>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960" w:hanging="385"/>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300" w:hanging="320"/>
        <w:spacing w:after="0" w:line="255"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0" w:lineRule="exact"/>
        <w:rPr>
          <w:sz w:val="20"/>
          <w:szCs w:val="20"/>
          <w:color w:val="auto"/>
        </w:rPr>
      </w:pPr>
    </w:p>
    <w:p>
      <w:pPr>
        <w:ind w:left="960" w:right="100" w:hanging="385"/>
        <w:spacing w:after="0" w:line="258"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30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of 1939 (the “Trust Indenture Act”) in accordance with the rules and regulations prescribed by the Commission under Section 305(b)(2) of the Trust Indenture Act.</w:t>
      </w:r>
    </w:p>
    <w:p>
      <w:pPr>
        <w:spacing w:after="0" w:line="1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2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7"/>
        </w:trPr>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8"/>
        </w:trPr>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gridSpan w:val="7"/>
          </w:tcPr>
          <w:p>
            <w:pPr>
              <w:ind w:left="10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63"/>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2"/>
                <w:szCs w:val="22"/>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Underwriting Agreement for debt securities (including, if applicable, related guarantees).</w:t>
            </w:r>
          </w:p>
        </w:tc>
      </w:tr>
      <w:tr>
        <w:trPr>
          <w:trHeight w:val="270"/>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Underwriting Agreement for preferred stock.</w:t>
            </w:r>
          </w:p>
        </w:tc>
      </w:tr>
      <w:tr>
        <w:trPr>
          <w:trHeight w:val="270"/>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Underwriting Agreement for common stock.</w:t>
            </w:r>
          </w:p>
        </w:tc>
      </w:tr>
      <w:tr>
        <w:trPr>
          <w:trHeight w:val="270"/>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Underwriting Agreement for depositary shares.</w:t>
            </w:r>
          </w:p>
        </w:tc>
      </w:tr>
      <w:tr>
        <w:trPr>
          <w:trHeight w:val="270"/>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Underwriting Agreement for purchase contracts.</w:t>
            </w:r>
          </w:p>
        </w:tc>
      </w:tr>
      <w:tr>
        <w:trPr>
          <w:trHeight w:val="270"/>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Underwriting Agreement for units.</w:t>
            </w:r>
          </w:p>
        </w:tc>
      </w:tr>
      <w:tr>
        <w:trPr>
          <w:trHeight w:val="270"/>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Underwriting Agreement for warrants.</w:t>
            </w:r>
          </w:p>
        </w:tc>
      </w:tr>
      <w:tr>
        <w:trPr>
          <w:trHeight w:val="229"/>
        </w:trPr>
        <w:tc>
          <w:tcPr>
            <w:tcW w:w="2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51">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Amended and Restated Certificate of Incorporation of Reynolds Consumer Products Inc. (incorporated by reference to Exhibit 3.1 to the</w:t>
              </w:r>
            </w:hyperlink>
          </w:p>
        </w:tc>
        <w:tc>
          <w:tcPr>
            <w:tcW w:w="340" w:type="dxa"/>
            <w:vAlign w:val="bottom"/>
            <w:gridSpan w:val="2"/>
          </w:tcPr>
          <w:p>
            <w:pPr>
              <w:spacing w:after="0"/>
              <w:rPr>
                <w:sz w:val="19"/>
                <w:szCs w:val="19"/>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Company’s Current Report on Form 8-K filed February 4, 2020 (File No. 001-39205)).</w:t>
              </w:r>
            </w:hyperlink>
          </w:p>
        </w:tc>
        <w:tc>
          <w:tcPr>
            <w:tcW w:w="3900" w:type="dxa"/>
            <w:vAlign w:val="bottom"/>
            <w:gridSpan w:val="4"/>
          </w:tcPr>
          <w:p>
            <w:pPr>
              <w:spacing w:after="0"/>
              <w:rPr>
                <w:sz w:val="17"/>
                <w:szCs w:val="17"/>
                <w:color w:val="auto"/>
              </w:rPr>
            </w:pPr>
          </w:p>
        </w:tc>
      </w:tr>
      <w:tr>
        <w:trPr>
          <w:trHeight w:val="250"/>
        </w:trPr>
        <w:tc>
          <w:tcPr>
            <w:tcW w:w="2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52">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w:t>
              </w:r>
            </w:hyperlink>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Amended and Restated Bylaws of Reynolds Consumer Products Inc. (incorporated by reference to Exhibit 3.1 to the Company’s Current</w:t>
              </w:r>
            </w:hyperlink>
          </w:p>
        </w:tc>
        <w:tc>
          <w:tcPr>
            <w:tcW w:w="320" w:type="dxa"/>
            <w:vAlign w:val="bottom"/>
          </w:tcPr>
          <w:p>
            <w:pPr>
              <w:spacing w:after="0"/>
              <w:rPr>
                <w:sz w:val="21"/>
                <w:szCs w:val="2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Report on Form 8-K filed February 4, 2020 (File No. 001-39205)).</w:t>
              </w:r>
            </w:hyperlink>
          </w:p>
        </w:tc>
        <w:tc>
          <w:tcPr>
            <w:tcW w:w="5360" w:type="dxa"/>
            <w:vAlign w:val="bottom"/>
            <w:gridSpan w:val="6"/>
          </w:tcPr>
          <w:p>
            <w:pPr>
              <w:spacing w:after="0"/>
              <w:rPr>
                <w:sz w:val="17"/>
                <w:szCs w:val="17"/>
                <w:color w:val="auto"/>
              </w:rPr>
            </w:pPr>
          </w:p>
        </w:tc>
      </w:tr>
      <w:tr>
        <w:trPr>
          <w:trHeight w:val="250"/>
        </w:trPr>
        <w:tc>
          <w:tcPr>
            <w:tcW w:w="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Form of Indenture.</w:t>
            </w:r>
          </w:p>
        </w:tc>
        <w:tc>
          <w:tcPr>
            <w:tcW w:w="8800" w:type="dxa"/>
            <w:vAlign w:val="bottom"/>
            <w:gridSpan w:val="10"/>
          </w:tcPr>
          <w:p>
            <w:pPr>
              <w:spacing w:after="0"/>
              <w:rPr>
                <w:sz w:val="21"/>
                <w:szCs w:val="21"/>
                <w:color w:val="auto"/>
              </w:rPr>
            </w:pPr>
          </w:p>
        </w:tc>
      </w:tr>
      <w:tr>
        <w:trPr>
          <w:trHeight w:val="250"/>
        </w:trPr>
        <w:tc>
          <w:tcPr>
            <w:tcW w:w="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Form of Debt Security (included in Exhibit 4.1).</w:t>
            </w:r>
          </w:p>
        </w:tc>
        <w:tc>
          <w:tcPr>
            <w:tcW w:w="6680" w:type="dxa"/>
            <w:vAlign w:val="bottom"/>
            <w:gridSpan w:val="8"/>
          </w:tcPr>
          <w:p>
            <w:pPr>
              <w:spacing w:after="0"/>
              <w:rPr>
                <w:sz w:val="21"/>
                <w:szCs w:val="21"/>
                <w:color w:val="auto"/>
              </w:rPr>
            </w:pPr>
          </w:p>
        </w:tc>
      </w:tr>
      <w:tr>
        <w:trPr>
          <w:trHeight w:val="291"/>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24"/>
                <w:szCs w:val="24"/>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Specimen Certificate of Preferred Stock and Form of Certificate of Designations for Preferred Stock.</w:t>
            </w:r>
          </w:p>
        </w:tc>
      </w:tr>
      <w:tr>
        <w:trPr>
          <w:trHeight w:val="270"/>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Deposit Agreement for Depositary Shares.</w:t>
            </w:r>
          </w:p>
        </w:tc>
      </w:tr>
      <w:tr>
        <w:trPr>
          <w:trHeight w:val="270"/>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Purchase Contract Agreement.</w:t>
            </w:r>
          </w:p>
        </w:tc>
      </w:tr>
      <w:tr>
        <w:trPr>
          <w:trHeight w:val="270"/>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Pledge Agreement for Purchase Contracts.</w:t>
            </w:r>
          </w:p>
        </w:tc>
      </w:tr>
      <w:tr>
        <w:trPr>
          <w:trHeight w:val="270"/>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270"/>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Unit Certificate.</w:t>
            </w:r>
          </w:p>
        </w:tc>
      </w:tr>
      <w:tr>
        <w:trPr>
          <w:trHeight w:val="270"/>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270"/>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4.10**</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Warrant Certificate.</w:t>
            </w:r>
          </w:p>
        </w:tc>
      </w:tr>
      <w:tr>
        <w:trPr>
          <w:trHeight w:val="22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Opinion of Davis Polk &amp; Wardwell LLP, as to the legality of the securities being registered and the guarantees.</w:t>
            </w: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1780" w:type="dxa"/>
            <w:vAlign w:val="bottom"/>
            <w:tcBorders>
              <w:right w:val="single" w:sz="8" w:color="0000EE"/>
            </w:tcBorders>
            <w:gridSpan w:val="2"/>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r>
      <w:tr>
        <w:trPr>
          <w:trHeight w:val="250"/>
        </w:trPr>
        <w:tc>
          <w:tcPr>
            <w:tcW w:w="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8"/>
              </w:rPr>
              <w:t>22.</w:t>
            </w:r>
            <w:r>
              <w:rPr>
                <w:rFonts w:ascii="Times New Roman" w:cs="Times New Roman" w:eastAsia="Times New Roman" w:hAnsi="Times New Roman"/>
                <w:sz w:val="18"/>
                <w:szCs w:val="18"/>
                <w:u w:val="single" w:color="auto"/>
                <w:color w:val="0000EE"/>
                <w:w w:val="88"/>
              </w:rPr>
              <w:t>1</w:t>
            </w: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List of Guarantors.</w:t>
            </w:r>
          </w:p>
        </w:tc>
        <w:tc>
          <w:tcPr>
            <w:tcW w:w="8800" w:type="dxa"/>
            <w:vAlign w:val="bottom"/>
            <w:gridSpan w:val="10"/>
          </w:tcPr>
          <w:p>
            <w:pPr>
              <w:spacing w:after="0"/>
              <w:rPr>
                <w:sz w:val="21"/>
                <w:szCs w:val="21"/>
                <w:color w:val="auto"/>
              </w:rPr>
            </w:pPr>
          </w:p>
        </w:tc>
      </w:tr>
      <w:tr>
        <w:trPr>
          <w:trHeight w:val="250"/>
        </w:trPr>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Davis Polk &amp; Wardwell LLP (included in the opinion filed as Exhibit 5.1).</w:t>
            </w:r>
          </w:p>
        </w:tc>
      </w:tr>
      <w:tr>
        <w:trPr>
          <w:trHeight w:val="250"/>
        </w:trPr>
        <w:tc>
          <w:tcPr>
            <w:tcW w:w="3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2</w:t>
            </w: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 LLP.</w:t>
            </w:r>
          </w:p>
        </w:tc>
        <w:tc>
          <w:tcPr>
            <w:tcW w:w="3180" w:type="dxa"/>
            <w:vAlign w:val="bottom"/>
            <w:tcBorders>
              <w:top w:val="single" w:sz="8" w:color="0000EE"/>
            </w:tcBorders>
            <w:gridSpan w:val="4"/>
          </w:tcPr>
          <w:p>
            <w:pPr>
              <w:spacing w:after="0"/>
              <w:rPr>
                <w:sz w:val="21"/>
                <w:szCs w:val="21"/>
                <w:color w:val="auto"/>
              </w:rPr>
            </w:pPr>
          </w:p>
        </w:tc>
        <w:tc>
          <w:tcPr>
            <w:tcW w:w="3980" w:type="dxa"/>
            <w:vAlign w:val="bottom"/>
            <w:gridSpan w:val="5"/>
          </w:tcPr>
          <w:p>
            <w:pPr>
              <w:spacing w:after="0"/>
              <w:rPr>
                <w:sz w:val="21"/>
                <w:szCs w:val="21"/>
                <w:color w:val="auto"/>
              </w:rPr>
            </w:pPr>
          </w:p>
        </w:tc>
      </w:tr>
      <w:tr>
        <w:trPr>
          <w:trHeight w:val="250"/>
        </w:trPr>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8"/>
              </w:rPr>
              <w:t>24.</w:t>
            </w:r>
            <w:r>
              <w:rPr>
                <w:rFonts w:ascii="Times New Roman" w:cs="Times New Roman" w:eastAsia="Times New Roman" w:hAnsi="Times New Roman"/>
                <w:sz w:val="18"/>
                <w:szCs w:val="18"/>
                <w:u w:val="single" w:color="auto"/>
                <w:color w:val="0000EE"/>
                <w:w w:val="88"/>
              </w:rPr>
              <w:t>1</w:t>
            </w: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Powers of Attorney (included on signature page).</w:t>
            </w:r>
          </w:p>
        </w:tc>
      </w:tr>
      <w:tr>
        <w:trPr>
          <w:trHeight w:val="20"/>
        </w:trPr>
        <w:tc>
          <w:tcPr>
            <w:tcW w:w="30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r>
      <w:tr>
        <w:trPr>
          <w:trHeight w:val="250"/>
        </w:trPr>
        <w:tc>
          <w:tcPr>
            <w:tcW w:w="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8"/>
              </w:rPr>
              <w:t>25.</w:t>
            </w:r>
            <w:r>
              <w:rPr>
                <w:rFonts w:ascii="Times New Roman" w:cs="Times New Roman" w:eastAsia="Times New Roman" w:hAnsi="Times New Roman"/>
                <w:sz w:val="18"/>
                <w:szCs w:val="18"/>
                <w:u w:val="single" w:color="auto"/>
                <w:color w:val="0000EE"/>
                <w:w w:val="88"/>
              </w:rPr>
              <w:t>1</w:t>
            </w: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9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Statement of Eligibility under the Trust Indenture Act of 1939 on Form T-1 of the Trustee under the Indenture.</w:t>
            </w:r>
          </w:p>
        </w:tc>
        <w:tc>
          <w:tcPr>
            <w:tcW w:w="2200" w:type="dxa"/>
            <w:vAlign w:val="bottom"/>
            <w:gridSpan w:val="3"/>
          </w:tcPr>
          <w:p>
            <w:pPr>
              <w:spacing w:after="0"/>
              <w:rPr>
                <w:sz w:val="21"/>
                <w:szCs w:val="21"/>
                <w:color w:val="auto"/>
              </w:rPr>
            </w:pPr>
          </w:p>
        </w:tc>
      </w:tr>
    </w:tbl>
    <w:p>
      <w:pPr>
        <w:spacing w:after="0" w:line="63" w:lineRule="exact"/>
        <w:rPr>
          <w:sz w:val="20"/>
          <w:szCs w:val="20"/>
          <w:color w:val="auto"/>
        </w:rPr>
      </w:pPr>
    </w:p>
    <w:p>
      <w:pPr>
        <w:ind w:left="1040" w:hanging="1005"/>
        <w:spacing w:after="0"/>
        <w:tabs>
          <w:tab w:leader="none" w:pos="1040" w:val="left"/>
        </w:tabs>
        <w:numPr>
          <w:ilvl w:val="1"/>
          <w:numId w:val="2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Filing fee table.</w:t>
      </w:r>
    </w:p>
    <w:p>
      <w:pPr>
        <w:spacing w:after="0" w:line="103" w:lineRule="exact"/>
        <w:rPr>
          <w:rFonts w:ascii="Times New Roman" w:cs="Times New Roman" w:eastAsia="Times New Roman" w:hAnsi="Times New Roman"/>
          <w:sz w:val="18"/>
          <w:szCs w:val="18"/>
          <w:u w:val="single" w:color="auto"/>
          <w:color w:val="0000EE"/>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an exhibit to a document to be incorporated by reference herein in connection with an offering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26060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State of Delaware, on the 23rd day of May, 2022.</w:t>
      </w:r>
    </w:p>
    <w:p>
      <w:pPr>
        <w:spacing w:after="0" w:line="1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200" w:lineRule="exact"/>
        <w:rPr>
          <w:sz w:val="20"/>
          <w:szCs w:val="20"/>
          <w:color w:val="auto"/>
        </w:rPr>
      </w:pPr>
    </w:p>
    <w:p>
      <w:pPr>
        <w:spacing w:after="0" w:line="241" w:lineRule="exact"/>
        <w:rPr>
          <w:sz w:val="20"/>
          <w:szCs w:val="20"/>
          <w:color w:val="auto"/>
        </w:rPr>
      </w:pPr>
    </w:p>
    <w:p>
      <w:pPr>
        <w:ind w:left="6740"/>
        <w:spacing w:after="0"/>
        <w:tabs>
          <w:tab w:leader="none" w:pos="7280" w:val="left"/>
        </w:tabs>
        <w:rPr>
          <w:sz w:val="20"/>
          <w:szCs w:val="20"/>
          <w:color w:val="auto"/>
        </w:rPr>
      </w:pPr>
      <w:r>
        <w:rPr>
          <w:rFonts w:ascii="Times New Roman" w:cs="Times New Roman" w:eastAsia="Times New Roman" w:hAnsi="Times New Roman"/>
          <w:sz w:val="18"/>
          <w:szCs w:val="18"/>
          <w:color w:val="auto"/>
        </w:rPr>
        <w:t>By:</w:t>
        <w:tab/>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17145</wp:posOffset>
            </wp:positionV>
            <wp:extent cx="25031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Name: Lance Mitchell</w:t>
      </w:r>
    </w:p>
    <w:p>
      <w:pPr>
        <w:spacing w:after="0" w:line="23" w:lineRule="exact"/>
        <w:rPr>
          <w:sz w:val="20"/>
          <w:szCs w:val="20"/>
          <w:color w:val="auto"/>
        </w:rPr>
      </w:pPr>
    </w:p>
    <w:p>
      <w:pPr>
        <w:ind w:left="7300"/>
        <w:spacing w:after="0"/>
        <w:tabs>
          <w:tab w:leader="none" w:pos="7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Lance Mitchell, Michael Graham and David Watson,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or substitutes may lawfully do or cause to be done by virtue hereof.</w:t>
      </w:r>
    </w:p>
    <w:p>
      <w:pPr>
        <w:spacing w:after="0" w:line="188"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on the 23rd day of May,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0" w:type="dxa"/>
            <w:vAlign w:val="bottom"/>
          </w:tcPr>
          <w:p>
            <w:pPr>
              <w:spacing w:after="0"/>
              <w:rPr>
                <w:sz w:val="20"/>
                <w:szCs w:val="20"/>
                <w:color w:val="auto"/>
              </w:rPr>
            </w:pPr>
          </w:p>
        </w:tc>
        <w:tc>
          <w:tcPr>
            <w:tcW w:w="6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Lance Mitchell</w:t>
            </w:r>
          </w:p>
        </w:tc>
        <w:tc>
          <w:tcPr>
            <w:tcW w:w="40" w:type="dxa"/>
            <w:vAlign w:val="bottom"/>
            <w:tcBorders>
              <w:bottom w:val="single" w:sz="8" w:color="auto"/>
            </w:tcBorders>
          </w:tcPr>
          <w:p>
            <w:pPr>
              <w:spacing w:after="0"/>
              <w:rPr>
                <w:sz w:val="18"/>
                <w:szCs w:val="18"/>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 Director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Lance Mitchell</w:t>
            </w:r>
          </w:p>
        </w:tc>
        <w:tc>
          <w:tcPr>
            <w:tcW w:w="4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Graham</w:t>
            </w:r>
          </w:p>
        </w:tc>
        <w:tc>
          <w:tcPr>
            <w:tcW w:w="40" w:type="dxa"/>
            <w:vAlign w:val="bottom"/>
            <w:tcBorders>
              <w:bottom w:val="single" w:sz="8" w:color="auto"/>
            </w:tcBorders>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Graham</w:t>
            </w:r>
          </w:p>
        </w:tc>
        <w:tc>
          <w:tcPr>
            <w:tcW w:w="4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Gregory Cole</w:t>
            </w:r>
          </w:p>
        </w:tc>
        <w:tc>
          <w:tcPr>
            <w:tcW w:w="40" w:type="dxa"/>
            <w:vAlign w:val="bottom"/>
            <w:tcBorders>
              <w:bottom w:val="single" w:sz="8" w:color="auto"/>
            </w:tcBorders>
          </w:tcPr>
          <w:p>
            <w:pPr>
              <w:spacing w:after="0"/>
              <w:rPr>
                <w:sz w:val="24"/>
                <w:szCs w:val="24"/>
                <w:color w:val="auto"/>
              </w:rPr>
            </w:pPr>
          </w:p>
        </w:tc>
        <w:tc>
          <w:tcPr>
            <w:tcW w:w="6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Gregory Cole</w:t>
            </w:r>
          </w:p>
        </w:tc>
        <w:tc>
          <w:tcPr>
            <w:tcW w:w="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5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Helen Golding</w:t>
            </w:r>
          </w:p>
        </w:tc>
        <w:tc>
          <w:tcPr>
            <w:tcW w:w="40" w:type="dxa"/>
            <w:vAlign w:val="bottom"/>
            <w:tcBorders>
              <w:bottom w:val="single" w:sz="8" w:color="auto"/>
            </w:tcBorders>
          </w:tcPr>
          <w:p>
            <w:pPr>
              <w:spacing w:after="0"/>
              <w:rPr>
                <w:sz w:val="24"/>
                <w:szCs w:val="24"/>
                <w:color w:val="auto"/>
              </w:rPr>
            </w:pPr>
          </w:p>
        </w:tc>
        <w:tc>
          <w:tcPr>
            <w:tcW w:w="6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Helen Golding</w:t>
            </w:r>
          </w:p>
        </w:tc>
        <w:tc>
          <w:tcPr>
            <w:tcW w:w="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5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Marla Gottschalk</w:t>
            </w:r>
          </w:p>
        </w:tc>
        <w:tc>
          <w:tcPr>
            <w:tcW w:w="40" w:type="dxa"/>
            <w:vAlign w:val="bottom"/>
            <w:tcBorders>
              <w:bottom w:val="single" w:sz="8" w:color="auto"/>
            </w:tcBorders>
          </w:tcPr>
          <w:p>
            <w:pPr>
              <w:spacing w:after="0"/>
              <w:rPr>
                <w:sz w:val="24"/>
                <w:szCs w:val="24"/>
                <w:color w:val="auto"/>
              </w:rPr>
            </w:pPr>
          </w:p>
        </w:tc>
        <w:tc>
          <w:tcPr>
            <w:tcW w:w="6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Marla Gottschalk</w:t>
            </w:r>
          </w:p>
        </w:tc>
        <w:tc>
          <w:tcPr>
            <w:tcW w:w="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5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Allen Hugli</w:t>
            </w:r>
          </w:p>
        </w:tc>
        <w:tc>
          <w:tcPr>
            <w:tcW w:w="40" w:type="dxa"/>
            <w:vAlign w:val="bottom"/>
            <w:tcBorders>
              <w:bottom w:val="single" w:sz="8" w:color="auto"/>
            </w:tcBorders>
          </w:tcPr>
          <w:p>
            <w:pPr>
              <w:spacing w:after="0"/>
              <w:rPr>
                <w:sz w:val="24"/>
                <w:szCs w:val="24"/>
                <w:color w:val="auto"/>
              </w:rPr>
            </w:pPr>
          </w:p>
        </w:tc>
        <w:tc>
          <w:tcPr>
            <w:tcW w:w="6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Allen Hugli</w:t>
            </w:r>
          </w:p>
        </w:tc>
        <w:tc>
          <w:tcPr>
            <w:tcW w:w="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5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Noll</w:t>
            </w:r>
          </w:p>
        </w:tc>
        <w:tc>
          <w:tcPr>
            <w:tcW w:w="40" w:type="dxa"/>
            <w:vAlign w:val="bottom"/>
            <w:tcBorders>
              <w:bottom w:val="single" w:sz="8" w:color="auto"/>
            </w:tcBorders>
          </w:tcPr>
          <w:p>
            <w:pPr>
              <w:spacing w:after="0"/>
              <w:rPr>
                <w:sz w:val="24"/>
                <w:szCs w:val="24"/>
                <w:color w:val="auto"/>
              </w:rPr>
            </w:pPr>
          </w:p>
        </w:tc>
        <w:tc>
          <w:tcPr>
            <w:tcW w:w="6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Richard Noll</w:t>
            </w:r>
          </w:p>
        </w:tc>
        <w:tc>
          <w:tcPr>
            <w:tcW w:w="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5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Ann Ziegler</w:t>
            </w:r>
          </w:p>
        </w:tc>
        <w:tc>
          <w:tcPr>
            <w:tcW w:w="40" w:type="dxa"/>
            <w:vAlign w:val="bottom"/>
            <w:tcBorders>
              <w:bottom w:val="single" w:sz="8" w:color="auto"/>
            </w:tcBorders>
          </w:tcPr>
          <w:p>
            <w:pPr>
              <w:spacing w:after="0"/>
              <w:rPr>
                <w:sz w:val="24"/>
                <w:szCs w:val="24"/>
                <w:color w:val="auto"/>
              </w:rPr>
            </w:pPr>
          </w:p>
        </w:tc>
        <w:tc>
          <w:tcPr>
            <w:tcW w:w="6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Ann Ziegler</w:t>
            </w:r>
          </w:p>
        </w:tc>
        <w:tc>
          <w:tcPr>
            <w:tcW w:w="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5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2"/>
        </w:trPr>
        <w:tc>
          <w:tcPr>
            <w:tcW w:w="5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II-5</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State of Delaware, on the 23rd day of May, 2022.</w:t>
      </w:r>
    </w:p>
    <w:p>
      <w:pPr>
        <w:spacing w:after="0" w:line="1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REYNOLDS PRESTO PRODUCTS INC.</w:t>
      </w:r>
    </w:p>
    <w:p>
      <w:pPr>
        <w:spacing w:after="0" w:line="200" w:lineRule="exact"/>
        <w:rPr>
          <w:sz w:val="20"/>
          <w:szCs w:val="20"/>
          <w:color w:val="auto"/>
        </w:rPr>
      </w:pPr>
    </w:p>
    <w:p>
      <w:pPr>
        <w:spacing w:after="0" w:line="241" w:lineRule="exact"/>
        <w:rPr>
          <w:sz w:val="20"/>
          <w:szCs w:val="20"/>
          <w:color w:val="auto"/>
        </w:rPr>
      </w:pPr>
    </w:p>
    <w:p>
      <w:pPr>
        <w:ind w:left="6740"/>
        <w:spacing w:after="0"/>
        <w:tabs>
          <w:tab w:leader="none" w:pos="7280" w:val="left"/>
        </w:tabs>
        <w:rPr>
          <w:sz w:val="20"/>
          <w:szCs w:val="20"/>
          <w:color w:val="auto"/>
        </w:rPr>
      </w:pPr>
      <w:r>
        <w:rPr>
          <w:rFonts w:ascii="Times New Roman" w:cs="Times New Roman" w:eastAsia="Times New Roman" w:hAnsi="Times New Roman"/>
          <w:sz w:val="18"/>
          <w:szCs w:val="18"/>
          <w:color w:val="auto"/>
        </w:rPr>
        <w:t>By:</w:t>
        <w:tab/>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17145</wp:posOffset>
            </wp:positionV>
            <wp:extent cx="25031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Name: Lance Mitchell</w:t>
      </w:r>
    </w:p>
    <w:p>
      <w:pPr>
        <w:spacing w:after="0" w:line="23" w:lineRule="exact"/>
        <w:rPr>
          <w:sz w:val="20"/>
          <w:szCs w:val="20"/>
          <w:color w:val="auto"/>
        </w:rPr>
      </w:pPr>
    </w:p>
    <w:p>
      <w:pPr>
        <w:ind w:left="7300"/>
        <w:spacing w:after="0"/>
        <w:tabs>
          <w:tab w:leader="none" w:pos="7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Lance Mitchell, Michael Graham and David Watson,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or substitutes may lawfully do or cause to be done by virtue hereof.</w:t>
      </w:r>
    </w:p>
    <w:p>
      <w:pPr>
        <w:spacing w:after="0" w:line="188"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on the 23rd day of May,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1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0" w:type="dxa"/>
            <w:vAlign w:val="bottom"/>
          </w:tcPr>
          <w:p>
            <w:pPr>
              <w:spacing w:after="0"/>
              <w:rPr>
                <w:sz w:val="1"/>
                <w:szCs w:val="1"/>
                <w:color w:val="auto"/>
              </w:rPr>
            </w:pPr>
          </w:p>
        </w:tc>
      </w:tr>
      <w:tr>
        <w:trPr>
          <w:trHeight w:val="290"/>
        </w:trPr>
        <w:tc>
          <w:tcPr>
            <w:tcW w:w="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/s/ Lance Mitchell</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and Chief Executive Officer; Director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Lance Mitchell</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567"/>
        </w:trPr>
        <w:tc>
          <w:tcPr>
            <w:tcW w:w="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/s/ Michael Graham</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Chief Financial Officer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Michael Graham</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41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/s/ David Watson</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140" w:type="dxa"/>
            <w:vAlign w:val="bottom"/>
            <w:vMerge w:val="restart"/>
          </w:tcPr>
          <w:p>
            <w:pPr>
              <w:jc w:val="center"/>
              <w:ind w:left="870"/>
              <w:spacing w:after="0"/>
              <w:rPr>
                <w:sz w:val="20"/>
                <w:szCs w:val="20"/>
                <w:color w:val="auto"/>
              </w:rPr>
            </w:pPr>
            <w:r>
              <w:rPr>
                <w:rFonts w:ascii="Times New Roman" w:cs="Times New Roman" w:eastAsia="Times New Roman" w:hAnsi="Times New Roman"/>
                <w:sz w:val="18"/>
                <w:szCs w:val="18"/>
                <w:color w:val="auto"/>
                <w:w w:val="98"/>
              </w:rPr>
              <w:t>David Watson</w:t>
            </w: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14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04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State of Delaware, on the 23rd day of May, 2022.</w:t>
      </w:r>
    </w:p>
    <w:p>
      <w:pPr>
        <w:spacing w:after="0" w:line="1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TRANS WESTERN POLYMERS, INC.</w:t>
      </w:r>
    </w:p>
    <w:p>
      <w:pPr>
        <w:spacing w:after="0" w:line="200" w:lineRule="exact"/>
        <w:rPr>
          <w:sz w:val="20"/>
          <w:szCs w:val="20"/>
          <w:color w:val="auto"/>
        </w:rPr>
      </w:pPr>
    </w:p>
    <w:p>
      <w:pPr>
        <w:spacing w:after="0" w:line="241" w:lineRule="exact"/>
        <w:rPr>
          <w:sz w:val="20"/>
          <w:szCs w:val="20"/>
          <w:color w:val="auto"/>
        </w:rPr>
      </w:pPr>
    </w:p>
    <w:p>
      <w:pPr>
        <w:ind w:left="6740"/>
        <w:spacing w:after="0"/>
        <w:tabs>
          <w:tab w:leader="none" w:pos="7280" w:val="left"/>
        </w:tabs>
        <w:rPr>
          <w:sz w:val="20"/>
          <w:szCs w:val="20"/>
          <w:color w:val="auto"/>
        </w:rPr>
      </w:pPr>
      <w:r>
        <w:rPr>
          <w:rFonts w:ascii="Times New Roman" w:cs="Times New Roman" w:eastAsia="Times New Roman" w:hAnsi="Times New Roman"/>
          <w:sz w:val="18"/>
          <w:szCs w:val="18"/>
          <w:color w:val="auto"/>
        </w:rPr>
        <w:t>By:</w:t>
        <w:tab/>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17145</wp:posOffset>
            </wp:positionV>
            <wp:extent cx="25031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Name: Lance Mitchell</w:t>
      </w:r>
    </w:p>
    <w:p>
      <w:pPr>
        <w:spacing w:after="0" w:line="23" w:lineRule="exact"/>
        <w:rPr>
          <w:sz w:val="20"/>
          <w:szCs w:val="20"/>
          <w:color w:val="auto"/>
        </w:rPr>
      </w:pPr>
    </w:p>
    <w:p>
      <w:pPr>
        <w:ind w:left="7300"/>
        <w:spacing w:after="0"/>
        <w:tabs>
          <w:tab w:leader="none" w:pos="7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3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Lance Mitchell, Michael Graham and David Watson,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or substitutes may lawfully do or cause to be done by virtue hereof.</w:t>
      </w:r>
    </w:p>
    <w:p>
      <w:pPr>
        <w:spacing w:after="0" w:line="188"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on the 23rd day of May,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1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0" w:type="dxa"/>
            <w:vAlign w:val="bottom"/>
          </w:tcPr>
          <w:p>
            <w:pPr>
              <w:spacing w:after="0"/>
              <w:rPr>
                <w:sz w:val="1"/>
                <w:szCs w:val="1"/>
                <w:color w:val="auto"/>
              </w:rPr>
            </w:pPr>
          </w:p>
        </w:tc>
      </w:tr>
      <w:tr>
        <w:trPr>
          <w:trHeight w:val="291"/>
        </w:trPr>
        <w:tc>
          <w:tcPr>
            <w:tcW w:w="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/s/ Lance Mitchell</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and Chief Executive Officer; Director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Lance Mitchell</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567"/>
        </w:trPr>
        <w:tc>
          <w:tcPr>
            <w:tcW w:w="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/s/ Michael Graham</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Chief Financial Officer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Michael Graham</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41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/s/ David Watson</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140" w:type="dxa"/>
            <w:vAlign w:val="bottom"/>
            <w:vMerge w:val="restart"/>
          </w:tcPr>
          <w:p>
            <w:pPr>
              <w:jc w:val="center"/>
              <w:ind w:left="870"/>
              <w:spacing w:after="0"/>
              <w:rPr>
                <w:sz w:val="20"/>
                <w:szCs w:val="20"/>
                <w:color w:val="auto"/>
              </w:rPr>
            </w:pPr>
            <w:r>
              <w:rPr>
                <w:rFonts w:ascii="Times New Roman" w:cs="Times New Roman" w:eastAsia="Times New Roman" w:hAnsi="Times New Roman"/>
                <w:sz w:val="18"/>
                <w:szCs w:val="18"/>
                <w:color w:val="auto"/>
                <w:w w:val="98"/>
              </w:rPr>
              <w:t>David Watson</w:t>
            </w: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14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04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State of Delaware, on the 23rd day of May, 2022.</w:t>
      </w:r>
    </w:p>
    <w:p>
      <w:pPr>
        <w:spacing w:after="0" w:line="1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REYNOLDS CONSUMER PRODUCTS HOLDINGS LLC</w:t>
      </w:r>
    </w:p>
    <w:p>
      <w:pPr>
        <w:spacing w:after="0" w:line="200" w:lineRule="exact"/>
        <w:rPr>
          <w:sz w:val="20"/>
          <w:szCs w:val="20"/>
          <w:color w:val="auto"/>
        </w:rPr>
      </w:pPr>
    </w:p>
    <w:p>
      <w:pPr>
        <w:spacing w:after="0" w:line="241" w:lineRule="exact"/>
        <w:rPr>
          <w:sz w:val="20"/>
          <w:szCs w:val="20"/>
          <w:color w:val="auto"/>
        </w:rPr>
      </w:pPr>
    </w:p>
    <w:p>
      <w:pPr>
        <w:ind w:left="6740"/>
        <w:spacing w:after="0"/>
        <w:tabs>
          <w:tab w:leader="none" w:pos="7280" w:val="left"/>
        </w:tabs>
        <w:rPr>
          <w:sz w:val="20"/>
          <w:szCs w:val="20"/>
          <w:color w:val="auto"/>
        </w:rPr>
      </w:pPr>
      <w:r>
        <w:rPr>
          <w:rFonts w:ascii="Times New Roman" w:cs="Times New Roman" w:eastAsia="Times New Roman" w:hAnsi="Times New Roman"/>
          <w:sz w:val="18"/>
          <w:szCs w:val="18"/>
          <w:color w:val="auto"/>
        </w:rPr>
        <w:t>By:</w:t>
        <w:tab/>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17145</wp:posOffset>
            </wp:positionV>
            <wp:extent cx="25031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Name: Lance Mitchell</w:t>
      </w:r>
    </w:p>
    <w:p>
      <w:pPr>
        <w:spacing w:after="0" w:line="23" w:lineRule="exact"/>
        <w:rPr>
          <w:sz w:val="20"/>
          <w:szCs w:val="20"/>
          <w:color w:val="auto"/>
        </w:rPr>
      </w:pPr>
    </w:p>
    <w:p>
      <w:pPr>
        <w:ind w:left="7300"/>
        <w:spacing w:after="0"/>
        <w:tabs>
          <w:tab w:leader="none" w:pos="7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Lance Mitchell, Michael Graham and David Watson,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or substitutes may lawfully do or cause to be done by virtue hereof.</w:t>
      </w:r>
    </w:p>
    <w:p>
      <w:pPr>
        <w:spacing w:after="0" w:line="3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8"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on the 23rd day of May,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1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0" w:type="dxa"/>
            <w:vAlign w:val="bottom"/>
          </w:tcPr>
          <w:p>
            <w:pPr>
              <w:spacing w:after="0"/>
              <w:rPr>
                <w:sz w:val="1"/>
                <w:szCs w:val="1"/>
                <w:color w:val="auto"/>
              </w:rPr>
            </w:pPr>
          </w:p>
        </w:tc>
      </w:tr>
      <w:tr>
        <w:trPr>
          <w:trHeight w:val="291"/>
        </w:trPr>
        <w:tc>
          <w:tcPr>
            <w:tcW w:w="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/s/ Lance Mitchell</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and Chief Executive Officer; Director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Lance Mitchell</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567"/>
        </w:trPr>
        <w:tc>
          <w:tcPr>
            <w:tcW w:w="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/s/ Michael Graham</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Chief Financial Officer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Michael Graham</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41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/s/ David Watson</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140" w:type="dxa"/>
            <w:vAlign w:val="bottom"/>
            <w:vMerge w:val="restart"/>
          </w:tcPr>
          <w:p>
            <w:pPr>
              <w:jc w:val="center"/>
              <w:ind w:left="870"/>
              <w:spacing w:after="0"/>
              <w:rPr>
                <w:sz w:val="20"/>
                <w:szCs w:val="20"/>
                <w:color w:val="auto"/>
              </w:rPr>
            </w:pPr>
            <w:r>
              <w:rPr>
                <w:rFonts w:ascii="Times New Roman" w:cs="Times New Roman" w:eastAsia="Times New Roman" w:hAnsi="Times New Roman"/>
                <w:sz w:val="18"/>
                <w:szCs w:val="18"/>
                <w:color w:val="auto"/>
                <w:w w:val="98"/>
              </w:rPr>
              <w:t>David Watson</w:t>
            </w: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14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04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State of Delaware, on the 23rd day of May, 2022.</w:t>
      </w:r>
    </w:p>
    <w:p>
      <w:pPr>
        <w:spacing w:after="0" w:line="1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REYNOLDS CONSUMER PRODUCTS LLC</w:t>
      </w:r>
    </w:p>
    <w:p>
      <w:pPr>
        <w:spacing w:after="0" w:line="200" w:lineRule="exact"/>
        <w:rPr>
          <w:sz w:val="20"/>
          <w:szCs w:val="20"/>
          <w:color w:val="auto"/>
        </w:rPr>
      </w:pPr>
    </w:p>
    <w:p>
      <w:pPr>
        <w:spacing w:after="0" w:line="241" w:lineRule="exact"/>
        <w:rPr>
          <w:sz w:val="20"/>
          <w:szCs w:val="20"/>
          <w:color w:val="auto"/>
        </w:rPr>
      </w:pPr>
    </w:p>
    <w:p>
      <w:pPr>
        <w:ind w:left="6740"/>
        <w:spacing w:after="0"/>
        <w:tabs>
          <w:tab w:leader="none" w:pos="7280" w:val="left"/>
        </w:tabs>
        <w:rPr>
          <w:sz w:val="20"/>
          <w:szCs w:val="20"/>
          <w:color w:val="auto"/>
        </w:rPr>
      </w:pPr>
      <w:r>
        <w:rPr>
          <w:rFonts w:ascii="Times New Roman" w:cs="Times New Roman" w:eastAsia="Times New Roman" w:hAnsi="Times New Roman"/>
          <w:sz w:val="18"/>
          <w:szCs w:val="18"/>
          <w:color w:val="auto"/>
        </w:rPr>
        <w:t>By:</w:t>
        <w:tab/>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17145</wp:posOffset>
            </wp:positionV>
            <wp:extent cx="25031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Name: Lance Mitchell</w:t>
      </w:r>
    </w:p>
    <w:p>
      <w:pPr>
        <w:spacing w:after="0" w:line="23" w:lineRule="exact"/>
        <w:rPr>
          <w:sz w:val="20"/>
          <w:szCs w:val="20"/>
          <w:color w:val="auto"/>
        </w:rPr>
      </w:pPr>
    </w:p>
    <w:p>
      <w:pPr>
        <w:ind w:left="7300"/>
        <w:spacing w:after="0"/>
        <w:tabs>
          <w:tab w:leader="none" w:pos="7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Lance Mitchell, Michael Graham and David Watson,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or substitutes may lawfully do or cause to be done by virtue hereof.</w:t>
      </w:r>
    </w:p>
    <w:p>
      <w:pPr>
        <w:spacing w:after="0" w:line="188"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on the 23rd day of May,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Lance Mitchell</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and Chief Executive Officer; Director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Lance Mitchell</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Graham</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Chief Financial Officer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Graham</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David Watson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David Watson</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1"/>
        </w:trPr>
        <w:tc>
          <w:tcPr>
            <w:tcW w:w="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II-8</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State of Delaware, on the 23rd day of May, 2022.</w:t>
      </w:r>
    </w:p>
    <w:p>
      <w:pPr>
        <w:spacing w:after="0" w:line="1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REYNOLDS INTERNATIONAL SERVICES LLC</w:t>
      </w:r>
    </w:p>
    <w:p>
      <w:pPr>
        <w:spacing w:after="0" w:line="200" w:lineRule="exact"/>
        <w:rPr>
          <w:sz w:val="20"/>
          <w:szCs w:val="20"/>
          <w:color w:val="auto"/>
        </w:rPr>
      </w:pPr>
    </w:p>
    <w:p>
      <w:pPr>
        <w:spacing w:after="0" w:line="241" w:lineRule="exact"/>
        <w:rPr>
          <w:sz w:val="20"/>
          <w:szCs w:val="20"/>
          <w:color w:val="auto"/>
        </w:rPr>
      </w:pPr>
    </w:p>
    <w:p>
      <w:pPr>
        <w:ind w:left="6740"/>
        <w:spacing w:after="0"/>
        <w:tabs>
          <w:tab w:leader="none" w:pos="7280" w:val="left"/>
        </w:tabs>
        <w:rPr>
          <w:sz w:val="20"/>
          <w:szCs w:val="20"/>
          <w:color w:val="auto"/>
        </w:rPr>
      </w:pPr>
      <w:r>
        <w:rPr>
          <w:rFonts w:ascii="Times New Roman" w:cs="Times New Roman" w:eastAsia="Times New Roman" w:hAnsi="Times New Roman"/>
          <w:sz w:val="18"/>
          <w:szCs w:val="18"/>
          <w:color w:val="auto"/>
        </w:rPr>
        <w:t>By:</w:t>
        <w:tab/>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17145</wp:posOffset>
            </wp:positionV>
            <wp:extent cx="25031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Name: Lance Mitchell</w:t>
      </w:r>
    </w:p>
    <w:p>
      <w:pPr>
        <w:spacing w:after="0" w:line="23" w:lineRule="exact"/>
        <w:rPr>
          <w:sz w:val="20"/>
          <w:szCs w:val="20"/>
          <w:color w:val="auto"/>
        </w:rPr>
      </w:pPr>
    </w:p>
    <w:p>
      <w:pPr>
        <w:ind w:left="7300"/>
        <w:spacing w:after="0"/>
        <w:tabs>
          <w:tab w:leader="none" w:pos="7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Lance Mitchell, Michael Graham and David Watson,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or substitutes may lawfully do or cause to be done by virtue hereof.</w:t>
      </w:r>
    </w:p>
    <w:p>
      <w:pPr>
        <w:spacing w:after="0" w:line="188"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on the 23rd day of May,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1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0" w:type="dxa"/>
            <w:vAlign w:val="bottom"/>
          </w:tcPr>
          <w:p>
            <w:pPr>
              <w:spacing w:after="0"/>
              <w:rPr>
                <w:sz w:val="1"/>
                <w:szCs w:val="1"/>
                <w:color w:val="auto"/>
              </w:rPr>
            </w:pPr>
          </w:p>
        </w:tc>
      </w:tr>
      <w:tr>
        <w:trPr>
          <w:trHeight w:val="290"/>
        </w:trPr>
        <w:tc>
          <w:tcPr>
            <w:tcW w:w="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/s/ Lance Mitchell</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and Chief Executive Officer; Director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Lance Mitchell</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567"/>
        </w:trPr>
        <w:tc>
          <w:tcPr>
            <w:tcW w:w="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/s/ Michael Graham</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Chief Financial Officer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Michael Graham</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41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/s/ David Watson</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140" w:type="dxa"/>
            <w:vAlign w:val="bottom"/>
            <w:vMerge w:val="restart"/>
          </w:tcPr>
          <w:p>
            <w:pPr>
              <w:jc w:val="center"/>
              <w:ind w:left="870"/>
              <w:spacing w:after="0"/>
              <w:rPr>
                <w:sz w:val="20"/>
                <w:szCs w:val="20"/>
                <w:color w:val="auto"/>
              </w:rPr>
            </w:pPr>
            <w:r>
              <w:rPr>
                <w:rFonts w:ascii="Times New Roman" w:cs="Times New Roman" w:eastAsia="Times New Roman" w:hAnsi="Times New Roman"/>
                <w:sz w:val="18"/>
                <w:szCs w:val="18"/>
                <w:color w:val="auto"/>
                <w:w w:val="98"/>
              </w:rPr>
              <w:t>David Watson</w:t>
            </w: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14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04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State of Delaware, on the 23rd day of May, 2022.</w:t>
      </w:r>
    </w:p>
    <w:p>
      <w:pPr>
        <w:spacing w:after="0" w:line="1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REYNOLDS MANUFACTURING, INC.</w:t>
      </w:r>
    </w:p>
    <w:p>
      <w:pPr>
        <w:spacing w:after="0" w:line="200" w:lineRule="exact"/>
        <w:rPr>
          <w:sz w:val="20"/>
          <w:szCs w:val="20"/>
          <w:color w:val="auto"/>
        </w:rPr>
      </w:pPr>
    </w:p>
    <w:p>
      <w:pPr>
        <w:spacing w:after="0" w:line="241" w:lineRule="exact"/>
        <w:rPr>
          <w:sz w:val="20"/>
          <w:szCs w:val="20"/>
          <w:color w:val="auto"/>
        </w:rPr>
      </w:pPr>
    </w:p>
    <w:p>
      <w:pPr>
        <w:ind w:left="6740"/>
        <w:spacing w:after="0"/>
        <w:tabs>
          <w:tab w:leader="none" w:pos="7280" w:val="left"/>
        </w:tabs>
        <w:rPr>
          <w:sz w:val="20"/>
          <w:szCs w:val="20"/>
          <w:color w:val="auto"/>
        </w:rPr>
      </w:pPr>
      <w:r>
        <w:rPr>
          <w:rFonts w:ascii="Times New Roman" w:cs="Times New Roman" w:eastAsia="Times New Roman" w:hAnsi="Times New Roman"/>
          <w:sz w:val="18"/>
          <w:szCs w:val="18"/>
          <w:color w:val="auto"/>
        </w:rPr>
        <w:t>By:</w:t>
        <w:tab/>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17145</wp:posOffset>
            </wp:positionV>
            <wp:extent cx="25031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Name: Lance Mitchell</w:t>
      </w:r>
    </w:p>
    <w:p>
      <w:pPr>
        <w:spacing w:after="0" w:line="23" w:lineRule="exact"/>
        <w:rPr>
          <w:sz w:val="20"/>
          <w:szCs w:val="20"/>
          <w:color w:val="auto"/>
        </w:rPr>
      </w:pPr>
    </w:p>
    <w:p>
      <w:pPr>
        <w:ind w:left="7300"/>
        <w:spacing w:after="0"/>
        <w:tabs>
          <w:tab w:leader="none" w:pos="7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Lance Mitchell, Michael Graham and David Watson,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or substitutes may lawfully do or cause to be done by virtue hereof.</w:t>
      </w:r>
    </w:p>
    <w:p>
      <w:pPr>
        <w:spacing w:after="0" w:line="188"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on the 23rd day of May,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0" w:type="dxa"/>
            <w:vAlign w:val="bottom"/>
          </w:tcPr>
          <w:p>
            <w:pPr>
              <w:spacing w:after="0"/>
              <w:rPr>
                <w:sz w:val="1"/>
                <w:szCs w:val="1"/>
                <w:color w:val="auto"/>
              </w:rPr>
            </w:pPr>
          </w:p>
        </w:tc>
      </w:tr>
      <w:tr>
        <w:trPr>
          <w:trHeight w:val="291"/>
        </w:trPr>
        <w:tc>
          <w:tcPr>
            <w:tcW w:w="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Lance Mitchell</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and Chief Executive Officer; Director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Lance Mitchell</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567"/>
        </w:trPr>
        <w:tc>
          <w:tcPr>
            <w:tcW w:w="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Graham</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Chief Financial Officer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Graham</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David Watson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David Watson</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Exhibits 4.1 and 4.2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Dated as of __________,__________</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xml:space="preserve">REYNOLDS CONSUMER PRODUCTS INC., </w:t>
      </w:r>
      <w:r>
        <w:rPr>
          <w:rFonts w:ascii="Times New Roman" w:cs="Times New Roman" w:eastAsia="Times New Roman" w:hAnsi="Times New Roman"/>
          <w:sz w:val="18"/>
          <w:szCs w:val="18"/>
          <w:i w:val="1"/>
          <w:iCs w:val="1"/>
          <w:color w:val="auto"/>
        </w:rPr>
        <w:t>as Issuer</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GUARANTORS NAMED HEREIN,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 xml:space="preserve">WILMINGTON TRUST, NATIONAL ASSOCIATION, </w:t>
      </w:r>
      <w:r>
        <w:rPr>
          <w:rFonts w:ascii="Times New Roman" w:cs="Times New Roman" w:eastAsia="Times New Roman" w:hAnsi="Times New Roman"/>
          <w:sz w:val="18"/>
          <w:szCs w:val="18"/>
          <w:i w:val="1"/>
          <w:i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928370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774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1"/>
        </w:trPr>
        <w:tc>
          <w:tcPr>
            <w:tcW w:w="98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7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5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RECITALS</w:t>
            </w:r>
          </w:p>
        </w:tc>
        <w:tc>
          <w:tcPr>
            <w:tcW w:w="774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OTHER PROVISIONS OF GENERAL APPLICATION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Compliance Certificates and Opinions.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103.  Form of Documents Delivered to Trustee.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 Acts of Holders; Record Dates.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105.  Notices, Etc., to Trustee, Company and Guarantors.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106.  Notice to Holders; Waiver.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107.  Conflict with Trust Indenture Act.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108.  Effect of Headings and Table of Contents.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109.  Successors and Assigns.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Separability Clause.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111.  Benefits of Indenture.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Holidays.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114.  No Recourse Against Others.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115.  Waiver of Jury Trial.</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116.  USA PATRIOT Act.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117.</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 Originals.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SECURITY FORMS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Forms Generally.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Form of Legend for Global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Form of Trustee’s Certificate of Authentication.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THE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Amount Unlimited; Issuable in Series.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Denominations.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Execution, Authentication, Delivery and Dating.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Temporary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305.  Registration, Registration of Transfer and Exchange.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306.  Mutilated, Destroyed, Lost and Stolen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307.  Payment of Interest; Interest Rights Preserved.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308.  Persons Deemed Owners.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310.  Computation of Interest.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CUSIP Numbers.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Original Issue Discount.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ARTICLE IV SATISFACTION AND DISCHARGE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401.  Satisfaction and Discharge of Indenture.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402. Application of Trust Money.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ARTICLE V REMEDIES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501.  Events of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502. Acceleration of Maturity; Rescission and Annulment.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503.  Collection of Indebtedness and Suits for Enforcement by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504.  Trustee May File Proofs of Claim.</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505.  Trustee May Enforce Claims Without Possession of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506. Application of Money Collected.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507.  Limitation on Suits.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508.  Unconditional Right of Holders to Receive Principal, Premium and Interest and to Convert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509.  Rights and Remedies Cumulative.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510.  Delay or Omission Not Waiver.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511.  Control by 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512.  Waiver of Past Defaults.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513.  Undertaking for Costs.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514.  Waiver of Usury, Stay or Extension Laws.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515.  Restoration of Rights and Remedies.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2"/>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ARTICLE VI THE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601.  Certain Duties and Responsibilities of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602.  Notice of Defaults.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603.  Certain Rights of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604.  Not Responsible for Recitals or Issuance of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605.  May Hold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606.  Money Held in Trust.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607.  Compensation and Reimbursement.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608.  Conflicting Interests.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609.  Corporate Trustee Required; Eligibility.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610.  Resignation and Removal; Appointment of Successor.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611. Acceptance of Appointment by Successor.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612.  Merger, Conversion, Consolidation or Succession to Business.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613.  Preferential Collection of Claims Against Company.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ARTICLE VII HOLDERS’ LISTS AND REPORTS BY THE TRUSTEE AND THE COMPANY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701.  Company to Furnish Trustee Names and Addresses of 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702.  Preservation of Information; Communications to 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703.  Reports by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Section 704.  Reports by the Company.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CONSOLIDATION, MERGER AND SALE OF ASSETS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801.  Company May Merge or Transfer Assets on Certain Terms.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802.  Successor Person Substituted.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ARTICLE IX SUPPLEMENTAL INDENTURES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1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901.  Supplemental Indentures Without Consent of 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902.  Supplemental Indentures With Consent of 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903.  Execution of Supplemental Indentures.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904.  Effect of Supplemental Indentures.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905.  Conformity with Trust Indenture Act.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906.  Reference in Securities to Supplemental Indentures.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2"/>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ARTICLE X COVENANTS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1001.  Payment of Principal, Premium, if any, and Interest.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1002.  Maintenance of Office or Agency.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1003.  Money for Securities Payments to Be Held in Trust.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1004.  Statement by Officers as to Default.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1005.  Waiver of Certain Covenants.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32"/>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ARTICLE XI REDEMPTION OF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1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1101. Applicability of Article.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1102.  Election to Redeem; Notice to Trustee.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1103.  Selection by Trustee of Securities to Be Redeemed.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1104.  Notice of Redemption.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1105.  Deposit of Redemption Price.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1106.  Securities Payable on Redemption Date.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1107.  Securities Redeemed in Part.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32"/>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ARTICLE XII SINKING FUNDS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1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1201. Applicability of Article.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1202.  Satisfaction of Sinking Fund Payments with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1203.  Redemption of Securities for Sinking Fund.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ARTICLE XIII DEFEASANCE AND COVENANT DEFEASANCE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1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1301.  Company’s Option to Effect Defeasance or Covenant Defeasance.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1302.  Defeasance and Discharge.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1303.  Covenant Defeasance.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1304.  Conditions to Defeasance or Covenant Defeasance.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8"/>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1305.  Deposited Money and U.S. Government Obligations to Be Held in Trust; Miscellaneous Provisions</w:t>
            </w:r>
            <w:r>
              <w:rPr>
                <w:rFonts w:ascii="Times New Roman" w:cs="Times New Roman" w:eastAsia="Times New Roman" w:hAnsi="Times New Roman"/>
                <w:sz w:val="18"/>
                <w:szCs w:val="18"/>
                <w:i w:val="1"/>
                <w:i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1306.  Reinstatement.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GUARANTEE OF SECURITIES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1401.</w:t>
            </w:r>
          </w:p>
        </w:tc>
        <w:tc>
          <w:tcPr>
            <w:tcW w:w="8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Unconditional Guarantee.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1402.  Execution and Delivery of Guarantee.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1403.</w:t>
            </w:r>
          </w:p>
        </w:tc>
        <w:tc>
          <w:tcPr>
            <w:tcW w:w="8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Future Guarantors.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1404.  Release of a Guarantor.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1405.  Waiver of Subrogation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1406.  Reliance on Judicial Order or Certificate of Liquidating Agent Regarding Dissolution, Etc. of Guarantors.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1407.  Limitation of Guarantor’s Liability.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1408.</w:t>
            </w:r>
          </w:p>
        </w:tc>
        <w:tc>
          <w:tcPr>
            <w:tcW w:w="8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Obligations Reinstated.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1409.</w:t>
            </w:r>
          </w:p>
        </w:tc>
        <w:tc>
          <w:tcPr>
            <w:tcW w:w="8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Obligation to Take Action Against the Company.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6" w:name="page47"/>
    <w:bookmarkEnd w:id="46"/>
    <w:p>
      <w:pPr>
        <w:ind w:right="220"/>
        <w:spacing w:after="0" w:line="266" w:lineRule="auto"/>
        <w:rPr>
          <w:sz w:val="20"/>
          <w:szCs w:val="20"/>
          <w:color w:val="auto"/>
        </w:rPr>
      </w:pPr>
      <w:r>
        <w:rPr>
          <w:rFonts w:ascii="Times New Roman" w:cs="Times New Roman" w:eastAsia="Times New Roman" w:hAnsi="Times New Roman"/>
          <w:sz w:val="18"/>
          <w:szCs w:val="18"/>
          <w:color w:val="auto"/>
        </w:rPr>
        <w:t>INDENTURE, dated as of , between Reynolds Consumer Products Inc., a corporation duly organized and existing under the laws of Delaware (herein called the “Company”), the Guarantors referred to below and Wilmington Trust, National Association, a national banking association, as Trustee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Indenture to provide for the issuance of debentures, notes, bonds or other evidences of indebtedness (herein called the “Securities”) in an unlimited aggregate principal amount to be issued from time to time in one or more series as provided in this Indenture, and the Guarantors named herein have duly authorized the execution and delivery of this Indenture to provide for the issuance from time to time of guarantees of the Securities and the Company’s obligations under this Indenture.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things necessary to make this Indenture a valid agreement of the Company and Guarantors, in accordance with its terms, have been done.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agreed, for the equal and proportionate benefit of all Holders of the Securities or of any series thereof, as follows: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DEFINITIONS AND OTHER PROVISIONS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GENERAL APPLICATION</w:t>
      </w:r>
    </w:p>
    <w:p>
      <w:pPr>
        <w:spacing w:after="0" w:line="20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left="800" w:hanging="441"/>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I have the meanings assigned to them in this Article I and include the plural as well as the singular;</w:t>
      </w:r>
    </w:p>
    <w:p>
      <w:pPr>
        <w:spacing w:after="0" w:line="225" w:lineRule="exact"/>
        <w:rPr>
          <w:rFonts w:ascii="Times New Roman" w:cs="Times New Roman" w:eastAsia="Times New Roman" w:hAnsi="Times New Roman"/>
          <w:sz w:val="18"/>
          <w:szCs w:val="18"/>
          <w:color w:val="auto"/>
        </w:rPr>
      </w:pPr>
    </w:p>
    <w:p>
      <w:pPr>
        <w:ind w:left="800" w:right="200" w:hanging="441"/>
        <w:spacing w:after="0" w:line="28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which are defined in the Trust Indenture Act, either directly or by reference therein, have the meanings assigned to them therein;</w:t>
      </w:r>
    </w:p>
    <w:p>
      <w:pPr>
        <w:spacing w:after="0" w:line="161"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herein have the meanings assigned to them in accordance with GAAP;</w:t>
      </w:r>
    </w:p>
    <w:p>
      <w:pPr>
        <w:spacing w:after="0" w:line="225" w:lineRule="exact"/>
        <w:rPr>
          <w:rFonts w:ascii="Times New Roman" w:cs="Times New Roman" w:eastAsia="Times New Roman" w:hAnsi="Times New Roman"/>
          <w:sz w:val="18"/>
          <w:szCs w:val="18"/>
          <w:color w:val="auto"/>
        </w:rPr>
      </w:pPr>
    </w:p>
    <w:p>
      <w:pPr>
        <w:ind w:left="800" w:right="220" w:hanging="441"/>
        <w:spacing w:after="0" w:line="28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any reference to an “Article” or a “Section” refers to an Article or a Section, as the case may be, of this Indenture;</w:t>
      </w:r>
    </w:p>
    <w:p>
      <w:pPr>
        <w:spacing w:after="0" w:line="161" w:lineRule="exact"/>
        <w:rPr>
          <w:rFonts w:ascii="Times New Roman" w:cs="Times New Roman" w:eastAsia="Times New Roman" w:hAnsi="Times New Roman"/>
          <w:sz w:val="18"/>
          <w:szCs w:val="18"/>
          <w:color w:val="auto"/>
        </w:rPr>
      </w:pPr>
    </w:p>
    <w:p>
      <w:pPr>
        <w:ind w:left="800" w:right="420" w:hanging="441"/>
        <w:spacing w:after="0" w:line="28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7" w:name="page48"/>
    <w:bookmarkEnd w:id="47"/>
    <w:p>
      <w:pPr>
        <w:ind w:left="800" w:hanging="441"/>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225" w:lineRule="exact"/>
        <w:rPr>
          <w:rFonts w:ascii="Times New Roman" w:cs="Times New Roman" w:eastAsia="Times New Roman" w:hAnsi="Times New Roman"/>
          <w:sz w:val="18"/>
          <w:szCs w:val="18"/>
          <w:color w:val="auto"/>
        </w:rPr>
      </w:pPr>
    </w:p>
    <w:p>
      <w:pPr>
        <w:jc w:val="both"/>
        <w:ind w:left="800" w:right="40" w:hanging="441"/>
        <w:spacing w:after="0" w:line="276" w:lineRule="auto"/>
        <w:tabs>
          <w:tab w:leader="none" w:pos="8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used with respect to any Security, the words “convert,” “converted” and “conversion” are intended to refer to the right of the Holder or the Company to convert or exchange such Security into or for securities or other property in accordance with such terms, if any, as may hereafter be</w:t>
      </w:r>
    </w:p>
    <w:p>
      <w:pPr>
        <w:ind w:left="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specified for such Security as contemplated by Section‎ 301, and these words are not intended to refer to any right of the Holder or the Company</w:t>
      </w:r>
    </w:p>
    <w:p>
      <w:pPr>
        <w:spacing w:after="0" w:line="9" w:lineRule="exact"/>
        <w:rPr>
          <w:rFonts w:ascii="Times New Roman" w:cs="Times New Roman" w:eastAsia="Times New Roman" w:hAnsi="Times New Roman"/>
          <w:sz w:val="17"/>
          <w:szCs w:val="17"/>
          <w:color w:val="auto"/>
        </w:rPr>
      </w:pPr>
    </w:p>
    <w:p>
      <w:pPr>
        <w:ind w:left="800" w:right="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exchange such Security for other Securities of the same series and like tenor pursuant to Section‎ 304, 305,‎ 306,‎ 906‎ or 1107‎ or another similar provisions of this Indenture, unless the context otherwise requires; and references herein to the terms of any Security that may be converted</w:t>
      </w:r>
    </w:p>
    <w:p>
      <w:pPr>
        <w:ind w:left="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mean such terms as may be specified for such Security as contemplated in Section‎ 301;</w:t>
      </w:r>
    </w:p>
    <w:p>
      <w:pPr>
        <w:spacing w:after="0" w:line="206" w:lineRule="exact"/>
        <w:rPr>
          <w:rFonts w:ascii="Times New Roman" w:cs="Times New Roman" w:eastAsia="Times New Roman" w:hAnsi="Times New Roman"/>
          <w:sz w:val="17"/>
          <w:szCs w:val="17"/>
          <w:color w:val="auto"/>
        </w:rPr>
      </w:pPr>
    </w:p>
    <w:p>
      <w:pPr>
        <w:ind w:left="800" w:right="180" w:hanging="441"/>
        <w:spacing w:after="0" w:line="266"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references to agreements and other instruments shall be deemed to include all amendments and other modifications to such agreements and instruments, but only to the extent such amendments and other modifications are not prohibited by the terms of this Indenture; and</w:t>
      </w:r>
    </w:p>
    <w:p>
      <w:pPr>
        <w:spacing w:after="0" w:line="175"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references herein to Guarantors and Guarantees are only applicable to the extent that there are guarantors of any series of Securities issued</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contemplated in Section‎ 301.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when used with respect to any Holder, has the meaning specified in Section‎ 104.</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applied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such Person, whether through the ownership of voting securities, by contract or otherwise.</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Procedures</w:t>
      </w:r>
      <w:r>
        <w:rPr>
          <w:rFonts w:ascii="Times New Roman" w:cs="Times New Roman" w:eastAsia="Times New Roman" w:hAnsi="Times New Roman"/>
          <w:sz w:val="18"/>
          <w:szCs w:val="18"/>
          <w:color w:val="auto"/>
        </w:rPr>
        <w:t>” means, with respect to a Depositary, as to any matter at any time, the policies and procedures of such Depositary, if any, that are applicable to such matter at such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Resolution</w:t>
      </w:r>
      <w:r>
        <w:rPr>
          <w:rFonts w:ascii="Times New Roman" w:cs="Times New Roman" w:eastAsia="Times New Roman" w:hAnsi="Times New Roman"/>
          <w:sz w:val="18"/>
          <w:szCs w:val="18"/>
          <w:color w:val="auto"/>
        </w:rPr>
        <w:t>” means a copy of one or more resolutions certified by the Secretary or an Assistant Secretary of the Company to have been duly adopted by the Board of Directors and to be in full force and effect on the date of such certification and delivered to the Trustee.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when used with respect to any Place of Payment, unless otherwise specified as contemplated by Section‎ 301, any day, other than a Saturday or Sunday, which is not a day on which banking institutions are authorized or obligated by law or executive order to close in that Place of Payment and in New York, New York.</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ind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the Person named as the “Company” in the first paragraph of this Indenture until a successor Person shall have become such pursuant to the applicable provisions of this Indenture, and thereafter “Company” shall mean such successor Person.</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Request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Company Order</w:t>
      </w:r>
      <w:r>
        <w:rPr>
          <w:rFonts w:ascii="Times New Roman" w:cs="Times New Roman" w:eastAsia="Times New Roman" w:hAnsi="Times New Roman"/>
          <w:sz w:val="18"/>
          <w:szCs w:val="18"/>
          <w:color w:val="auto"/>
        </w:rPr>
        <w:t>” means a written request or order signed in the name of the Company by an Officer of the Company (or any Person designated in writing as authorized to execute and deliver Company Requests and Company Orders), and delivered to the Trustee.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the principal office of the Trustee at which, at any particular time, its corporate trust business relating to this Indenture shall be conducted (which office is located as of the date of this Indenture at Global Capital Markets, 50 South Sixth Street, Suite 1290, Minneapolis, Minnesota 55402, Attention Reynolds Consumer Products, Inc., Administrator, or at any other time at such other address as the Trustee may designate from time to time by notice to the Company and the 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has the meaning specified in Section‎ 1303.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has the meaning specified in Section‎ 307.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Defeasance</w:t>
      </w:r>
      <w:r>
        <w:rPr>
          <w:rFonts w:ascii="Times New Roman" w:cs="Times New Roman" w:eastAsia="Times New Roman" w:hAnsi="Times New Roman"/>
          <w:sz w:val="18"/>
          <w:szCs w:val="18"/>
          <w:color w:val="auto"/>
        </w:rPr>
        <w:t>” has the meaning specified in Section‎ 1302.</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and any statute successor thereto, in each case as amended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has the meaning specified in Section‎ 104.</w:t>
      </w:r>
    </w:p>
    <w:p>
      <w:pPr>
        <w:spacing w:after="0" w:line="22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in effect and applicable to the accounting period in respect of which reference to GAAP is made.</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Security</w:t>
      </w:r>
      <w:r>
        <w:rPr>
          <w:rFonts w:ascii="Times New Roman" w:cs="Times New Roman" w:eastAsia="Times New Roman" w:hAnsi="Times New Roman"/>
          <w:sz w:val="18"/>
          <w:szCs w:val="18"/>
          <w:color w:val="auto"/>
        </w:rPr>
        <w:t>” means a Security that evidences all or part of the Securities of any series and bears the legend set forth in ‎Section 202 (or such legend as may be specified as contemplated by ‎Section 301 for such Securities).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the Guarantee made by each of the Guarantors as set forth in Article XIV hereof.</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(i) each of the Persons listed on Schedule I attached hereto and (ii) each Person who becomes a Guarantor hereunder upon the execution of a supplemental indenture hereto, substantially in the form of Schedule II attached hereto, pursuant to Section 1403, subject, however, in each case to the provisions of Section 1404.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Person in whose name a Security is registered in the Security Register.</w:t>
      </w:r>
    </w:p>
    <w:p>
      <w:pPr>
        <w:spacing w:after="0" w:line="225" w:lineRule="exact"/>
        <w:rPr>
          <w:sz w:val="20"/>
          <w:szCs w:val="20"/>
          <w:color w:val="auto"/>
        </w:rPr>
      </w:pPr>
    </w:p>
    <w:p>
      <w:pPr>
        <w:jc w:val="both"/>
        <w:ind w:right="52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 means this Indenture as originally executed and as it may from time to time be supplemented or amended by one or more supplemental indentures hereto entered into pursuant to the applicable provisions hereof, including, for all purposes of this Indenture and any such supplemental indenture, the provisions of the Trust Indenture Act that are deemed to be a part of and govern this Indenture and any such supplemental indenture, respectively. The term “Indenture” shall also include the terms of particular series of Securities established as contemplated by ‎Section 301.</w:t>
      </w:r>
    </w:p>
    <w:p>
      <w:pPr>
        <w:spacing w:after="0" w:line="1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means, when used with respect to an Original Issue Discount Security which by its terms bears interest only after Maturity, interest payable after Maturity.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when used with respect to any Security, the Stated Maturity of an installment of interest on such 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U.S. Internal Revenue Code of 1986, as amended from time to time.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w:t>
      </w:r>
      <w:r>
        <w:rPr>
          <w:rFonts w:ascii="Times New Roman" w:cs="Times New Roman" w:eastAsia="Times New Roman" w:hAnsi="Times New Roman"/>
          <w:sz w:val="18"/>
          <w:szCs w:val="18"/>
          <w:color w:val="auto"/>
        </w:rPr>
        <w:t>” means, when used with respect to any Security, the date on which the principal of such Security or an installment of principal becomes due and payable as therein or herein provided, whether at the Stated Maturity or by declaration of acceleration, call for redemption or otherwise.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means a written notice of the kind specified in Section‎ 501.</w:t>
      </w:r>
    </w:p>
    <w:p>
      <w:pPr>
        <w:spacing w:after="0" w:line="225"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Officer</w:t>
      </w:r>
      <w:r>
        <w:rPr>
          <w:rFonts w:ascii="Times New Roman" w:cs="Times New Roman" w:eastAsia="Times New Roman" w:hAnsi="Times New Roman"/>
          <w:sz w:val="17"/>
          <w:szCs w:val="17"/>
          <w:color w:val="auto"/>
        </w:rPr>
        <w:t>” means, with respect to any Person, (1) the Chairman of the Board of Directors, the Chief Executive Officer, the President, the Chief Financial Officer, any Vice President, the Treasurer, any Assistant Treasurer, any Managing Director, the Secretary or any Assistant Secretary (a) of such Person or</w:t>
      </w:r>
    </w:p>
    <w:p>
      <w:pPr>
        <w:spacing w:after="0" w:line="1" w:lineRule="exact"/>
        <w:rPr>
          <w:sz w:val="20"/>
          <w:szCs w:val="20"/>
          <w:color w:val="auto"/>
        </w:rPr>
      </w:pPr>
    </w:p>
    <w:p>
      <w:pPr>
        <w:ind w:right="360" w:firstLine="8"/>
        <w:spacing w:after="0" w:line="260"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owned or managed by a single entity, of such entity, or (2) any other individual designated as an “Officer” for the purposes of the Indenture by the Board of Directors of such Person.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with respect to any Person, a certificate signed by one Officer of such Person.</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of counsel (who may be counsel for the Company) and who shall be reasonably acceptable to the Trustee. The counsel may be an employee of the Company. Opinions of Counsel required to be delivered under this Indenture may have qualifications customary for opinions of the type required and counsel delivering such</w:t>
      </w: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50" w:name="page51"/>
    <w:bookmarkEnd w:id="50"/>
    <w:p>
      <w:pPr>
        <w:ind w:right="300"/>
        <w:spacing w:after="0" w:line="282" w:lineRule="auto"/>
        <w:rPr>
          <w:sz w:val="20"/>
          <w:szCs w:val="20"/>
          <w:color w:val="auto"/>
        </w:rPr>
      </w:pPr>
      <w:r>
        <w:rPr>
          <w:rFonts w:ascii="Times New Roman" w:cs="Times New Roman" w:eastAsia="Times New Roman" w:hAnsi="Times New Roman"/>
          <w:sz w:val="18"/>
          <w:szCs w:val="18"/>
          <w:color w:val="auto"/>
        </w:rPr>
        <w:t>Opinions of Counsel may rely as to factual matters on certificates of the Company or governmental or other officials customary for opinions of the type required.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Discount Security</w:t>
      </w:r>
      <w:r>
        <w:rPr>
          <w:rFonts w:ascii="Times New Roman" w:cs="Times New Roman" w:eastAsia="Times New Roman" w:hAnsi="Times New Roman"/>
          <w:sz w:val="18"/>
          <w:szCs w:val="18"/>
          <w:color w:val="auto"/>
        </w:rPr>
        <w:t>” means any Security which provides for an amount less than the principal amount thereof to be due and payable upon a declaration of acceleration of the Maturity thereof pursuant to ‎Section 502.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w:t>
      </w:r>
      <w:r>
        <w:rPr>
          <w:rFonts w:ascii="Times New Roman" w:cs="Times New Roman" w:eastAsia="Times New Roman" w:hAnsi="Times New Roman"/>
          <w:sz w:val="18"/>
          <w:szCs w:val="18"/>
          <w:color w:val="auto"/>
        </w:rPr>
        <w:t>” means, when used with respect to Securities, as of the date of determination, all Securities theretofore authenticated and delivered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except:</w:t>
      </w:r>
    </w:p>
    <w:p>
      <w:pPr>
        <w:spacing w:after="0" w:line="207" w:lineRule="exact"/>
        <w:rPr>
          <w:sz w:val="20"/>
          <w:szCs w:val="20"/>
          <w:color w:val="auto"/>
        </w:rPr>
      </w:pPr>
    </w:p>
    <w:p>
      <w:pPr>
        <w:ind w:left="800" w:hanging="441"/>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cancelled by the Trustee or delivered to the Trustee for cancellation;</w:t>
      </w:r>
    </w:p>
    <w:p>
      <w:pPr>
        <w:spacing w:after="0" w:line="225" w:lineRule="exact"/>
        <w:rPr>
          <w:rFonts w:ascii="Times New Roman" w:cs="Times New Roman" w:eastAsia="Times New Roman" w:hAnsi="Times New Roman"/>
          <w:sz w:val="18"/>
          <w:szCs w:val="18"/>
          <w:color w:val="auto"/>
        </w:rPr>
      </w:pPr>
    </w:p>
    <w:p>
      <w:pPr>
        <w:ind w:left="800" w:right="60" w:hanging="441"/>
        <w:spacing w:after="0" w:line="261"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179"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as to which Defeasance has been effected pursuant to Section‎ 1302;</w:t>
      </w:r>
    </w:p>
    <w:p>
      <w:pPr>
        <w:spacing w:after="0" w:line="225" w:lineRule="exact"/>
        <w:rPr>
          <w:rFonts w:ascii="Times New Roman" w:cs="Times New Roman" w:eastAsia="Times New Roman" w:hAnsi="Times New Roman"/>
          <w:sz w:val="18"/>
          <w:szCs w:val="18"/>
          <w:color w:val="auto"/>
        </w:rPr>
      </w:pPr>
    </w:p>
    <w:p>
      <w:pPr>
        <w:ind w:left="800" w:right="20" w:hanging="441"/>
        <w:spacing w:after="0" w:line="266"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purchaser in whose hands such Securities are valid obligations of the Company; and</w:t>
      </w:r>
    </w:p>
    <w:p>
      <w:pPr>
        <w:spacing w:after="0" w:line="175"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as to which any property deliverable upon conversion thereof has been delivered (or such delivery has been made available), or as to</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any other particular conditions have been satisfied, in each case as may be provided for such Securities as contemplated in Section‎ 301;</w:t>
      </w:r>
    </w:p>
    <w:p>
      <w:pPr>
        <w:spacing w:after="0" w:line="20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determined as contemplated by Section‎ 301, (C) the principal amount of a Security denominated in one or more foreign currencies, composite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such other obligor shall be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1" w:name="page52"/>
    <w:bookmarkEnd w:id="51"/>
    <w:p>
      <w:pPr>
        <w:ind w:right="80"/>
        <w:spacing w:after="0" w:line="258" w:lineRule="auto"/>
        <w:rPr>
          <w:sz w:val="20"/>
          <w:szCs w:val="20"/>
          <w:color w:val="auto"/>
        </w:rPr>
      </w:pPr>
      <w:r>
        <w:rPr>
          <w:rFonts w:ascii="Times New Roman" w:cs="Times New Roman" w:eastAsia="Times New Roman" w:hAnsi="Times New Roman"/>
          <w:sz w:val="18"/>
          <w:szCs w:val="18"/>
          <w:color w:val="auto"/>
        </w:rPr>
        <w:t>disregarded and deemed not to be Outstanding, except that, in determining whether the Trustee shall be protected in relying upon any such request, demand, authorization, direction, notice, consent, waiver or other action, only Securities which a Responsible Officer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such other obligor.</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any Person authorized by the Company to pay the principal of or premium, if any, or interest on any Securities on behalf of the Company. The Company initially appoints the Trustee as the Paying Agent for any Securities issued pursuant to this Indenture.</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government or any agency or political subdivision thereof or any other entity.</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 of Payment</w:t>
      </w:r>
      <w:r>
        <w:rPr>
          <w:rFonts w:ascii="Times New Roman" w:cs="Times New Roman" w:eastAsia="Times New Roman" w:hAnsi="Times New Roman"/>
          <w:sz w:val="18"/>
          <w:szCs w:val="18"/>
          <w:color w:val="auto"/>
        </w:rPr>
        <w:t>” means, when used with respect to the Securities of any series, the place or places where the principal of and premium, if any, and interest on the Securities of such series are payable as specified as contemplated by ‎Section 301.</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Predecessor Security</w:t>
      </w:r>
      <w:r>
        <w:rPr>
          <w:rFonts w:ascii="Times New Roman" w:cs="Times New Roman" w:eastAsia="Times New Roman" w:hAnsi="Times New Roman"/>
          <w:sz w:val="18"/>
          <w:szCs w:val="18"/>
          <w:color w:val="auto"/>
        </w:rPr>
        <w:t>” means, with respect to any particular Security,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means, when used with respect to any Security to be redeemed, the date fixed for such redemption by or pursuant to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means, when used with respect to any Security to be redeemed, the price at which it is to be redeemed pursuant to this Indenture.</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means, for the interest payable on any Interest Payment Date on the Securities of any series, the date specified for that purpose as contemplated by ‎Section 301.</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Date</w:t>
      </w:r>
      <w:r>
        <w:rPr>
          <w:rFonts w:ascii="Times New Roman" w:cs="Times New Roman" w:eastAsia="Times New Roman" w:hAnsi="Times New Roman"/>
          <w:sz w:val="18"/>
          <w:szCs w:val="18"/>
          <w:color w:val="auto"/>
        </w:rPr>
        <w:t>” means, when used with respect to a Security to be repaid at the option of a Holder, the date fixed for such repayment by or pursuant to this Indenture.</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department of the Trustee with direct responsibility for the administration of this Indenture and also means, with respect to a particular corporate trust matter relating to this Indenture, any other officer to whom such matter is referred because of his or her knowledge of and familiarity with the particular subject and who, in each case, shall have direct responsibility for the administration of this Indenture.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has the meaning specified in the first recital of this Indenture and more particularly means any Securities authenticated and delivered under this Indenture.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and any statute successor thereto, in each case as amended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Security Registrar</w:t>
      </w:r>
      <w:r>
        <w:rPr>
          <w:rFonts w:ascii="Times New Roman" w:cs="Times New Roman" w:eastAsia="Times New Roman" w:hAnsi="Times New Roman"/>
          <w:sz w:val="18"/>
          <w:szCs w:val="18"/>
          <w:color w:val="auto"/>
        </w:rPr>
        <w:t>” have the respective meanings specified in Section‎ 305.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means, for the payment of any Defaulted Interest, a date fixed by the Company pursuant to Section‎ 307.</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means, when used with respect to any Security or any installment of principal thereof or interest thereon, the date specified in such Security as the fixed date on which the principal of such Security or such installment of principal or interest is due and payable.</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specified Person, any corporation, partnership, joint venture, limited liability company, association or other business entity of which at least a majority of the outstanding voting stock or equivalent equity interest (irrespective of whether or not at the time equity interests of any other class or classes of such business entity shall have or might have voting power by reason of the happening of any contingency) is, or other entity of which at least a majority of the common equity interests are, at the time directly or indirectly owned or controlled by that Person, or by one or more other Subsidiaries of that Person, or by that Person and one or more other Subsidiaries of that Person.</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xml:space="preserve">” means the U.S. Trust Indenture Act of 1939 as in force at the date as of which this Indenture was executed;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7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such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Obligation</w:t>
      </w:r>
      <w:r>
        <w:rPr>
          <w:rFonts w:ascii="Times New Roman" w:cs="Times New Roman" w:eastAsia="Times New Roman" w:hAnsi="Times New Roman"/>
          <w:sz w:val="18"/>
          <w:szCs w:val="18"/>
          <w:color w:val="auto"/>
        </w:rPr>
        <w:t>” has the meaning specified in Section‎ 1304(1).</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means, when used with respect to the Trustee, any vice president, whether or not designated by a number or a word or words added before or after the title “vice president.”</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7"/>
          <w:szCs w:val="17"/>
          <w:u w:val="single" w:color="auto"/>
          <w:color w:val="auto"/>
        </w:rPr>
        <w:t>Compliance Certificates and Opinions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Upon any application or request by the Company to the Trustee to take any action under any provision of this Indenture, the Company shall furnish to the Trustee, if requested by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Every certificate or opinion with respect to compliance with a condition or covenant provided for in this Indenture (except for certificates provided for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1004) shall include:</w:t>
      </w:r>
    </w:p>
    <w:p>
      <w:pPr>
        <w:spacing w:after="0" w:line="207" w:lineRule="exact"/>
        <w:rPr>
          <w:sz w:val="20"/>
          <w:szCs w:val="20"/>
          <w:color w:val="auto"/>
        </w:rPr>
      </w:pPr>
    </w:p>
    <w:p>
      <w:pPr>
        <w:ind w:left="1300" w:right="40" w:hanging="320"/>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individual signing such certificate or opinion has read such covenant or condition and the definitions herein relating thereto;</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7"/>
          <w:szCs w:val="17"/>
          <w:u w:val="single" w:color="auto"/>
          <w:color w:val="auto"/>
        </w:rPr>
        <w:t>Form of Documents Delivered to Trustee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such Officer’s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8"/>
          <w:szCs w:val="18"/>
          <w:u w:val="single" w:color="auto"/>
          <w:color w:val="auto"/>
        </w:rPr>
        <w:t>Acts of Holders; Record Dates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an agent duly appointed in writing; and, except as herein otherwise expressly</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4" w:name="page55"/>
    <w:bookmarkEnd w:id="54"/>
    <w:p>
      <w:pPr>
        <w:ind w:right="20"/>
        <w:spacing w:after="0" w:line="258" w:lineRule="auto"/>
        <w:rPr>
          <w:sz w:val="20"/>
          <w:szCs w:val="20"/>
          <w:color w:val="auto"/>
        </w:rPr>
      </w:pPr>
      <w:r>
        <w:rPr>
          <w:rFonts w:ascii="Times New Roman" w:cs="Times New Roman" w:eastAsia="Times New Roman" w:hAnsi="Times New Roman"/>
          <w:sz w:val="18"/>
          <w:szCs w:val="18"/>
          <w:color w:val="auto"/>
        </w:rPr>
        <w:t>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 104.</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fact and date of the execution by any Person of any such instrument or writing may be proved in any manner which the Trustee reasonably deems sufficient. Where such execution is by a Person acting in a capacity other than such Person’s individual capacity, such certificate or affidavit shall also constitute sufficient proof of such Person’s authority. The fact and date of the execution of any such instrument or writing, or the authority of the Person executing the same, may also be proved in any other manner which the Trustee deems sufficient.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ownership of Securities shall be proved by the Security Register.</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Trustee may set any day as a record date for the purpose of determining the Holders of Outstanding Securities of any series entitled to join in the giving or making of (i) any Notice of</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Default, (ii) any declaration of acceleration referred to in Section‎ 502, (iii) any request to institute proceedings referred to in Section‎ 507(2) or (iv) any</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direction referred to in Section‎ 511,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106.</w:t>
      </w:r>
    </w:p>
    <w:p>
      <w:pPr>
        <w:spacing w:after="0" w:line="19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With respect to any record date set pursuant to this ‎Section 104, the party hereto which sets such record dates may designate any day as the “</w:t>
      </w: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and from time to time may change the Expiration Date to any earlier or later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104, the party hereto which set such record date shall be deemed to have initially designated the 180th day after such record date as the Expiration Date with respect thereto, subject to its right to change the Expiration Date as provided in this paragraph.</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foregoing, the Trustee agrees to accept and act upon notice, instructions or directions pursuant to this Indenture sent by unsecured e-mail, facsimile transmission or other similar unsecured electronic methods;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The Trustee shall not be liable for any losses, costs or expenses arising directly or indirectly from the Trustee’s reliance upon and compliance with such instructions notwithstanding such instructions conflict or are inconsistent with a subsequent written instruction.</w:t>
      </w:r>
    </w:p>
    <w:p>
      <w:pPr>
        <w:spacing w:after="0" w:line="18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105.</w:t>
      </w:r>
      <w:r>
        <w:rPr>
          <w:sz w:val="20"/>
          <w:szCs w:val="20"/>
          <w:color w:val="auto"/>
        </w:rPr>
        <w:tab/>
      </w:r>
      <w:r>
        <w:rPr>
          <w:rFonts w:ascii="Times New Roman" w:cs="Times New Roman" w:eastAsia="Times New Roman" w:hAnsi="Times New Roman"/>
          <w:sz w:val="17"/>
          <w:szCs w:val="17"/>
          <w:u w:val="single" w:color="auto"/>
          <w:color w:val="auto"/>
        </w:rPr>
        <w:t>Notices, Etc., to Trustee, Company and Guarantors</w:t>
      </w:r>
      <w:r>
        <w:rPr>
          <w:rFonts w:ascii="Times New Roman" w:cs="Times New Roman" w:eastAsia="Times New Roman" w:hAnsi="Times New Roman"/>
          <w:sz w:val="17"/>
          <w:szCs w:val="17"/>
          <w:color w:val="auto"/>
        </w:rPr>
        <w: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ind w:right="200"/>
        <w:spacing w:after="0" w:line="282"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Act of Holders or other document provided or permitted by this Indenture to be made upon, given or furnished to, or filed with,</w:t>
      </w:r>
    </w:p>
    <w:p>
      <w:pPr>
        <w:spacing w:after="0" w:line="162" w:lineRule="exact"/>
        <w:rPr>
          <w:sz w:val="20"/>
          <w:szCs w:val="20"/>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by any Holder or by the Company or a Guarantor shall be sufficient for every purpose hereunder if made, given, furnished or</w:t>
      </w:r>
    </w:p>
    <w:p>
      <w:pPr>
        <w:spacing w:after="0" w:line="27" w:lineRule="exact"/>
        <w:rPr>
          <w:rFonts w:ascii="Times New Roman" w:cs="Times New Roman" w:eastAsia="Times New Roman" w:hAnsi="Times New Roman"/>
          <w:sz w:val="18"/>
          <w:szCs w:val="18"/>
          <w:color w:val="auto"/>
        </w:rPr>
      </w:pPr>
    </w:p>
    <w:p>
      <w:pPr>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in writing (which may be by facsimile) to or with the Trustee at its Corporate Trust Office at the location specified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101 or such other office or agency of the Trustee specified by the Trustee. Notwithstanding anything in this Section 105 to the contrary, no office of the Trustee shall be an office or agency for service of legal process on the Company. Any notice to the Trustee shall be deemed given when actually received by the Trustee; or</w:t>
      </w:r>
    </w:p>
    <w:p>
      <w:pPr>
        <w:spacing w:after="0" w:line="188" w:lineRule="exact"/>
        <w:rPr>
          <w:rFonts w:ascii="Times New Roman" w:cs="Times New Roman" w:eastAsia="Times New Roman" w:hAnsi="Times New Roman"/>
          <w:sz w:val="18"/>
          <w:szCs w:val="18"/>
          <w:color w:val="auto"/>
        </w:rPr>
      </w:pPr>
    </w:p>
    <w:p>
      <w:pPr>
        <w:ind w:left="1300" w:right="40" w:hanging="320"/>
        <w:spacing w:after="0" w:line="261"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Guarantor by the Trustee or by any Holder shall be sufficient for every purpose hereunder (unless otherwise herein expressly provided) if in writing and mailed, first-class postage prepaid, to the Company addressed to Company’s principal office specified in writing to the Trustee by the Company and, until further notice, at, in the case of the Company or a Guarantor, 1900 W. Field Court, Lake Forest, IL 60045; Attention: General Counsel.</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addition to the foregoing, such documents may be sent by unsecured e-mail, facsimile transmission or other similar unsecured electronic methods. The Trustee agrees to accept and act upon instructions or directions pursuant to this Indenture sent by unsecured e-mail, pdf, facsimile transmission or other similar unsecured electronic methods, provided, however,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The Trustee shall not be liable for any losses, costs or expenses arising directly or indirectly from the Trustee’s reasonable reliance upon and compliance with such instructions notwithstanding such instructions conflict or are inconsistent with a subsequent written instruction.</w:t>
      </w:r>
    </w:p>
    <w:p>
      <w:pPr>
        <w:spacing w:after="0" w:line="18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7"/>
          <w:szCs w:val="17"/>
          <w:u w:val="single" w:color="auto"/>
          <w:color w:val="auto"/>
        </w:rPr>
        <w:t>Notice to Holders; Waiver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Where this Indenture provides for notice to Holders of any event, such notice shall be sufficiently given (unless otherwise herein expressly provided) if in writing and mailed, first-class postage prepaid, to each Holder affected by such event, at such Holder’s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107.</w:t>
      </w:r>
      <w:r>
        <w:rPr>
          <w:sz w:val="20"/>
          <w:szCs w:val="20"/>
          <w:color w:val="auto"/>
        </w:rPr>
        <w:tab/>
      </w:r>
      <w:r>
        <w:rPr>
          <w:rFonts w:ascii="Times New Roman" w:cs="Times New Roman" w:eastAsia="Times New Roman" w:hAnsi="Times New Roman"/>
          <w:sz w:val="17"/>
          <w:szCs w:val="17"/>
          <w:u w:val="single" w:color="auto"/>
          <w:color w:val="auto"/>
        </w:rPr>
        <w:t>Conflict with Trust Indenture Act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 provision of the Trust Indenture Act which is required under such Act to be a part of and govern this Indenture, the latter provision shall control. If any provision of this Indenture modifies or excludes any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7" w:name="page58"/>
    <w:bookmarkEnd w:id="57"/>
    <w:p>
      <w:pPr>
        <w:ind w:right="180"/>
        <w:spacing w:after="0" w:line="282" w:lineRule="auto"/>
        <w:rPr>
          <w:sz w:val="20"/>
          <w:szCs w:val="20"/>
          <w:color w:val="auto"/>
        </w:rPr>
      </w:pPr>
      <w:r>
        <w:rPr>
          <w:rFonts w:ascii="Times New Roman" w:cs="Times New Roman" w:eastAsia="Times New Roman" w:hAnsi="Times New Roman"/>
          <w:sz w:val="18"/>
          <w:szCs w:val="18"/>
          <w:color w:val="auto"/>
        </w:rPr>
        <w:t>provision of the Trust Indenture Act which may be so modified or excluded, the latter provision shall be deemed to apply to this Indenture as so modified or to be excluded, as the case may be.</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108.</w:t>
      </w:r>
      <w:r>
        <w:rPr>
          <w:sz w:val="20"/>
          <w:szCs w:val="20"/>
          <w:color w:val="auto"/>
        </w:rPr>
        <w:tab/>
      </w:r>
      <w:r>
        <w:rPr>
          <w:rFonts w:ascii="Times New Roman" w:cs="Times New Roman" w:eastAsia="Times New Roman" w:hAnsi="Times New Roman"/>
          <w:sz w:val="17"/>
          <w:szCs w:val="17"/>
          <w:u w:val="single" w:color="auto"/>
          <w:color w:val="auto"/>
        </w:rPr>
        <w:t>Effect of Headings and Table of Contents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Article and Section headings herein and the Table of Contents are for convenience only and shall not affect the construction hereof.</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109.</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All covenants and agreements in this Indenture by the Company shall bind its successors and assigns, whether so expressed or not. All agreements of the Trustee in this Indenture shall bind its successors and assigns, whether so expressed or not.</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110.</w:t>
      </w:r>
      <w:r>
        <w:rPr>
          <w:sz w:val="20"/>
          <w:szCs w:val="20"/>
          <w:color w:val="auto"/>
        </w:rPr>
        <w:tab/>
      </w:r>
      <w:r>
        <w:rPr>
          <w:rFonts w:ascii="Times New Roman" w:cs="Times New Roman" w:eastAsia="Times New Roman" w:hAnsi="Times New Roman"/>
          <w:sz w:val="17"/>
          <w:szCs w:val="17"/>
          <w:u w:val="single" w:color="auto"/>
          <w:color w:val="auto"/>
        </w:rPr>
        <w:t>Separability Clause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7"/>
          <w:szCs w:val="17"/>
          <w:u w:val="single" w:color="auto"/>
          <w:color w:val="auto"/>
        </w:rPr>
        <w:t>Benefits of Indenture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112.</w:t>
      </w:r>
      <w:r>
        <w:rPr>
          <w:sz w:val="20"/>
          <w:szCs w:val="20"/>
          <w:color w:val="auto"/>
        </w:rPr>
        <w:tab/>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Indenture, the Securities and the Guarantees shall be governed by, and construed in accordance with, the law of the State of New York. The Company irrevocably consents and agrees, for the benefit of the Holders and the Trustee, that any legal action, suit or proceeding against it with respect to obligations, liabilities or any other matter arising out of or in connection with this Indenture or the Securities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in personam, generally and unconditionally with respect to any action, suit or proceeding for itself in respect of its properties, assets and revenues.</w:t>
      </w:r>
    </w:p>
    <w:p>
      <w:pPr>
        <w:spacing w:after="0" w:line="18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113.</w:t>
      </w:r>
      <w:r>
        <w:rPr>
          <w:sz w:val="20"/>
          <w:szCs w:val="20"/>
          <w:color w:val="auto"/>
        </w:rPr>
        <w:tab/>
      </w:r>
      <w:r>
        <w:rPr>
          <w:rFonts w:ascii="Times New Roman" w:cs="Times New Roman" w:eastAsia="Times New Roman" w:hAnsi="Times New Roman"/>
          <w:sz w:val="17"/>
          <w:szCs w:val="17"/>
          <w:u w:val="single" w:color="auto"/>
          <w:color w:val="auto"/>
        </w:rPr>
        <w:t>Legal Holidays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any case where any Interest Payment Date, Redemption Date or Stated Maturity of any Security, or any date on which a Holder has the right to convert such Holder’s Security, shall not be a Business Day at any Place of Payment, then (notwithstanding any other provision of this Indenture or of the Securities (other than a provision of any Security which specifically states that such provision shall apply in lieu of this ‎Section 113)) payment of principal and premium, if any, or interest, or the Redemption Price or conversion of such Security, need not be made at such Place of Payment on such date, but may be made on the next succeeding Business Day at</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8" w:name="page59"/>
    <w:bookmarkEnd w:id="58"/>
    <w:p>
      <w:pPr>
        <w:ind w:right="280"/>
        <w:spacing w:after="0" w:line="282" w:lineRule="auto"/>
        <w:rPr>
          <w:sz w:val="20"/>
          <w:szCs w:val="20"/>
          <w:color w:val="auto"/>
        </w:rPr>
      </w:pPr>
      <w:r>
        <w:rPr>
          <w:rFonts w:ascii="Times New Roman" w:cs="Times New Roman" w:eastAsia="Times New Roman" w:hAnsi="Times New Roman"/>
          <w:sz w:val="18"/>
          <w:szCs w:val="18"/>
          <w:color w:val="auto"/>
        </w:rPr>
        <w:t>such Place of Payment with the same force and effect as if made on the Interest Payment Date or Redemption Date, or at the Stated Maturity, or on such conversion date.</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114.</w:t>
      </w:r>
      <w:r>
        <w:rPr>
          <w:sz w:val="20"/>
          <w:szCs w:val="20"/>
          <w:color w:val="auto"/>
        </w:rPr>
        <w:tab/>
      </w:r>
      <w:r>
        <w:rPr>
          <w:rFonts w:ascii="Times New Roman" w:cs="Times New Roman" w:eastAsia="Times New Roman" w:hAnsi="Times New Roman"/>
          <w:sz w:val="17"/>
          <w:szCs w:val="17"/>
          <w:u w:val="single" w:color="auto"/>
          <w:color w:val="auto"/>
        </w:rPr>
        <w:t>No Recourse Against Others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 director, officer, employee or stockholder as such of the Company and any Guarantor shall not have any liability for any obligations of the Company under the Securities, the Guarantees or this Indenture or for any claim based on, in respect of or by reason of such obligations or their creation. By accepting a Security, each Holder shall waive and release all such liability. The waiver and release shall be part of the consideration for the issue of the Securities.</w:t>
      </w:r>
    </w:p>
    <w:p>
      <w:pPr>
        <w:spacing w:after="0" w:line="18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115.</w:t>
      </w:r>
      <w:r>
        <w:rPr>
          <w:sz w:val="20"/>
          <w:szCs w:val="20"/>
          <w:color w:val="auto"/>
        </w:rPr>
        <w:tab/>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720"/>
        <w:spacing w:after="0" w:line="289" w:lineRule="auto"/>
        <w:rPr>
          <w:sz w:val="20"/>
          <w:szCs w:val="20"/>
          <w:color w:val="auto"/>
        </w:rPr>
      </w:pPr>
      <w:r>
        <w:rPr>
          <w:rFonts w:ascii="Times New Roman" w:cs="Times New Roman" w:eastAsia="Times New Roman" w:hAnsi="Times New Roman"/>
          <w:sz w:val="17"/>
          <w:szCs w:val="17"/>
          <w:color w:val="auto"/>
        </w:rPr>
        <w:t>EACH OF THE COMPANY, THE GUARANTORS AND THE TRUSTEE HEREBY IRREVOCABLY WAIVES, TO THE FULLEST EXTENT PERMITTED BY APPLICABLE LAW, ANY AND ALL RIGHT TO TRIAL BY JURY IN ANY LEGAL PROCEEDING AS BETWEEN THE COMPANY AND THE TRUSTEE ONLY ARISING OUT OF OR RELATING TO THIS INDENTURE OR THE SECURITIES.</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116.</w:t>
      </w:r>
      <w:r>
        <w:rPr>
          <w:sz w:val="20"/>
          <w:szCs w:val="20"/>
          <w:color w:val="auto"/>
        </w:rPr>
        <w:tab/>
      </w:r>
      <w:r>
        <w:rPr>
          <w:rFonts w:ascii="Times New Roman" w:cs="Times New Roman" w:eastAsia="Times New Roman" w:hAnsi="Times New Roman"/>
          <w:sz w:val="17"/>
          <w:szCs w:val="17"/>
          <w:u w:val="single" w:color="auto"/>
          <w:color w:val="auto"/>
        </w:rPr>
        <w:t>USA PATRIOT Act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parties hereto acknowledge that in order to help the United States government fight the funding of terrorism and money laundering activities, pursuant to Federal regulations that became effective on October 1, 2003 (Section 326 of the USA PATRIOT Act) all financial institutions are required to obtain, verify, record and update information that identifies each person establishing a relationship or opening an account. The parties to this Agreement agree that they will provide to the Trustee such information as it may request, from time to time, in order for the Trustee to satisfy the requirements of the USA PATRIOT Act, including but not limited to the name, address, tax identification number and other information that will allow it to identify the individual or entity who is establishing the relationship or opening the account and may also ask for formation documents such as articles of incorporation or other identifying documents to be provided.</w:t>
      </w:r>
    </w:p>
    <w:p>
      <w:pPr>
        <w:spacing w:after="0" w:line="18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117.</w:t>
      </w:r>
      <w:r>
        <w:rPr>
          <w:sz w:val="20"/>
          <w:szCs w:val="20"/>
          <w:color w:val="auto"/>
        </w:rPr>
        <w:tab/>
      </w:r>
      <w:r>
        <w:rPr>
          <w:rFonts w:ascii="Times New Roman" w:cs="Times New Roman" w:eastAsia="Times New Roman" w:hAnsi="Times New Roman"/>
          <w:sz w:val="18"/>
          <w:szCs w:val="18"/>
          <w:u w:val="single" w:color="auto"/>
          <w:color w:val="auto"/>
        </w:rPr>
        <w:t>Counterparts, Originals.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so executed shall be deemed to be an original, but all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Signatures of the parties hereto transmitted by facsimile or PDF shall be deemed to be their original signatures for all purposes. When used in herein, the words “execute,” “execution,” “signed” and “signature” and words of similar import used in or related to any document to be signed in connection with this Indenture, any Security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ind w:right="80"/>
        <w:spacing w:after="0" w:line="258" w:lineRule="auto"/>
        <w:rPr>
          <w:sz w:val="20"/>
          <w:szCs w:val="20"/>
          <w:color w:val="auto"/>
        </w:rPr>
      </w:pPr>
      <w:r>
        <w:rPr>
          <w:rFonts w:ascii="Times New Roman" w:cs="Times New Roman" w:eastAsia="Times New Roman" w:hAnsi="Times New Roman"/>
          <w:sz w:val="18"/>
          <w:szCs w:val="18"/>
          <w:color w:val="auto"/>
        </w:rPr>
        <w:t>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under no obligation to agree to accept electronic signatures in any form or in any format unless expressly agreed to by the Trustee pursuant to reasonable procedures approved by the Trustee.</w:t>
      </w:r>
    </w:p>
    <w:p>
      <w:pPr>
        <w:spacing w:after="0" w:line="18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118.</w:t>
      </w:r>
      <w:r>
        <w:rPr>
          <w:sz w:val="20"/>
          <w:szCs w:val="20"/>
          <w:color w:val="auto"/>
        </w:rPr>
        <w:tab/>
      </w:r>
      <w:r>
        <w:rPr>
          <w:rFonts w:ascii="Times New Roman" w:cs="Times New Roman" w:eastAsia="Times New Roman" w:hAnsi="Times New Roman"/>
          <w:sz w:val="18"/>
          <w:szCs w:val="18"/>
          <w:u w:val="single" w:color="auto"/>
          <w:color w:val="auto"/>
        </w:rPr>
        <w:t>Force Majeure</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epidemics or pandemics and interruptions, loss or malfunctions of utilities, communications or computer (software and hardware) services, including the unavailability of the Federal Reserve wire or payment facility; it being understood that the Trustee shall use reasonable efforts that are consistent with accepted practices in the banking industry to resume performance as soon as practicable under the circumstances.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FORMS</w:t>
      </w:r>
    </w:p>
    <w:p>
      <w:pPr>
        <w:spacing w:after="0" w:line="20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u w:val="single" w:color="auto"/>
          <w:color w:val="auto"/>
        </w:rPr>
        <w:t>Forms Generally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Securities of each series shall be in substantially such form or forms as shall be established by or pursuant to a Board Resolution or, subject to ‎Section 303, set forth in, or determined in the manner provided in, an Officer’s Certificate pursuant to authority granted by one or more Board Resolutions, or in one or more supplemental indentures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applicable tax laws or the rules of any securities exchange or Depositary therefor or as may, consistently herewith, be determined by the Officer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 If all of the Securities of any series established by action taken pursuant to a Board Resolution are not to be issued at one time, it shall not be necessary to deliver a record of such action at the time of issuance of each Security of such series, but an appropriate record of such action shall be delivered at or before the time of issuance of the first Security of such series. In the case of any conflict between the terms of the Securities and the terms of the Indenture, the terms of the Indenture shall control.</w:t>
      </w:r>
    </w:p>
    <w:p>
      <w:pPr>
        <w:spacing w:after="0" w:line="1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definitive Securities may be produced in any manner determined by the officers executing such Securities, as evidenced by their execution of such Securities.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0" w:name="page61"/>
    <w:bookmarkEnd w:id="60"/>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Form of Legend for Global Securities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Unless otherwise specified as contemplated by Section‎ 301 for the Securities evidenced thereby, every Global Security authenticated and delivered hereunder shall bear a legend in substantially the following form:</w:t>
      </w:r>
    </w:p>
    <w:p>
      <w:pPr>
        <w:spacing w:after="0" w:line="162" w:lineRule="exact"/>
        <w:rPr>
          <w:sz w:val="20"/>
          <w:szCs w:val="20"/>
          <w:color w:val="auto"/>
        </w:rPr>
      </w:pPr>
    </w:p>
    <w:p>
      <w:pPr>
        <w:ind w:left="580"/>
        <w:spacing w:after="0" w:line="255"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NO TRANSFER OF THIS SECURITY (OTHER THAN A TRANSFER OF THIS SECURITY AS A WHOLE BY THE DEPOSITARY TO A NOMINEE OF THE DEPOSITARY OR BY A NOMINEE OF THE DEPOSITARY TO THE DEPOSITARY OR ANOTHER NOMINEE OF THE DEPOSITARY) MAY BE REGISTERED EXCEPT IN SUCH LIMITED CIRCUMSTANCES.</w:t>
      </w:r>
    </w:p>
    <w:p>
      <w:pPr>
        <w:spacing w:after="0" w:line="18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u w:val="single" w:color="auto"/>
          <w:color w:val="auto"/>
        </w:rPr>
        <w:t>Form of Trustee’s Certificate of Authentication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Trustee’s certificates of authentication shall be in substantially the following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Wilmington Trust, National Association, as Trustee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0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8"/>
          <w:szCs w:val="18"/>
          <w:u w:val="single" w:color="auto"/>
          <w:color w:val="auto"/>
        </w:rPr>
        <w:t>Amount Unlimited; Issuable in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Securities may be issued in one or more series. There shall be established in or pursuant to (a) a Board Resolution or pursuant to authority granted by one or more Board Resolutions and, subject to ‎Section 303, set forth, or determined in the manner provided, in an Officer’s Certificate, or (b) one or more supplemental indentures hereto, prior to the issuance of Securities of any series:</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61" w:name="page62"/>
    <w:bookmarkEnd w:id="61"/>
    <w:p>
      <w:pPr>
        <w:ind w:left="380" w:hanging="380"/>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the series from Securities of any other series);</w:t>
      </w:r>
    </w:p>
    <w:p>
      <w:pPr>
        <w:spacing w:after="0" w:line="225" w:lineRule="exact"/>
        <w:rPr>
          <w:rFonts w:ascii="Times New Roman" w:cs="Times New Roman" w:eastAsia="Times New Roman" w:hAnsi="Times New Roman"/>
          <w:sz w:val="18"/>
          <w:szCs w:val="18"/>
          <w:color w:val="auto"/>
        </w:rPr>
      </w:pPr>
    </w:p>
    <w:p>
      <w:pPr>
        <w:ind w:left="380" w:right="260" w:hanging="380"/>
        <w:spacing w:after="0" w:line="276" w:lineRule="auto"/>
        <w:tabs>
          <w:tab w:leader="none" w:pos="3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 if any, on the aggregate principal amount of the Securities of the series which may be authenticated and delivered under this Indenture (except for Securities authenticated and delivered upon registration of transfer of, or in exchange for, or in lieu of, other</w:t>
      </w:r>
    </w:p>
    <w:p>
      <w:pPr>
        <w:ind w:left="380" w:right="1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Securities of the series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304, 305,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1107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except for any Securities which,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303, are deemed never to have been authenticated and delivered hereunder);</w:t>
      </w:r>
    </w:p>
    <w:p>
      <w:pPr>
        <w:spacing w:after="0" w:line="181" w:lineRule="exact"/>
        <w:rPr>
          <w:rFonts w:ascii="Times New Roman" w:cs="Times New Roman" w:eastAsia="Times New Roman" w:hAnsi="Times New Roman"/>
          <w:sz w:val="17"/>
          <w:szCs w:val="17"/>
          <w:color w:val="auto"/>
        </w:rPr>
      </w:pPr>
    </w:p>
    <w:p>
      <w:pPr>
        <w:ind w:left="380" w:right="20" w:hanging="380"/>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61" w:lineRule="exact"/>
        <w:rPr>
          <w:rFonts w:ascii="Times New Roman" w:cs="Times New Roman" w:eastAsia="Times New Roman" w:hAnsi="Times New Roman"/>
          <w:sz w:val="18"/>
          <w:szCs w:val="18"/>
          <w:color w:val="auto"/>
        </w:rPr>
      </w:pPr>
    </w:p>
    <w:p>
      <w:pPr>
        <w:ind w:left="380" w:hanging="380"/>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rank as senior Securities or subordinated Securities and the terms of any such subordination;</w:t>
      </w:r>
    </w:p>
    <w:p>
      <w:pPr>
        <w:spacing w:after="0" w:line="225" w:lineRule="exact"/>
        <w:rPr>
          <w:rFonts w:ascii="Times New Roman" w:cs="Times New Roman" w:eastAsia="Times New Roman" w:hAnsi="Times New Roman"/>
          <w:sz w:val="18"/>
          <w:szCs w:val="18"/>
          <w:color w:val="auto"/>
        </w:rPr>
      </w:pPr>
    </w:p>
    <w:p>
      <w:pPr>
        <w:ind w:left="380" w:hanging="380"/>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any Securities of the series is payable or the method used to determine or extend those dates;</w:t>
      </w:r>
    </w:p>
    <w:p>
      <w:pPr>
        <w:spacing w:after="0" w:line="225" w:lineRule="exact"/>
        <w:rPr>
          <w:rFonts w:ascii="Times New Roman" w:cs="Times New Roman" w:eastAsia="Times New Roman" w:hAnsi="Times New Roman"/>
          <w:sz w:val="18"/>
          <w:szCs w:val="18"/>
          <w:color w:val="auto"/>
        </w:rPr>
      </w:pPr>
    </w:p>
    <w:p>
      <w:pPr>
        <w:jc w:val="both"/>
        <w:ind w:left="380" w:right="520" w:hanging="380"/>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175" w:lineRule="exact"/>
        <w:rPr>
          <w:rFonts w:ascii="Times New Roman" w:cs="Times New Roman" w:eastAsia="Times New Roman" w:hAnsi="Times New Roman"/>
          <w:sz w:val="18"/>
          <w:szCs w:val="18"/>
          <w:color w:val="auto"/>
        </w:rPr>
      </w:pPr>
    </w:p>
    <w:p>
      <w:pPr>
        <w:ind w:left="380" w:right="520" w:hanging="380"/>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on any Securities of the series shall be payable and the manner in which any payment may be made;</w:t>
      </w:r>
    </w:p>
    <w:p>
      <w:pPr>
        <w:spacing w:after="0" w:line="161" w:lineRule="exact"/>
        <w:rPr>
          <w:rFonts w:ascii="Times New Roman" w:cs="Times New Roman" w:eastAsia="Times New Roman" w:hAnsi="Times New Roman"/>
          <w:sz w:val="18"/>
          <w:szCs w:val="18"/>
          <w:color w:val="auto"/>
        </w:rPr>
      </w:pPr>
    </w:p>
    <w:p>
      <w:pPr>
        <w:ind w:left="380" w:hanging="380"/>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75" w:lineRule="exact"/>
        <w:rPr>
          <w:rFonts w:ascii="Times New Roman" w:cs="Times New Roman" w:eastAsia="Times New Roman" w:hAnsi="Times New Roman"/>
          <w:sz w:val="18"/>
          <w:szCs w:val="18"/>
          <w:color w:val="auto"/>
        </w:rPr>
      </w:pPr>
    </w:p>
    <w:p>
      <w:pPr>
        <w:jc w:val="both"/>
        <w:ind w:left="380" w:right="180" w:hanging="380"/>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or the right, if any, of the Company to redeem or purchase any Securities of the series pursuant to any sinking fund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175" w:lineRule="exact"/>
        <w:rPr>
          <w:rFonts w:ascii="Times New Roman" w:cs="Times New Roman" w:eastAsia="Times New Roman" w:hAnsi="Times New Roman"/>
          <w:sz w:val="18"/>
          <w:szCs w:val="18"/>
          <w:color w:val="auto"/>
        </w:rPr>
      </w:pPr>
    </w:p>
    <w:p>
      <w:pPr>
        <w:ind w:left="380" w:right="180" w:hanging="380"/>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$2,000 and any integral multiple of $1,000 in excess thereof, the denominations in which any Securities of the series shall be issuable;</w:t>
      </w:r>
    </w:p>
    <w:p>
      <w:pPr>
        <w:spacing w:after="0" w:line="161" w:lineRule="exact"/>
        <w:rPr>
          <w:rFonts w:ascii="Times New Roman" w:cs="Times New Roman" w:eastAsia="Times New Roman" w:hAnsi="Times New Roman"/>
          <w:sz w:val="18"/>
          <w:szCs w:val="18"/>
          <w:color w:val="auto"/>
        </w:rPr>
      </w:pPr>
    </w:p>
    <w:p>
      <w:pPr>
        <w:ind w:left="380" w:right="620" w:hanging="380"/>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principal of or premium, if any, or interest on any Securities of the series may be determined with reference to a financial or economic measure</w:t>
      </w:r>
    </w:p>
    <w:p>
      <w:pPr>
        <w:spacing w:after="0" w:line="2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40"/>
          </w:cols>
          <w:pgMar w:left="1300" w:top="580" w:right="359" w:bottom="1440" w:gutter="0" w:footer="0" w:header="0"/>
        </w:sectPr>
      </w:pPr>
    </w:p>
    <w:bookmarkStart w:id="62" w:name="page63"/>
    <w:bookmarkEnd w:id="62"/>
    <w:p>
      <w:pPr>
        <w:ind w:left="380"/>
        <w:spacing w:after="0"/>
        <w:rPr>
          <w:sz w:val="20"/>
          <w:szCs w:val="20"/>
          <w:color w:val="auto"/>
        </w:rPr>
      </w:pPr>
      <w:r>
        <w:rPr>
          <w:rFonts w:ascii="Times New Roman" w:cs="Times New Roman" w:eastAsia="Times New Roman" w:hAnsi="Times New Roman"/>
          <w:sz w:val="18"/>
          <w:szCs w:val="18"/>
          <w:color w:val="auto"/>
        </w:rPr>
        <w:t>or index or pursuant to a formula, the manner in which such amounts shall be determined;</w:t>
      </w:r>
    </w:p>
    <w:p>
      <w:pPr>
        <w:spacing w:after="0" w:line="225" w:lineRule="exact"/>
        <w:rPr>
          <w:sz w:val="20"/>
          <w:szCs w:val="20"/>
          <w:color w:val="auto"/>
        </w:rPr>
      </w:pPr>
    </w:p>
    <w:p>
      <w:pPr>
        <w:ind w:left="380" w:right="160" w:hanging="380"/>
        <w:spacing w:after="0" w:line="276" w:lineRule="auto"/>
        <w:tabs>
          <w:tab w:leader="none" w:pos="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other than the currency of the United States of America, the currency, currencies or currency units in which the principal of or premium, if any, or interest on any Securities of the series shall be payable and the manner of determining the equivalent thereof in the</w:t>
      </w:r>
    </w:p>
    <w:p>
      <w:pPr>
        <w:ind w:left="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currency of the United States of America for any purpose, including for purposes of the definition of “Outstanding”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101;</w:t>
      </w:r>
    </w:p>
    <w:p>
      <w:pPr>
        <w:spacing w:after="0" w:line="206" w:lineRule="exact"/>
        <w:rPr>
          <w:rFonts w:ascii="Times New Roman" w:cs="Times New Roman" w:eastAsia="Times New Roman" w:hAnsi="Times New Roman"/>
          <w:sz w:val="17"/>
          <w:szCs w:val="17"/>
          <w:color w:val="auto"/>
        </w:rPr>
      </w:pPr>
    </w:p>
    <w:p>
      <w:pPr>
        <w:ind w:left="380" w:right="40" w:hanging="380"/>
        <w:spacing w:after="0" w:line="258"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premium, if any,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premium, if any,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83" w:lineRule="exact"/>
        <w:rPr>
          <w:rFonts w:ascii="Times New Roman" w:cs="Times New Roman" w:eastAsia="Times New Roman" w:hAnsi="Times New Roman"/>
          <w:sz w:val="18"/>
          <w:szCs w:val="18"/>
          <w:color w:val="auto"/>
        </w:rPr>
      </w:pPr>
    </w:p>
    <w:p>
      <w:pPr>
        <w:ind w:left="380" w:hanging="380"/>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thereof, the portion of the principal amount of any Securities of the series which shall be</w:t>
      </w:r>
    </w:p>
    <w:p>
      <w:pPr>
        <w:spacing w:after="0" w:line="2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upon declaration of acceleration of the Maturity thereof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502;</w:t>
      </w:r>
    </w:p>
    <w:p>
      <w:pPr>
        <w:spacing w:after="0" w:line="206" w:lineRule="exact"/>
        <w:rPr>
          <w:rFonts w:ascii="Times New Roman" w:cs="Times New Roman" w:eastAsia="Times New Roman" w:hAnsi="Times New Roman"/>
          <w:sz w:val="18"/>
          <w:szCs w:val="18"/>
          <w:color w:val="auto"/>
        </w:rPr>
      </w:pPr>
    </w:p>
    <w:p>
      <w:pPr>
        <w:ind w:left="380" w:hanging="380"/>
        <w:spacing w:after="0" w:line="258"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3" w:lineRule="exact"/>
        <w:rPr>
          <w:rFonts w:ascii="Times New Roman" w:cs="Times New Roman" w:eastAsia="Times New Roman" w:hAnsi="Times New Roman"/>
          <w:sz w:val="18"/>
          <w:szCs w:val="18"/>
          <w:color w:val="auto"/>
        </w:rPr>
      </w:pPr>
    </w:p>
    <w:p>
      <w:pPr>
        <w:ind w:left="380" w:hanging="380"/>
        <w:spacing w:after="0"/>
        <w:tabs>
          <w:tab w:leader="none" w:pos="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other than by a Board Resolution, the manner in which any election by the Company to defease any Securities of the series pursuant to</w:t>
      </w:r>
    </w:p>
    <w:p>
      <w:pPr>
        <w:spacing w:after="0" w:line="38" w:lineRule="exact"/>
        <w:rPr>
          <w:rFonts w:ascii="Times New Roman" w:cs="Times New Roman" w:eastAsia="Times New Roman" w:hAnsi="Times New Roman"/>
          <w:sz w:val="17"/>
          <w:szCs w:val="17"/>
          <w:color w:val="auto"/>
        </w:rPr>
      </w:pPr>
    </w:p>
    <w:p>
      <w:pPr>
        <w:ind w:left="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1302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1302 shall be evidenced; whether any Securities of the series other than Securities denominated in U.S. dollars</w:t>
      </w:r>
    </w:p>
    <w:p>
      <w:pPr>
        <w:spacing w:after="0" w:line="9" w:lineRule="exact"/>
        <w:rPr>
          <w:rFonts w:ascii="Times New Roman" w:cs="Times New Roman" w:eastAsia="Times New Roman" w:hAnsi="Times New Roman"/>
          <w:sz w:val="17"/>
          <w:szCs w:val="17"/>
          <w:color w:val="auto"/>
        </w:rPr>
      </w:pPr>
    </w:p>
    <w:p>
      <w:pPr>
        <w:ind w:left="380" w:right="26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bearing interest at a fixed rate are to be subject to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1302 or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1303; or, in the case of Securities denominated in U.S. dollars and bearing interest at a fixed rate, if applicable, that the Securities of the series, in whole or any specified part, shall not be</w:t>
      </w:r>
    </w:p>
    <w:p>
      <w:pPr>
        <w:ind w:left="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defeasible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1302 or Section 1303 or both such Sections;</w:t>
      </w:r>
    </w:p>
    <w:p>
      <w:pPr>
        <w:spacing w:after="0" w:line="206" w:lineRule="exact"/>
        <w:rPr>
          <w:rFonts w:ascii="Times New Roman" w:cs="Times New Roman" w:eastAsia="Times New Roman" w:hAnsi="Times New Roman"/>
          <w:sz w:val="17"/>
          <w:szCs w:val="17"/>
          <w:color w:val="auto"/>
        </w:rPr>
      </w:pPr>
    </w:p>
    <w:p>
      <w:pPr>
        <w:jc w:val="both"/>
        <w:ind w:left="380" w:right="240" w:hanging="380"/>
        <w:spacing w:after="0" w:line="276" w:lineRule="auto"/>
        <w:tabs>
          <w:tab w:leader="none" w:pos="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w:t>
      </w:r>
    </w:p>
    <w:p>
      <w:pPr>
        <w:ind w:left="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Global Security in addition to or in lieu of that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 and any circumstances in addition to or in lieu of those set forth</w:t>
      </w:r>
    </w:p>
    <w:p>
      <w:pPr>
        <w:spacing w:after="0" w:line="9" w:lineRule="exact"/>
        <w:rPr>
          <w:rFonts w:ascii="Times New Roman" w:cs="Times New Roman" w:eastAsia="Times New Roman" w:hAnsi="Times New Roman"/>
          <w:sz w:val="17"/>
          <w:szCs w:val="17"/>
          <w:color w:val="auto"/>
        </w:rPr>
      </w:pPr>
    </w:p>
    <w:p>
      <w:pPr>
        <w:ind w:left="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clause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last paragraph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305 in which any such Global</w:t>
      </w:r>
    </w:p>
    <w:p>
      <w:pPr>
        <w:spacing w:after="0" w:line="31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20"/>
          </w:cols>
          <w:pgMar w:left="1300" w:top="580" w:right="379" w:bottom="1440" w:gutter="0" w:footer="0" w:header="0"/>
        </w:sectPr>
      </w:pPr>
    </w:p>
    <w:bookmarkStart w:id="63" w:name="page64"/>
    <w:bookmarkEnd w:id="63"/>
    <w:p>
      <w:pPr>
        <w:ind w:left="1360"/>
        <w:spacing w:after="0" w:line="266" w:lineRule="auto"/>
        <w:rPr>
          <w:sz w:val="20"/>
          <w:szCs w:val="20"/>
          <w:color w:val="auto"/>
        </w:rPr>
      </w:pPr>
      <w:r>
        <w:rPr>
          <w:rFonts w:ascii="Times New Roman" w:cs="Times New Roman" w:eastAsia="Times New Roman" w:hAnsi="Times New Roman"/>
          <w:sz w:val="18"/>
          <w:szCs w:val="18"/>
          <w:color w:val="auto"/>
        </w:rPr>
        <w:t>Security may be exchanged in whole or in part for Securities registered, and any transfer of such Global Security in whole or in part may be registered, in the name or names of Persons other than the Depositary for such Global Security or a nominee thereof and any other provisions governing exchanges or transfers of such Global Security;</w:t>
      </w:r>
    </w:p>
    <w:p>
      <w:pPr>
        <w:spacing w:after="0" w:line="176" w:lineRule="exact"/>
        <w:rPr>
          <w:sz w:val="20"/>
          <w:szCs w:val="20"/>
          <w:color w:val="auto"/>
        </w:rPr>
      </w:pPr>
    </w:p>
    <w:p>
      <w:pPr>
        <w:ind w:left="1360" w:hanging="380"/>
        <w:spacing w:after="0" w:line="261" w:lineRule="auto"/>
        <w:tabs>
          <w:tab w:leader="none" w:pos="1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from or change in the Events of Default which applies to any Securities of the series and any change in the right of the Trustee or the requisite Holders of such Securities to declare the principal amount thereof due and payable pursuant to Section</w:t>
      </w:r>
      <w:r>
        <w:rPr>
          <w:rFonts w:ascii="Times New Roman" w:cs="Times New Roman" w:eastAsia="Times New Roman" w:hAnsi="Times New Roman"/>
          <w:sz w:val="18"/>
          <w:szCs w:val="18"/>
          <w:b w:val="1"/>
          <w:bCs w:val="1"/>
          <w:color w:val="auto"/>
        </w:rPr>
        <w:t>‎</w:t>
      </w: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502;</w:t>
      </w:r>
    </w:p>
    <w:p>
      <w:pPr>
        <w:spacing w:after="0" w:line="202"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from or change in the covenants set forth in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X which applies to Securities of the series;</w:t>
      </w:r>
    </w:p>
    <w:p>
      <w:pPr>
        <w:spacing w:after="0" w:line="229" w:lineRule="exact"/>
        <w:rPr>
          <w:rFonts w:ascii="Times New Roman" w:cs="Times New Roman" w:eastAsia="Times New Roman" w:hAnsi="Times New Roman"/>
          <w:sz w:val="18"/>
          <w:szCs w:val="18"/>
          <w:color w:val="auto"/>
        </w:rPr>
      </w:pPr>
    </w:p>
    <w:p>
      <w:pPr>
        <w:ind w:left="1360" w:right="300" w:hanging="380"/>
        <w:spacing w:after="0" w:line="282" w:lineRule="auto"/>
        <w:tabs>
          <w:tab w:leader="none" w:pos="1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convertible into or exchangeable for cash and/or any securities or other property of any Person (including the Company), the terms and conditions upon which such Securities will be so convertible or exchangeable;</w:t>
      </w:r>
    </w:p>
    <w:p>
      <w:pPr>
        <w:spacing w:after="0" w:line="161" w:lineRule="exact"/>
        <w:rPr>
          <w:rFonts w:ascii="Times New Roman" w:cs="Times New Roman" w:eastAsia="Times New Roman" w:hAnsi="Times New Roman"/>
          <w:sz w:val="18"/>
          <w:szCs w:val="18"/>
          <w:color w:val="auto"/>
        </w:rPr>
      </w:pPr>
    </w:p>
    <w:p>
      <w:pPr>
        <w:ind w:left="1360" w:right="280" w:hanging="380"/>
        <w:spacing w:after="0" w:line="266" w:lineRule="auto"/>
        <w:tabs>
          <w:tab w:leader="none" w:pos="1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will be guaranteed by any Person or Persons and, if so, the identity of such Person or Persons, the terms and conditions upon which such Securities shall be guaranteed and, if applicable, the terms and conditions upon which such guarantees may be subordinated to other indebtedness of the respective guarantors;</w:t>
      </w:r>
    </w:p>
    <w:p>
      <w:pPr>
        <w:spacing w:after="0" w:line="175" w:lineRule="exact"/>
        <w:rPr>
          <w:rFonts w:ascii="Times New Roman" w:cs="Times New Roman" w:eastAsia="Times New Roman" w:hAnsi="Times New Roman"/>
          <w:sz w:val="18"/>
          <w:szCs w:val="18"/>
          <w:color w:val="auto"/>
        </w:rPr>
      </w:pPr>
    </w:p>
    <w:p>
      <w:pPr>
        <w:ind w:left="1360" w:hanging="380"/>
        <w:spacing w:after="0" w:line="266" w:lineRule="auto"/>
        <w:tabs>
          <w:tab w:leader="none" w:pos="1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will be secured by any collateral and, if so, the terms and conditions upon which such Securities shall be secured and, if applicable, upon which such liens may be subordinated to other liens securing other indebtedness of the Company or any guarantor;</w:t>
      </w:r>
    </w:p>
    <w:p>
      <w:pPr>
        <w:spacing w:after="0" w:line="175" w:lineRule="exact"/>
        <w:rPr>
          <w:rFonts w:ascii="Times New Roman" w:cs="Times New Roman" w:eastAsia="Times New Roman" w:hAnsi="Times New Roman"/>
          <w:sz w:val="18"/>
          <w:szCs w:val="18"/>
          <w:color w:val="auto"/>
        </w:rPr>
      </w:pPr>
    </w:p>
    <w:p>
      <w:pPr>
        <w:ind w:left="1360" w:right="140" w:hanging="380"/>
        <w:spacing w:after="0" w:line="282" w:lineRule="auto"/>
        <w:tabs>
          <w:tab w:leader="none" w:pos="1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Wilmington Trust, National Association is to act as Trustee for the Securities of such series, the name and Corporate Trust Office of such Trustee;</w:t>
      </w:r>
    </w:p>
    <w:p>
      <w:pPr>
        <w:spacing w:after="0" w:line="157" w:lineRule="exact"/>
        <w:rPr>
          <w:rFonts w:ascii="Times New Roman" w:cs="Times New Roman" w:eastAsia="Times New Roman" w:hAnsi="Times New Roman"/>
          <w:sz w:val="18"/>
          <w:szCs w:val="18"/>
          <w:color w:val="auto"/>
        </w:rPr>
      </w:pPr>
    </w:p>
    <w:p>
      <w:pPr>
        <w:ind w:left="1360" w:right="100" w:hanging="380"/>
        <w:spacing w:after="0" w:line="286" w:lineRule="auto"/>
        <w:tabs>
          <w:tab w:leader="none" w:pos="1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 (which terms shall not be inconsistent with the provisions of this Indenture, except as permitted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901(10)); and</w:t>
      </w:r>
    </w:p>
    <w:p>
      <w:pPr>
        <w:spacing w:after="0" w:line="158"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and/or ISIN number(s) of the Securities of the series.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in or pursuant to the Board Resolution referred to above or pursuant to authority granted by one or more Board Resolutions and, subject to ‎Section 303, set forth, or determined in the manner provided, in the Officer’s Certificate referred to above or in any such supplemental indenture hereto.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Securities of any one series need not be issued at one time and, unless otherwise provided in or pursuant to the Board Resolution referred to above and, subject to ‎Section 303, set forth, or determined in the manner provided, in the Officer’s Certificate referred to above or pursuant to authority granted by one or more Board Resolutions or in any such supplemental indenture</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4" w:name="page65"/>
    <w:bookmarkEnd w:id="64"/>
    <w:p>
      <w:pPr>
        <w:ind w:right="560"/>
        <w:spacing w:after="0" w:line="282" w:lineRule="auto"/>
        <w:rPr>
          <w:sz w:val="20"/>
          <w:szCs w:val="20"/>
          <w:color w:val="auto"/>
        </w:rPr>
      </w:pPr>
      <w:r>
        <w:rPr>
          <w:rFonts w:ascii="Times New Roman" w:cs="Times New Roman" w:eastAsia="Times New Roman" w:hAnsi="Times New Roman"/>
          <w:sz w:val="18"/>
          <w:szCs w:val="18"/>
          <w:color w:val="auto"/>
        </w:rPr>
        <w:t>hereto with respect to a series of Securities, additional Securities of a series may be issued, at the option of the Company, without the consent of any Holder, at any time and from time to time.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8"/>
          <w:szCs w:val="18"/>
          <w:u w:val="single" w:color="auto"/>
          <w:color w:val="auto"/>
        </w:rPr>
        <w:t>Denominations.</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minimum denominations of $2,000 and any integral multiple of $1,000 in excess thereof.</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8"/>
          <w:szCs w:val="18"/>
          <w:u w:val="single" w:color="auto"/>
          <w:color w:val="auto"/>
        </w:rPr>
        <w:t>Execution, Authentication, Delivery and Dating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Securities shall be executed on behalf of the Company by its Chairman of the Board, one of its Vice Chairmen, its Chief Executive Officer, its President, its Chief Financial Officer, its Principal Accounting Officer, its Controller, its Treasurer or one of its Assistant Treasurers. The signature on the Securities may be manual, facsimile or electronic.</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Securities bearing the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76"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Securities of any series, together with the Guarantees of the Guarantors endorsed thereon, executed by the Company and the Guarantors to the Trustee for authentication, together with a Company Order for the authentication and delivery of such, and the Trustee in accordance with the Company Order shall authenticate and deliver such Securities. If the form or terms of the Securities of the series have been established by or pursuant to one or more Board Resolutions or pursuant to authority granted by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189" w:lineRule="exact"/>
        <w:rPr>
          <w:sz w:val="20"/>
          <w:szCs w:val="20"/>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form of such Securities has been established by or pursuant to Board Resolution or pursuant to authority granted by one or more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Resolutions as permitted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 that such form has been established in conformity with the provisions of this Indenture;</w:t>
      </w:r>
    </w:p>
    <w:p>
      <w:pPr>
        <w:spacing w:after="0" w:line="206"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terms of such Securities have been established by or pursuant to Board Resolution or pursuant to authority granted by one or more Board Resolutions as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ind w:left="1300"/>
        <w:spacing w:after="0"/>
        <w:rPr>
          <w:sz w:val="20"/>
          <w:szCs w:val="20"/>
          <w:color w:val="auto"/>
        </w:rPr>
      </w:pPr>
      <w:r>
        <w:rPr>
          <w:rFonts w:ascii="Times New Roman" w:cs="Times New Roman" w:eastAsia="Times New Roman" w:hAnsi="Times New Roman"/>
          <w:sz w:val="18"/>
          <w:szCs w:val="18"/>
          <w:color w:val="auto"/>
        </w:rPr>
        <w:t>permitted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301, that such terms have been established in conformity with the provisions of this Indenture; and</w:t>
      </w:r>
    </w:p>
    <w:p>
      <w:pPr>
        <w:spacing w:after="0" w:line="229" w:lineRule="exact"/>
        <w:rPr>
          <w:sz w:val="20"/>
          <w:szCs w:val="20"/>
          <w:color w:val="auto"/>
        </w:rPr>
      </w:pPr>
    </w:p>
    <w:p>
      <w:pPr>
        <w:ind w:left="1300" w:hanging="320"/>
        <w:spacing w:after="0" w:line="258"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Securities and the Guarantees of the Guarantors endorsed thereon, when authenticated by the Trustee and issued and delivered by the Company in the manner and subject to any conditions specified in such Opinion of Counsel, will constitute valid and legally binding obligations of the Company and the Guarantors, respectively, enforceable in accordance with their respective terms, subject to (i) the effects of bankruptcy, insolvency, fraudulent conveyance, reorganization, moratorium and other similar laws relating to or affecting creditors’ rights generally, (ii) general equitable principles and (iii) an implied covenant of good faith and fair dealing.</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such form or terms have been so established, the Trustee shall not be required to authenticate such Securities if the issue of such Securities pursuant to this Indenture will materially adversely affect the Trustee’s own rights, duties or immunities under the Securities and this Indenture or otherwise in a manner which is not reasonably acceptable to the Trustee.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Notwithstanding the provisions of ‎Section 301 and of the preceding paragraph of this ‎Section 303, if all Securities of a series are not to be originally issued at one time, including in the event that the aggregate principal amount of a series of Outstanding Securities is increased as contemplated by ‎Section 301, it</w:t>
      </w:r>
    </w:p>
    <w:p>
      <w:pPr>
        <w:spacing w:after="0" w:line="255" w:lineRule="auto"/>
        <w:rPr>
          <w:sz w:val="20"/>
          <w:szCs w:val="20"/>
          <w:color w:val="auto"/>
        </w:rPr>
      </w:pPr>
      <w:r>
        <w:rPr>
          <w:rFonts w:ascii="Times New Roman" w:cs="Times New Roman" w:eastAsia="Times New Roman" w:hAnsi="Times New Roman"/>
          <w:sz w:val="18"/>
          <w:szCs w:val="18"/>
          <w:color w:val="auto"/>
        </w:rPr>
        <w:t>shall not be necessary to deliver the Officer’s Certificate otherwise required pursuant to Section‎ 301 or the Company Order and Opinion of Counsel otherwise required pursuant to this ‎Section 303 at or prior to the authentication of each Security of such series if such documents are delivered at or prior to the authentication upon original issuance of the first Security of such series to be issued.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Security shall be dated the date of its authentication.</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18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u w:val="single" w:color="auto"/>
          <w:color w:val="auto"/>
        </w:rPr>
        <w:t>Temporary Securities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and the Guarantees, the Company may execute, and, upon Company Order, the Trustee shall authenticate and deliver, temporary Securities with the Guarantees endorsed thereon which are printed, lithographed, typewritten, mimeographed or otherwise produced, in any authorized denomination, substantially of the tenor of the definitive Securities of such series in lieu of which they are issued and with such</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66" w:name="page67"/>
    <w:bookmarkEnd w:id="66"/>
    <w:p>
      <w:pPr>
        <w:ind w:right="300"/>
        <w:spacing w:after="0" w:line="282" w:lineRule="auto"/>
        <w:rPr>
          <w:sz w:val="20"/>
          <w:szCs w:val="20"/>
          <w:color w:val="auto"/>
        </w:rPr>
      </w:pPr>
      <w:r>
        <w:rPr>
          <w:rFonts w:ascii="Times New Roman" w:cs="Times New Roman" w:eastAsia="Times New Roman" w:hAnsi="Times New Roman"/>
          <w:sz w:val="18"/>
          <w:szCs w:val="18"/>
          <w:color w:val="auto"/>
        </w:rPr>
        <w:t>appropriate insertions, omissions, substitutions and other variations as the Officer or Officers executing such Securities may determine, as evidenced by their execution thereof.</w:t>
      </w:r>
    </w:p>
    <w:p>
      <w:pPr>
        <w:spacing w:after="0" w:line="16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If temporary Securities of any series are issued, the Company will cause definitive Securities of such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such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8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7"/>
          <w:szCs w:val="17"/>
          <w:u w:val="single" w:color="auto"/>
          <w:color w:val="auto"/>
        </w:rPr>
        <w:t>Registration, Registration of Transfer and Exchange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w:t>
      </w:r>
      <w:r>
        <w:rPr>
          <w:rFonts w:ascii="Times New Roman" w:cs="Times New Roman" w:eastAsia="Times New Roman" w:hAnsi="Times New Roman"/>
          <w:sz w:val="18"/>
          <w:szCs w:val="18"/>
          <w:u w:val="single" w:color="auto"/>
          <w:color w:val="auto"/>
        </w:rPr>
        <w:t>Security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Securities and of transfers of Securities. The Trustee is hereby appointed “</w:t>
      </w:r>
      <w:r>
        <w:rPr>
          <w:rFonts w:ascii="Times New Roman" w:cs="Times New Roman" w:eastAsia="Times New Roman" w:hAnsi="Times New Roman"/>
          <w:sz w:val="18"/>
          <w:szCs w:val="18"/>
          <w:u w:val="single" w:color="auto"/>
          <w:color w:val="auto"/>
        </w:rPr>
        <w:t>Security Registrar</w:t>
      </w:r>
      <w:r>
        <w:rPr>
          <w:rFonts w:ascii="Times New Roman" w:cs="Times New Roman" w:eastAsia="Times New Roman" w:hAnsi="Times New Roman"/>
          <w:sz w:val="18"/>
          <w:szCs w:val="18"/>
          <w:color w:val="auto"/>
        </w:rPr>
        <w:t>” for the purpose of registering Securities and transfers of Securities as herein provided.</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Upon surrender for registration of transfer of any Security of a series at the office or agency of the Company in a Place of Payment for such series, the Company shall execute, and the Trustee shall authenticate and deliver, in the name of the designated transferee or transferees, one or more new Securities of the same series, of any authorized denominations and of like tenor and principal amount.</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the option of the Holder, Securities of any series may be exchanged for other Securities of the same series, of any authorized denominations and of like tenor and principal amount, upon surrender of the Securities to be exchanged at such office or agency. Whenever any Securities are so surrendered for exchange, the Company shall execute, and the Trustee shall authenticate and deliver, the Securities, with the Guarantees endorsed thereon, which the Holder making the exchange is entitled to receive.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Securities and Guarantees endorsed thereon issued upon any registration of transfer or exchange of Securities with Guarantees of the Guarantors endorsed thereon shall be the respective valid obligations of the Company and the respective Guarantors, evidencing the same debt, and entitled to the same benefits under this Indenture, as the Securities and Guarantees endorsed thereon surrendered upon such registration of transfer or exchange.</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such Holder’s attorney duly authorized in writing.</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ind w:right="300"/>
        <w:spacing w:after="0" w:line="266" w:lineRule="auto"/>
        <w:rPr>
          <w:sz w:val="20"/>
          <w:szCs w:val="20"/>
          <w:color w:val="auto"/>
        </w:rPr>
      </w:pPr>
      <w:r>
        <w:rPr>
          <w:rFonts w:ascii="Times New Roman" w:cs="Times New Roman" w:eastAsia="Times New Roman" w:hAnsi="Times New Roman"/>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7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If the Securities of any series (or of any series and specified tenor) are to be redeemed in part, the Company shall not be required (A) to issue, register the transfer of or exchange any Securities of such series (or of such series and specified tenor, as the case may be) during a period beginning at the opening of business 15 days before the day of the mailing of a notice of redemption of any such Securities selected for redemption under ‎Section 1103 and ending at the close of business on the day of such mailing, or (B) to register the transfer of or exchange any Security so selected for redemption in whole or in part, except the unredeemed portion of any Security being redeemed in part.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clauses (1),‎ (2),‎ (3)‎ and (4)‎ of this paragraph shall apply only to Global Securities:</w:t>
      </w:r>
    </w:p>
    <w:p>
      <w:pPr>
        <w:spacing w:after="0" w:line="225" w:lineRule="exact"/>
        <w:rPr>
          <w:sz w:val="20"/>
          <w:szCs w:val="20"/>
          <w:color w:val="auto"/>
        </w:rPr>
      </w:pPr>
    </w:p>
    <w:p>
      <w:pPr>
        <w:ind w:left="1300" w:hanging="320"/>
        <w:spacing w:after="0" w:line="266"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Indenture, and subject to such applicable provisions, if any, as may be specified as</w:t>
      </w:r>
    </w:p>
    <w:p>
      <w:pPr>
        <w:spacing w:after="0" w:line="27" w:lineRule="exact"/>
        <w:rPr>
          <w:rFonts w:ascii="Times New Roman" w:cs="Times New Roman" w:eastAsia="Times New Roman" w:hAnsi="Times New Roman"/>
          <w:sz w:val="18"/>
          <w:szCs w:val="18"/>
          <w:color w:val="auto"/>
        </w:rPr>
      </w:pPr>
    </w:p>
    <w:p>
      <w:pPr>
        <w:ind w:left="1300"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contemplated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301,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has notified the Company that it is unwilling or unable or no longer permitted under applicable law to continue as Depositary for such Global Security, (B) there shall have occurred and be continuing an Event of Default with respect to such Global Security, (C) the Company so directs the Trustee by a Company Order or (D) there shall exist such</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if any, in addition to or in lieu of the foregoing as have been specified for this purpose as contemplated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301.</w:t>
      </w:r>
    </w:p>
    <w:p>
      <w:pPr>
        <w:spacing w:after="0" w:line="202" w:lineRule="exact"/>
        <w:rPr>
          <w:rFonts w:ascii="Times New Roman" w:cs="Times New Roman" w:eastAsia="Times New Roman" w:hAnsi="Times New Roman"/>
          <w:sz w:val="18"/>
          <w:szCs w:val="18"/>
          <w:color w:val="auto"/>
        </w:rPr>
      </w:pPr>
    </w:p>
    <w:p>
      <w:pPr>
        <w:jc w:val="both"/>
        <w:ind w:left="1300" w:right="100" w:hanging="320"/>
        <w:spacing w:after="0" w:line="268"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and to such applicable provisions, if any, as may be specified as contemplated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301,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7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Security authenticated and delivered upon registration of transfer of, or in exchange for or in lieu of, a Global Security or any</w:t>
      </w:r>
    </w:p>
    <w:p>
      <w:pPr>
        <w:spacing w:after="0" w:line="27" w:lineRule="exact"/>
        <w:rPr>
          <w:rFonts w:ascii="Times New Roman" w:cs="Times New Roman" w:eastAsia="Times New Roman" w:hAnsi="Times New Roman"/>
          <w:sz w:val="18"/>
          <w:szCs w:val="18"/>
          <w:color w:val="auto"/>
        </w:rPr>
      </w:pPr>
    </w:p>
    <w:p>
      <w:pPr>
        <w:ind w:left="130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 thereof, whether pursuant to this Section 305,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304, 306,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1107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otherwise, shall be authenticated and delivered in the form of, and shall be, a Global Security, unless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68" w:name="page69"/>
    <w:bookmarkEnd w:id="68"/>
    <w:p>
      <w:pPr>
        <w:ind w:left="1300"/>
        <w:spacing w:after="0"/>
        <w:rPr>
          <w:sz w:val="20"/>
          <w:szCs w:val="20"/>
          <w:color w:val="auto"/>
        </w:rPr>
      </w:pPr>
      <w:r>
        <w:rPr>
          <w:rFonts w:ascii="Times New Roman" w:cs="Times New Roman" w:eastAsia="Times New Roman" w:hAnsi="Times New Roman"/>
          <w:sz w:val="18"/>
          <w:szCs w:val="18"/>
          <w:color w:val="auto"/>
        </w:rPr>
        <w:t>such Security is registered in the name of a Person other than the Depositary for such Global Security or a nominee thereof.</w:t>
      </w:r>
    </w:p>
    <w:p>
      <w:pPr>
        <w:spacing w:after="0" w:line="22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None of the Trustee, the Security Registrar or any Paying Agent shall have any responsibility or obligation to any beneficial owner of an interest in a Global Security, any agent member or other member of, or a participant in, Depositary or other Person with respect to the accuracy of the records of Depositary or any nominee or participant or member thereof, with respect to any ownership interest in the Securities or with respect to the delivery to any agent member or other participant, member, beneficial owner or other Person (other than Depositary) of any notice or the payment of any amount or delivery of any Securities (or other security or property) under or with respect to such Securities. All notices and communications to be given to the Holders and all payments to be made to Holders in respect of the Securities shall be given or made only to or upon the order of the registered Holders (which shall be Depositary or its nominee in the case of a Global Security). The rights of beneficial owners in any Global Security shall be exercised only through Depositary, subject to its applicable rules and procedures. The Trustee, Security Registrar and any Paying Agent may rely and shall be fully protected in relying upon information furnished by Depositary with respect to its agent members and other members, participants and any beneficial owners.</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Neither the Trustee nor the Security Registrar or any Paying Agent shall have any obligation or duty to monitor, determine or inquire as to compliance with any restrictions on transfer imposed under this Indenture or under applicable law with respect to any transfer of any interest in any Securities (including any transfers between or among direct participants or indirect participants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nor any of its agents shall have any responsibility for any actions taken or not taken by the Depositary.</w:t>
      </w:r>
    </w:p>
    <w:p>
      <w:pPr>
        <w:spacing w:after="0" w:line="18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If there shall be delivered to the Company and the Trustee (1) evidence to their satisfaction of the destruction, loss or theft of any Security and (2) such security or indemnity as may be required by them to save each of them and any agent of either of them harmless, then, in the absence of notice to the Company or the Trustee that such Security has been acquired by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purchaser, the Company shall execute and the Trustee shall authenticate and deliver, in lieu of any such destroyed, lost or stolen Security, a new Security of the same series with the Guarantees endorsed thereon containing identical terms and of like tenor and principal amount and bearing a number not contemporaneously outstanding.</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ind w:right="160"/>
        <w:spacing w:after="0" w:line="266" w:lineRule="auto"/>
        <w:rPr>
          <w:sz w:val="20"/>
          <w:szCs w:val="20"/>
          <w:color w:val="auto"/>
        </w:rPr>
      </w:pPr>
      <w:r>
        <w:rPr>
          <w:rFonts w:ascii="Times New Roman" w:cs="Times New Roman" w:eastAsia="Times New Roman" w:hAnsi="Times New Roman"/>
          <w:sz w:val="18"/>
          <w:szCs w:val="18"/>
          <w:color w:val="auto"/>
        </w:rPr>
        <w:t>Upon the issuance of any new Security under this Section‎ 306, the Company may require the payment of a sum sufficient to cover any tax or other governmental charge that may be imposed in relation thereto and any other expenses (including the fees and expenses of counsel to the Company and the fees and expenses of the Trustee and its counsel) connected therewith.</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Every new Security of any series and Guarantee issued pursuant to this Section‎ 306 in lieu of any mutilated, destroyed, lost or stolen Security shall constitute an original additional contractual obligation of the Company and the respective Guarantors, whether or not the mutilated, destroyed, lost or stolen Security shall be at any time enforceable by anyone, and shall be entitled to all the benefits of this Indenture equally and proportionately with any and all other Securities of such series and Guarantees duly issued hereunder.</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provisions of this Section‎ 306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307.</w:t>
      </w:r>
      <w:r>
        <w:rPr>
          <w:sz w:val="20"/>
          <w:szCs w:val="20"/>
          <w:color w:val="auto"/>
        </w:rPr>
        <w:tab/>
      </w:r>
      <w:r>
        <w:rPr>
          <w:rFonts w:ascii="Times New Roman" w:cs="Times New Roman" w:eastAsia="Times New Roman" w:hAnsi="Times New Roman"/>
          <w:sz w:val="17"/>
          <w:szCs w:val="17"/>
          <w:u w:val="single" w:color="auto"/>
          <w:color w:val="auto"/>
        </w:rPr>
        <w:t>Payment of Interest; Interest Rights Preserved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interest on any Security of any series which is payable, but is not punctually paid or duly provided for, on any Interest Payment Date (herein called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Defaulted Interest</w:t>
      </w:r>
      <w:r>
        <w:rPr>
          <w:rFonts w:ascii="Times New Roman" w:cs="Times New Roman" w:eastAsia="Times New Roman" w:hAnsi="Times New Roman"/>
          <w:sz w:val="17"/>
          <w:szCs w:val="17"/>
          <w:color w:val="auto"/>
        </w:rPr>
        <w:t>”) shall forthwith cease to be payable to the Holder on the relevant Regular Record Date, and such Defaulted Interest may be paid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at its election in each case, as provided in clause (1)‎ or (2)‎ below:</w:t>
      </w:r>
    </w:p>
    <w:p>
      <w:pPr>
        <w:spacing w:after="0" w:line="207" w:lineRule="exact"/>
        <w:rPr>
          <w:sz w:val="20"/>
          <w:szCs w:val="20"/>
          <w:color w:val="auto"/>
        </w:rPr>
      </w:pPr>
    </w:p>
    <w:p>
      <w:pPr>
        <w:ind w:left="1300" w:right="20" w:hanging="320"/>
        <w:spacing w:after="0" w:line="253"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payable on Securities of a series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in the name and at</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0" w:name="page71"/>
    <w:bookmarkEnd w:id="70"/>
    <w:p>
      <w:pPr>
        <w:ind w:left="1300" w:right="60"/>
        <w:spacing w:after="0" w:line="256" w:lineRule="auto"/>
        <w:rPr>
          <w:sz w:val="20"/>
          <w:szCs w:val="20"/>
          <w:color w:val="auto"/>
        </w:rPr>
      </w:pPr>
      <w:r>
        <w:rPr>
          <w:rFonts w:ascii="Times New Roman" w:cs="Times New Roman" w:eastAsia="Times New Roman" w:hAnsi="Times New Roman"/>
          <w:sz w:val="18"/>
          <w:szCs w:val="18"/>
          <w:color w:val="auto"/>
        </w:rPr>
        <w:t xml:space="preserve">the expense of the Company, shall cause notice of the proposed payment of such Defaulted Interest and the Special Record Date therefor to be given to each Holder of Securities of such series in the manner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w:t>
      </w:r>
    </w:p>
    <w:p>
      <w:pPr>
        <w:spacing w:after="0" w:line="187" w:lineRule="exact"/>
        <w:rPr>
          <w:sz w:val="20"/>
          <w:szCs w:val="20"/>
          <w:color w:val="auto"/>
        </w:rPr>
      </w:pPr>
    </w:p>
    <w:p>
      <w:pPr>
        <w:ind w:left="1300" w:right="200" w:hanging="320"/>
        <w:spacing w:after="0" w:line="261"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307,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6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 the case of any Security which is converted after any Regular Record Date and on or prior to the next succeeding Interest Payment Date (other than any Security whose Maturity is prior to such Interest Payment Date), interest whose Stated Maturity is on such Interest Payment Date shall be payable on such Interest Payment Date notwithstanding such conversion, and such interest (whether or not punctually paid or made available for payment) shall be paid to the Person in whose name that Security (or one or more Predecessor Securities) is registered at the close of business on such Regular Record Date. Except as otherwise expressly provided in the immediately preceding sentence, in the case of any Security which is converted, interest whose Stated Maturity is after the date of conversion of such Security shall not be payable. Notwithstanding the foregoing, the terms of any Security that may be converted may provide that the provisions of this paragraph do not apply, or apply with such additions, changes or omissions as may be provided thereby, to such Security.</w:t>
      </w:r>
    </w:p>
    <w:p>
      <w:pPr>
        <w:spacing w:after="0" w:line="17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308.</w:t>
      </w:r>
      <w:r>
        <w:rPr>
          <w:sz w:val="20"/>
          <w:szCs w:val="20"/>
          <w:color w:val="auto"/>
        </w:rPr>
        <w:tab/>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Prior to due presentment of a Security for registration of transfer, the Company, the Guarantors, the Trustee and any agent of the Company, a Guarantor or the Trustee may treat the Person in whose name such Security is registered as the owner of such Security for the purpose of receiving payment of principal of and premium, if any, and, subject to Section 307, any interest on such Security and for all other purposes whatsoever, whether or not such Security be overdue, and neither the Company, the Guarantors, the Trustee nor any agent of the Company, the Guarantors or the Trustee shall be affected by notice to the contrary.</w:t>
      </w:r>
    </w:p>
    <w:p>
      <w:pPr>
        <w:spacing w:after="0" w:line="18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309.</w:t>
      </w:r>
      <w:r>
        <w:rPr>
          <w:sz w:val="20"/>
          <w:szCs w:val="20"/>
          <w:color w:val="auto"/>
        </w:rPr>
        <w:tab/>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1" w:name="page72"/>
    <w:bookmarkEnd w:id="71"/>
    <w:p>
      <w:pPr>
        <w:spacing w:after="0" w:line="254" w:lineRule="auto"/>
        <w:rPr>
          <w:sz w:val="20"/>
          <w:szCs w:val="20"/>
          <w:color w:val="auto"/>
        </w:rPr>
      </w:pPr>
      <w:r>
        <w:rPr>
          <w:rFonts w:ascii="Times New Roman" w:cs="Times New Roman" w:eastAsia="Times New Roman" w:hAnsi="Times New Roman"/>
          <w:sz w:val="18"/>
          <w:szCs w:val="18"/>
          <w:color w:val="auto"/>
        </w:rPr>
        <w:t>All Securities surrendered for payment, redemption, registration of transfer or exchange or conversion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309, except as expressly permitted by this Indenture. All cancelled Securities held by the Trustee shall be disposed of in accordance with its customary procedures. The Trustee shall provide the Company confirmation of such cancelation from time to time as requested by the Company in writing.</w:t>
      </w:r>
    </w:p>
    <w:p>
      <w:pPr>
        <w:spacing w:after="0" w:line="19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310.</w:t>
      </w:r>
      <w:r>
        <w:rPr>
          <w:sz w:val="20"/>
          <w:szCs w:val="20"/>
          <w:color w:val="auto"/>
        </w:rPr>
        <w:tab/>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Except as otherwise specified as contemplated by Section‎ 301 for Securities of any series, interest on the Securities of each series shall be computed on the basis of a 360-day year of twelve 30-day months.</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311.</w:t>
      </w:r>
      <w:r>
        <w:rPr>
          <w:sz w:val="20"/>
          <w:szCs w:val="20"/>
          <w:color w:val="auto"/>
        </w:rPr>
        <w:tab/>
      </w:r>
      <w:r>
        <w:rPr>
          <w:rFonts w:ascii="Times New Roman" w:cs="Times New Roman" w:eastAsia="Times New Roman" w:hAnsi="Times New Roman"/>
          <w:sz w:val="17"/>
          <w:szCs w:val="17"/>
          <w:u w:val="single" w:color="auto"/>
          <w:color w:val="auto"/>
        </w:rPr>
        <w:t>CUSIP Numbers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in issuing any series of the Securities may use “CUSIP” or “ISIN” numbers and/or other similar numbers, if then generally in use, and thereafter with respect to such series, the Trustee may use such numbers in any notice of redemption with respect to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Securities of such series or as contained in any notice of a redemption and that reliance may be placed only on the other identification numbers printed on the Securities of such series, and any such redemption shall not be affected by any defect in or omission of such numbers. The Company shall promptly notify the Trustee in writing of any changes in the CUSIP or ISIN number(s).</w:t>
      </w:r>
    </w:p>
    <w:p>
      <w:pPr>
        <w:spacing w:after="0" w:line="18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312.</w:t>
      </w:r>
      <w:r>
        <w:rPr>
          <w:sz w:val="20"/>
          <w:szCs w:val="20"/>
          <w:color w:val="auto"/>
        </w:rPr>
        <w:tab/>
      </w:r>
      <w:r>
        <w:rPr>
          <w:rFonts w:ascii="Times New Roman" w:cs="Times New Roman" w:eastAsia="Times New Roman" w:hAnsi="Times New Roman"/>
          <w:sz w:val="18"/>
          <w:szCs w:val="18"/>
          <w:u w:val="single" w:color="auto"/>
          <w:color w:val="auto"/>
        </w:rPr>
        <w:t>Original Issue Discount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any of the Securities is an Original Issue Discount Security, the Company shall file with the Trustee promptly at the end of each calendar year (1) a written notice specifying the amount of original issue discount (including daily rates and accrual periods) accrued on such Outstanding Original Issue Discount Securities as of the end of such year and (2) such other specific information relating to such original issue discount as may then be relevant under the Internal Revenue Code.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2" w:name="page73"/>
    <w:bookmarkEnd w:id="7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0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u w:val="single" w:color="auto"/>
          <w:color w:val="auto"/>
        </w:rPr>
        <w:t>Satisfaction and Discharge of Indenture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Indenture shall, upon Company Request, cease to be of further effect with respect to any series of Securities specified in such Company Request (except as to any surviving rights of registration of transfer or exchange of Securities of such series herein expressly provided for), and the Trustee, at the expense of the Company, shall execute such instruments reasonably requested by the Company acknowledging satisfaction and discharge of this Indenture as to such series, when:</w:t>
      </w:r>
    </w:p>
    <w:p>
      <w:pPr>
        <w:spacing w:after="0" w:line="180" w:lineRule="exact"/>
        <w:rPr>
          <w:sz w:val="20"/>
          <w:szCs w:val="20"/>
          <w:color w:val="auto"/>
        </w:rPr>
      </w:pPr>
    </w:p>
    <w:p>
      <w:pPr>
        <w:ind w:left="1300" w:hanging="320"/>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(i) Securities which have been mutilated, destroyed,</w:t>
      </w:r>
    </w:p>
    <w:p>
      <w:pPr>
        <w:spacing w:after="0" w:line="27" w:lineRule="exact"/>
        <w:rPr>
          <w:rFonts w:ascii="Times New Roman" w:cs="Times New Roman" w:eastAsia="Times New Roman" w:hAnsi="Times New Roman"/>
          <w:sz w:val="18"/>
          <w:szCs w:val="18"/>
          <w:color w:val="auto"/>
        </w:rPr>
      </w:pPr>
    </w:p>
    <w:p>
      <w:pPr>
        <w:ind w:left="1680" w:right="2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or stolen and which have been replaced or paid as provided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306 and (ii) Securities for whose payment money has theretofore been deposited in trust or segregated and held in trust by the Company and thereafter repaid to the Company or</w:t>
      </w: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discharged from such trust, as provided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1003) have been delivered to the Trustee for cancellation; or</w:t>
      </w:r>
    </w:p>
    <w:p>
      <w:pPr>
        <w:spacing w:after="0" w:line="206"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such series not theretofore delivered to the Trustee for cancellation</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of the date of deposit, or</w:t>
      </w:r>
    </w:p>
    <w:p>
      <w:pPr>
        <w:spacing w:after="0" w:line="225" w:lineRule="exact"/>
        <w:rPr>
          <w:rFonts w:ascii="Times New Roman" w:cs="Times New Roman" w:eastAsia="Times New Roman" w:hAnsi="Times New Roman"/>
          <w:sz w:val="18"/>
          <w:szCs w:val="18"/>
          <w:color w:val="auto"/>
        </w:rPr>
      </w:pPr>
    </w:p>
    <w:p>
      <w:pPr>
        <w:ind w:right="100" w:firstLine="8"/>
        <w:spacing w:after="0" w:line="282" w:lineRule="auto"/>
        <w:tabs>
          <w:tab w:leader="none" w:pos="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premium, if any, and interest to the date of such deposit (in the case of Securities which have become due and payable) or to the Stated Maturity or Redemption Date, as the case may be;</w:t>
      </w:r>
    </w:p>
    <w:p>
      <w:pPr>
        <w:spacing w:after="0" w:line="180" w:lineRule="exact"/>
        <w:rPr>
          <w:sz w:val="20"/>
          <w:szCs w:val="20"/>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color w:val="auto"/>
        </w:rPr>
        <w:t>Notwithstanding the satisfaction and discharge of this Indenture, the obligations of the Company to the Trustee under Section‎ 607 and, if money shall have</w:t>
      </w:r>
    </w:p>
    <w:p>
      <w:pPr>
        <w:spacing w:after="0" w:line="3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been deposited with the Trustee pursuant to subclause (B)‎ of clause (1)‎ of this Section‎ 401, the obligations of the Trustee under Section‎ 402 and the last paragraph of ‎Section 1003 shall survive.</w:t>
      </w:r>
    </w:p>
    <w:p>
      <w:pPr>
        <w:spacing w:after="0" w:line="18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u w:val="single" w:color="auto"/>
          <w:color w:val="auto"/>
        </w:rPr>
        <w:t>Application of Trust Money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last paragraph of ‎Section 1003, all money deposited with the Trustee pursuant to ‎Section 401 shall be held in trust and applied by it, in accordance with the provisions of the applicable series of Securities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All money deposited with the Trustee pursuant to Section 401 (and held by it or any Paying Agent) for the payment of Securities subsequently converted into other property shall be returned to the Company upon Company Request. The Company may direct by a Company Order the investment of any money deposited with the Trustee pursuant to Section 401, without distinction between principal and income, in (1) United States Treasury securities with a maturity of one year or less or (2) a money market fund that invests solely in short-term United States Treasury securities (including money market funds for which the Trustee or an affiliate of the Trustee serves as investment advisor, administrator, shareholder, servicing agent and/or custodian or sub-custodian, notwithstanding that (a) the Trustee charges and collects fees and expenses from such funds for services rendered and (b) the Trustee charges and collects fees and expenses for services rendered pursuant to this Indenture at any time) and from time to time the Company may direct the reinvestment of all or a portion of such money in other securities or funds meeting the criteria specified in clause ‎(1) or ‎(2) of this ‎Section 402.</w:t>
      </w:r>
    </w:p>
    <w:p>
      <w:pPr>
        <w:spacing w:after="0" w:line="18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0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Except as may be otherwise provided pursuant to Section‎ 301 for Securities of any series,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means, whenever used herein or in a Security issued hereunder with respect to Securities of any series,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0" w:lineRule="exact"/>
        <w:rPr>
          <w:sz w:val="20"/>
          <w:szCs w:val="20"/>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installment of interest on any Security of such series for 30 days after becoming due;</w:t>
      </w:r>
    </w:p>
    <w:p>
      <w:pPr>
        <w:spacing w:after="0" w:line="225" w:lineRule="exact"/>
        <w:rPr>
          <w:rFonts w:ascii="Times New Roman" w:cs="Times New Roman" w:eastAsia="Times New Roman" w:hAnsi="Times New Roman"/>
          <w:sz w:val="18"/>
          <w:szCs w:val="18"/>
          <w:color w:val="auto"/>
        </w:rPr>
      </w:pPr>
    </w:p>
    <w:p>
      <w:pPr>
        <w:ind w:left="1300" w:right="100" w:hanging="320"/>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Security of such series when the same becomes due and payable at its Stated Maturity, upon optional redemption, upon declaration or otherwise;</w:t>
      </w: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74" w:name="page75"/>
    <w:bookmarkEnd w:id="74"/>
    <w:p>
      <w:pPr>
        <w:ind w:left="320" w:hanging="320"/>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deposit of any sinking fund payment, when and as due by the terms of a Security of such series;</w:t>
      </w:r>
    </w:p>
    <w:p>
      <w:pPr>
        <w:spacing w:after="0" w:line="225" w:lineRule="exact"/>
        <w:rPr>
          <w:rFonts w:ascii="Times New Roman" w:cs="Times New Roman" w:eastAsia="Times New Roman" w:hAnsi="Times New Roman"/>
          <w:sz w:val="18"/>
          <w:szCs w:val="18"/>
          <w:color w:val="auto"/>
        </w:rPr>
      </w:pPr>
    </w:p>
    <w:p>
      <w:pPr>
        <w:ind w:left="320" w:right="40" w:hanging="320"/>
        <w:spacing w:after="0" w:line="266" w:lineRule="auto"/>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defaults in the performance of, or breaches, any of its covenants and agreements in respect of any Security of such series contained in this Indenture or in the Securities of such series (other than those referred to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 above), and such default or breach continues for a period of 90 days after the notice specified below;</w:t>
      </w:r>
    </w:p>
    <w:p>
      <w:pPr>
        <w:spacing w:after="0" w:line="175"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the Bankruptcy Law (as defined below):</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 or proceeding;</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(as defined below) of it or for all or substantially all of its property;</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petition in bankruptcy or answer or consent seeking reorganization or relief;</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filing of such petition or the appointment of or taking possession by a Custodian; or</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comparable action under any foreign laws relating to insolvency;</w:t>
      </w:r>
    </w:p>
    <w:p>
      <w:pPr>
        <w:spacing w:after="0" w:line="225"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 or adjudicates the Company insolvent or bankrupt;</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the property of the Company; or</w:t>
      </w:r>
    </w:p>
    <w:p>
      <w:pPr>
        <w:spacing w:after="0" w:line="225" w:lineRule="exact"/>
        <w:rPr>
          <w:rFonts w:ascii="Times New Roman" w:cs="Times New Roman" w:eastAsia="Times New Roman" w:hAnsi="Times New Roman"/>
          <w:sz w:val="18"/>
          <w:szCs w:val="18"/>
          <w:color w:val="auto"/>
        </w:rPr>
      </w:pPr>
    </w:p>
    <w:p>
      <w:pPr>
        <w:ind w:left="980" w:hanging="332"/>
        <w:spacing w:after="0" w:line="282" w:lineRule="auto"/>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winding-up or liquidation of the Company (or any similar relief is granted under any foreign laws), and the order or decree remains unstayed and in effect for 90 days; or </w:t>
      </w:r>
    </w:p>
    <w:p>
      <w:pPr>
        <w:spacing w:after="0" w:line="161"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such series occurs.</w:t>
      </w:r>
    </w:p>
    <w:p>
      <w:pPr>
        <w:spacing w:after="0" w:line="3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60"/>
          </w:cols>
          <w:pgMar w:left="1300" w:top="580" w:right="539" w:bottom="1440" w:gutter="0" w:footer="0" w:header="0"/>
        </w:sectPr>
      </w:pPr>
    </w:p>
    <w:bookmarkStart w:id="75" w:name="page76"/>
    <w:bookmarkEnd w:id="75"/>
    <w:p>
      <w:pPr>
        <w:ind w:right="820"/>
        <w:spacing w:after="0" w:line="28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Title 11, United States Code, or any similar Federal or state or foreign law for the relief of debtors. The term “</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any custodian, receiver, trustee, assignee, liquidator or other similar official under any Bankruptcy Law.</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Default with respect to Securities of any series under clause (4)‎ of this Section‎ 501 shall not be an Event of Default until the Trustee (by written notice to the Company) or the Holders of at least 30% in aggregate principal amount of the outstanding Securities of such series (by written notice to the Company and the Trustee) gives notice of the Default and the Company does not cure such Default within the time specified in clause (4)‎ after receipt of such notice. Such notice must specify the Default, demand that it be remedied and state that such notice is a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u w:val="single" w:color="auto"/>
          <w:color w:val="auto"/>
        </w:rPr>
        <w:t>Acceleration of Maturity; Rescission and Annulment.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at the time Outstanding (other than an Event of Default specified in ‎Section 501(5) or ‎(6)) occurs and is continuing, then in every such case the Trustee or the Holders of not less than 30% in aggregate principal amount of the Outstanding Securities of such series may declare the principal amount of all the Securities of such series (or, if any Securities of such series are Original Issue Discount Securities, such portion of the principal amount of such Securities as may be specified by the terms thereof), together with any accrued and unpaid interest thereon, to be due and payable immediately, by a notice in writing to the Company (and to the Trustee if given by Holders), and upon any such declaration, such principal amount (or specified amount), together with any accrued and unpaid interest thereon, shall become immediately due and payable. If an Event of Default specified in ‎Section 501(5) or ‎(6) with respect to the Securities of any series at the time Outstanding occurs, the principal amount of all the Securities of such series (or, in the case of any Security of such series which specifies an amount to be due and payable thereon upon acceleration of the Maturity thereof, such amount as may be specified by the terms thereof), together with any accrued and unpaid interest thereon, shall automatically, and without any declaration or other action on the part of the Trustee or any Holder, become immediately due and payable. Upon payment of such amount, all obligations of the Company in respect of the payment of principal and interest of the Securities of such series shall terminate.</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Except as may otherwise be provided pursuant to ‎Section 301 for all or any specific Securities of any series, at any time after such a declaration of acceleration with respect to the Securities of any series has been made and before a judgment or decree for payment of the money due has been obtained by the Trustee as hereinafter in this ‎Article V provided, the Holders of a majority in aggregate principal amount of the Outstanding Securities of such series, by written notice to the Company and the Trustee, may rescind and annul such declaration and its consequences if:</w:t>
      </w:r>
    </w:p>
    <w:p>
      <w:pPr>
        <w:spacing w:after="0" w:line="180" w:lineRule="exact"/>
        <w:rPr>
          <w:sz w:val="20"/>
          <w:szCs w:val="20"/>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the Trustee a sum sufficient to pay:</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on all Securities of such series,</w:t>
      </w:r>
    </w:p>
    <w:p>
      <w:pPr>
        <w:spacing w:after="0" w:line="225" w:lineRule="exact"/>
        <w:rPr>
          <w:rFonts w:ascii="Times New Roman" w:cs="Times New Roman" w:eastAsia="Times New Roman" w:hAnsi="Times New Roman"/>
          <w:sz w:val="18"/>
          <w:szCs w:val="18"/>
          <w:color w:val="auto"/>
        </w:rPr>
      </w:pPr>
    </w:p>
    <w:p>
      <w:pPr>
        <w:ind w:left="1960" w:right="20" w:hanging="332"/>
        <w:spacing w:after="0" w:line="282"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of such series which have become due otherwise than by such declaration of acceleration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ind w:left="1960"/>
        <w:spacing w:after="0"/>
        <w:rPr>
          <w:sz w:val="20"/>
          <w:szCs w:val="20"/>
          <w:color w:val="auto"/>
        </w:rPr>
      </w:pPr>
      <w:r>
        <w:rPr>
          <w:rFonts w:ascii="Times New Roman" w:cs="Times New Roman" w:eastAsia="Times New Roman" w:hAnsi="Times New Roman"/>
          <w:sz w:val="18"/>
          <w:szCs w:val="18"/>
          <w:color w:val="auto"/>
        </w:rPr>
        <w:t>and any interest thereon at the rate or rates prescribed therefor in the Securities of such series,</w:t>
      </w:r>
    </w:p>
    <w:p>
      <w:pPr>
        <w:spacing w:after="0" w:line="225" w:lineRule="exact"/>
        <w:rPr>
          <w:sz w:val="20"/>
          <w:szCs w:val="20"/>
          <w:color w:val="auto"/>
        </w:rPr>
      </w:pPr>
    </w:p>
    <w:p>
      <w:pPr>
        <w:ind w:left="1960" w:right="60" w:hanging="332"/>
        <w:spacing w:after="0" w:line="282"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or rates prescribed therefor in such Securities, and</w:t>
      </w:r>
    </w:p>
    <w:p>
      <w:pPr>
        <w:spacing w:after="0" w:line="16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hereunder and the compensation, expenses, disbursements and advances of the Trustee, its agents and counsel;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Securities of such series, other than the non-payment of the principal of Securities of such series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have become due solely by such declaration of acceleration, have been cured or waived as provided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7"/>
          <w:szCs w:val="17"/>
          <w:u w:val="single" w:color="auto"/>
          <w:color w:val="auto"/>
        </w:rPr>
        <w:t>Collection of Indebtedness and Suits for Enforcement by Trustee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covenants that if (1) default is made in the payment of any interest on any Security when such interest becomes due and payable and such default continues for a period of 30 days, or (2) default is made in the payment of the principal of or premium, if any, on any Security at the Maturity thereof, it will, upon demand of the Trustee, pay to the Trustee, for the benefit of the Holders of such Securities, the whole amount then due and payable on such Securities for principal and premium, if any,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compensation, expenses, disbursements and advances of the Trustee, its agents and counsel.</w:t>
      </w:r>
    </w:p>
    <w:p>
      <w:pPr>
        <w:spacing w:after="0" w:line="18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504.</w:t>
      </w:r>
      <w:r>
        <w:rPr>
          <w:sz w:val="20"/>
          <w:szCs w:val="20"/>
          <w:color w:val="auto"/>
        </w:rPr>
        <w:tab/>
      </w:r>
      <w:r>
        <w:rPr>
          <w:rFonts w:ascii="Times New Roman" w:cs="Times New Roman" w:eastAsia="Times New Roman" w:hAnsi="Times New Roman"/>
          <w:sz w:val="17"/>
          <w:szCs w:val="17"/>
          <w:u w:val="single" w:color="auto"/>
          <w:color w:val="auto"/>
        </w:rPr>
        <w:t>Trustee May File Proofs of Claim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7" w:name="page78"/>
    <w:bookmarkEnd w:id="77"/>
    <w:p>
      <w:pPr>
        <w:ind w:right="380"/>
        <w:spacing w:after="0" w:line="282" w:lineRule="auto"/>
        <w:rPr>
          <w:sz w:val="20"/>
          <w:szCs w:val="20"/>
          <w:color w:val="auto"/>
        </w:rPr>
      </w:pPr>
      <w:r>
        <w:rPr>
          <w:rFonts w:ascii="Times New Roman" w:cs="Times New Roman" w:eastAsia="Times New Roman" w:hAnsi="Times New Roman"/>
          <w:sz w:val="18"/>
          <w:szCs w:val="18"/>
          <w:color w:val="auto"/>
        </w:rPr>
        <w:t>and, in the event that the Trustee shall consent to the making of such payments directly to the Holders, to pay to the Trustee any amount due it and any predecessor Trustee under ‎Section 607.</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may, on behalf of the Holders, vote for the election of a trustee in bankruptcy or similar official and be a member of a creditors’ or other similar committee.</w:t>
      </w:r>
    </w:p>
    <w:p>
      <w:pPr>
        <w:spacing w:after="0" w:line="18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505.</w:t>
      </w:r>
      <w:r>
        <w:rPr>
          <w:sz w:val="20"/>
          <w:szCs w:val="20"/>
          <w:color w:val="auto"/>
        </w:rPr>
        <w:tab/>
      </w:r>
      <w:r>
        <w:rPr>
          <w:rFonts w:ascii="Times New Roman" w:cs="Times New Roman" w:eastAsia="Times New Roman" w:hAnsi="Times New Roman"/>
          <w:sz w:val="17"/>
          <w:szCs w:val="17"/>
          <w:u w:val="single" w:color="auto"/>
          <w:color w:val="auto"/>
        </w:rPr>
        <w:t>Trustee May Enforce Claims Without Possession of Securities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expenses, disbursements and advances of the Trustee, any predecessor Trustee under ‎Section 607, its agents and counsel, be for the ratable benefit of the Holders of the Securities in respect of which such judgment has been recovered.</w:t>
      </w:r>
    </w:p>
    <w:p>
      <w:pPr>
        <w:spacing w:after="0" w:line="18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506.</w:t>
      </w:r>
      <w:r>
        <w:rPr>
          <w:sz w:val="20"/>
          <w:szCs w:val="20"/>
          <w:color w:val="auto"/>
        </w:rPr>
        <w:tab/>
      </w:r>
      <w:r>
        <w:rPr>
          <w:rFonts w:ascii="Times New Roman" w:cs="Times New Roman" w:eastAsia="Times New Roman" w:hAnsi="Times New Roman"/>
          <w:sz w:val="17"/>
          <w:szCs w:val="17"/>
          <w:u w:val="single" w:color="auto"/>
          <w:color w:val="auto"/>
        </w:rPr>
        <w:t>Application of Money Collected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money or property collected by the Trustee pursuant to this Article‎ V shall be applied in the following order, at the date or dates fixed by the Trustee and, in case of the distribution of such money or property on account of principal or premium, if any, or interest, upon presentation of the Securities and the notation thereon of the payment if only partially paid and upon surrender thereof if fully 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To the payment of all amounts due the Trustee, the Paying Agent and the Security Registrar under Section‎ 607;</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premium, if any, and interest on the Securities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507.</w:t>
      </w:r>
      <w:r>
        <w:rPr>
          <w:sz w:val="20"/>
          <w:szCs w:val="20"/>
          <w:color w:val="auto"/>
        </w:rPr>
        <w:tab/>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assignee, trustee, liquidator or sequestrator (or similar official) or for any other remedy hereunder, unless:</w:t>
      </w:r>
    </w:p>
    <w:p>
      <w:pPr>
        <w:spacing w:after="0" w:line="162" w:lineRule="exact"/>
        <w:rPr>
          <w:sz w:val="20"/>
          <w:szCs w:val="20"/>
          <w:color w:val="auto"/>
        </w:rPr>
      </w:pPr>
    </w:p>
    <w:p>
      <w:pPr>
        <w:ind w:left="1300" w:right="340" w:hanging="320"/>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such series;</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8" w:name="page79"/>
    <w:bookmarkEnd w:id="78"/>
    <w:p>
      <w:pPr>
        <w:ind w:left="1300" w:right="440" w:hanging="320"/>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30% in aggregate principal amount of the Outstanding Securities of such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and if requested, have provided, to the Trustee security and/or indemnity satisfactory to it against the costs, expenses and liabilities to be incurred in compliance with such request;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any such proceeding for 60 days after its receipt of such notice, request and offer of indemnity; and</w:t>
      </w:r>
    </w:p>
    <w:p>
      <w:pPr>
        <w:spacing w:after="0" w:line="225"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aggregate principal amount of the Outstanding Securities of such series;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508.</w:t>
      </w:r>
      <w:r>
        <w:rPr>
          <w:sz w:val="20"/>
          <w:szCs w:val="20"/>
          <w:color w:val="auto"/>
        </w:rPr>
        <w:tab/>
      </w:r>
      <w:r>
        <w:rPr>
          <w:rFonts w:ascii="Times New Roman" w:cs="Times New Roman" w:eastAsia="Times New Roman" w:hAnsi="Times New Roman"/>
          <w:sz w:val="17"/>
          <w:szCs w:val="17"/>
          <w:u w:val="single" w:color="auto"/>
          <w:color w:val="auto"/>
        </w:rPr>
        <w:t>Unconditional Right of Holders to Receive Principal, Premium and Interest and to Convert Securities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premium, if any, and, subject to ‎Section 307, interest on such Security on the respective Stated Maturities expressed in such Security (or, in the case of redemption or repayment, on the Redemption Date or date for repayment, as the case may be, and, if the terms of such Security so provide, to convert such Security in accordance with its terms) and to institute suit for the enforcement of any such payment and, if applicable, any such right to convert, and such rights shall not be impaired without the consent of such Holder.</w:t>
      </w:r>
    </w:p>
    <w:p>
      <w:pPr>
        <w:spacing w:after="0" w:line="18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509.</w:t>
      </w:r>
      <w:r>
        <w:rPr>
          <w:sz w:val="20"/>
          <w:szCs w:val="20"/>
          <w:color w:val="auto"/>
        </w:rPr>
        <w:tab/>
      </w:r>
      <w:r>
        <w:rPr>
          <w:rFonts w:ascii="Times New Roman" w:cs="Times New Roman" w:eastAsia="Times New Roman" w:hAnsi="Times New Roman"/>
          <w:sz w:val="17"/>
          <w:szCs w:val="17"/>
          <w:u w:val="single" w:color="auto"/>
          <w:color w:val="auto"/>
        </w:rPr>
        <w:t>Rights and Remedies Cumulative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510.</w:t>
      </w:r>
      <w:r>
        <w:rPr>
          <w:sz w:val="20"/>
          <w:szCs w:val="20"/>
          <w:color w:val="auto"/>
        </w:rPr>
        <w:tab/>
      </w:r>
      <w:r>
        <w:rPr>
          <w:rFonts w:ascii="Times New Roman" w:cs="Times New Roman" w:eastAsia="Times New Roman" w:hAnsi="Times New Roman"/>
          <w:sz w:val="17"/>
          <w:szCs w:val="17"/>
          <w:u w:val="single" w:color="auto"/>
          <w:color w:val="auto"/>
        </w:rPr>
        <w:t>Delay or Omission Not Waiver</w:t>
      </w:r>
      <w:r>
        <w:rPr>
          <w:rFonts w:ascii="Times New Roman" w:cs="Times New Roman" w:eastAsia="Times New Roman" w:hAnsi="Times New Roman"/>
          <w:sz w:val="17"/>
          <w:szCs w:val="17"/>
          <w:color w:val="auto"/>
        </w:rPr>
        <w:t>.</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9" w:name="page80"/>
    <w:bookmarkEnd w:id="79"/>
    <w:p>
      <w:pPr>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V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511.</w:t>
      </w:r>
      <w:r>
        <w:rPr>
          <w:sz w:val="20"/>
          <w:szCs w:val="20"/>
          <w:color w:val="auto"/>
        </w:rPr>
        <w:tab/>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 xml:space="preserve">The Holders of not less than a majority in aggregate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6" w:lineRule="exact"/>
        <w:rPr>
          <w:sz w:val="20"/>
          <w:szCs w:val="20"/>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 and</w:t>
      </w:r>
    </w:p>
    <w:p>
      <w:pPr>
        <w:spacing w:after="0" w:line="225" w:lineRule="exact"/>
        <w:rPr>
          <w:rFonts w:ascii="Times New Roman" w:cs="Times New Roman" w:eastAsia="Times New Roman" w:hAnsi="Times New Roman"/>
          <w:sz w:val="18"/>
          <w:szCs w:val="18"/>
          <w:color w:val="auto"/>
        </w:rPr>
      </w:pPr>
    </w:p>
    <w:p>
      <w:pPr>
        <w:ind w:right="1700" w:firstLine="980"/>
        <w:spacing w:after="0" w:line="500" w:lineRule="auto"/>
        <w:tabs>
          <w:tab w:leader="none" w:pos="1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may take any other action deemed proper by the Trustee which is not inconsistent with such direction. Section 512.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Holders of not less than a majority in aggregate principal amount of the Outstanding Securities of any series may on behalf of the Holders of all the Securities of such series waive any past default hereunder with respect to such series and its consequences, except a default</w:t>
      </w:r>
    </w:p>
    <w:p>
      <w:pPr>
        <w:spacing w:after="0" w:line="162" w:lineRule="exact"/>
        <w:rPr>
          <w:sz w:val="20"/>
          <w:szCs w:val="20"/>
          <w:color w:val="auto"/>
        </w:rPr>
      </w:pPr>
    </w:p>
    <w:p>
      <w:pPr>
        <w:ind w:left="1300" w:hanging="320"/>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if any, or interest on any Security of such series, or</w:t>
      </w:r>
    </w:p>
    <w:p>
      <w:pPr>
        <w:spacing w:after="0" w:line="221" w:lineRule="exact"/>
        <w:rPr>
          <w:rFonts w:ascii="Times New Roman" w:cs="Times New Roman" w:eastAsia="Times New Roman" w:hAnsi="Times New Roman"/>
          <w:sz w:val="18"/>
          <w:szCs w:val="18"/>
          <w:color w:val="auto"/>
        </w:rPr>
      </w:pPr>
    </w:p>
    <w:p>
      <w:pPr>
        <w:ind w:left="1300" w:right="60" w:hanging="320"/>
        <w:spacing w:after="0" w:line="28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which under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IX cannot be modified or amended without the consent of the Holder of each Outstanding Security of such series affected.</w:t>
      </w:r>
    </w:p>
    <w:p>
      <w:pPr>
        <w:spacing w:after="0" w:line="15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513.</w:t>
      </w:r>
      <w:r>
        <w:rPr>
          <w:sz w:val="20"/>
          <w:szCs w:val="20"/>
          <w:color w:val="auto"/>
        </w:rPr>
        <w:tab/>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reasonable costs against</w:t>
      </w:r>
    </w:p>
    <w:p>
      <w:pPr>
        <w:ind w:right="180"/>
        <w:spacing w:after="0" w:line="277" w:lineRule="auto"/>
        <w:rPr>
          <w:sz w:val="20"/>
          <w:szCs w:val="20"/>
          <w:color w:val="auto"/>
        </w:rPr>
      </w:pPr>
      <w:r>
        <w:rPr>
          <w:rFonts w:ascii="Times New Roman" w:cs="Times New Roman" w:eastAsia="Times New Roman" w:hAnsi="Times New Roman"/>
          <w:sz w:val="17"/>
          <w:szCs w:val="17"/>
          <w:color w:val="auto"/>
        </w:rPr>
        <w:t xml:space="preserve">any such party litigant, in the manner and to the extent provided in the Trust Indenture 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neither this Section‎ 513 nor the Trust Indenture Act shall be deemed to authorize any court to require such an undertaking or to make such an assessment in any suit instituted by the Company or the Trustee, a suit by a Holder under ‎Section 508, or a suit by Holders of more than 20% in aggregate principal amount of the Outstanding Securities.</w:t>
      </w:r>
    </w:p>
    <w:p>
      <w:pPr>
        <w:spacing w:after="0" w:line="16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514.</w:t>
      </w:r>
      <w:r>
        <w:rPr>
          <w:sz w:val="20"/>
          <w:szCs w:val="20"/>
          <w:color w:val="auto"/>
        </w:rPr>
        <w:tab/>
      </w:r>
      <w:r>
        <w:rPr>
          <w:rFonts w:ascii="Times New Roman" w:cs="Times New Roman" w:eastAsia="Times New Roman" w:hAnsi="Times New Roman"/>
          <w:sz w:val="17"/>
          <w:szCs w:val="17"/>
          <w:u w:val="single" w:color="auto"/>
          <w:color w:val="auto"/>
        </w:rPr>
        <w:t>Waiver of Usury, Stay or Extension Laws</w:t>
      </w:r>
      <w:r>
        <w:rPr>
          <w:rFonts w:ascii="Times New Roman" w:cs="Times New Roman" w:eastAsia="Times New Roman" w:hAnsi="Times New Roman"/>
          <w:sz w:val="17"/>
          <w:szCs w:val="17"/>
          <w:color w:val="auto"/>
        </w:rPr>
        <w:t>.</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80" w:name="page81"/>
    <w:bookmarkEnd w:id="80"/>
    <w:p>
      <w:pPr>
        <w:ind w:right="20"/>
        <w:spacing w:after="0" w:line="258" w:lineRule="auto"/>
        <w:rPr>
          <w:sz w:val="20"/>
          <w:szCs w:val="20"/>
          <w:color w:val="auto"/>
        </w:rPr>
      </w:pPr>
      <w:r>
        <w:rPr>
          <w:rFonts w:ascii="Times New Roman" w:cs="Times New Roman" w:eastAsia="Times New Roman" w:hAnsi="Times New Roman"/>
          <w:sz w:val="18"/>
          <w:szCs w:val="18"/>
          <w:color w:val="auto"/>
        </w:rPr>
        <w:t>Each of the Company and the Guarantors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each of the Company and the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515.</w:t>
      </w:r>
      <w:r>
        <w:rPr>
          <w:sz w:val="20"/>
          <w:szCs w:val="20"/>
          <w:color w:val="auto"/>
        </w:rPr>
        <w:tab/>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0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7"/>
          <w:szCs w:val="17"/>
          <w:u w:val="single" w:color="auto"/>
          <w:color w:val="auto"/>
        </w:rPr>
        <w:t>Certain Duties and Responsibilities of Trustee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hanging="320"/>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 with respect to any series of Securities,</w:t>
      </w:r>
    </w:p>
    <w:p>
      <w:pPr>
        <w:spacing w:after="0" w:line="225" w:lineRule="exact"/>
        <w:rPr>
          <w:rFonts w:ascii="Times New Roman" w:cs="Times New Roman" w:eastAsia="Times New Roman" w:hAnsi="Times New Roman"/>
          <w:sz w:val="18"/>
          <w:szCs w:val="18"/>
          <w:color w:val="auto"/>
        </w:rPr>
      </w:pPr>
    </w:p>
    <w:p>
      <w:pPr>
        <w:ind w:left="1680" w:right="40" w:hanging="376"/>
        <w:spacing w:after="0" w:line="266" w:lineRule="auto"/>
        <w:tabs>
          <w:tab w:leader="none" w:pos="16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in this Indenture with respect to the Securities of such series, and no implied covenants or obligations shall be read into this Indenture against the Trustee with respect to such series; and</w:t>
      </w:r>
    </w:p>
    <w:p>
      <w:pPr>
        <w:spacing w:after="0" w:line="175" w:lineRule="exact"/>
        <w:rPr>
          <w:rFonts w:ascii="Times New Roman" w:cs="Times New Roman" w:eastAsia="Times New Roman" w:hAnsi="Times New Roman"/>
          <w:sz w:val="18"/>
          <w:szCs w:val="18"/>
          <w:color w:val="auto"/>
        </w:rPr>
      </w:pPr>
    </w:p>
    <w:p>
      <w:pPr>
        <w:ind w:left="1680" w:hanging="376"/>
        <w:spacing w:after="0" w:line="256" w:lineRule="auto"/>
        <w:tabs>
          <w:tab w:leader="none" w:pos="16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gross negligence or willful misconduct on its part, the Trustee may rely with respect to the Securities of such series,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87"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 Event of Default with respect to any series of Securities has occurred and is continuing, the Trustee shall exercise such of the rights and powers vested in it by this Indenture with respect to the Securities of such series, and use the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ind w:left="1300"/>
        <w:spacing w:after="0" w:line="282" w:lineRule="auto"/>
        <w:rPr>
          <w:sz w:val="20"/>
          <w:szCs w:val="20"/>
          <w:color w:val="auto"/>
        </w:rPr>
      </w:pPr>
      <w:r>
        <w:rPr>
          <w:rFonts w:ascii="Times New Roman" w:cs="Times New Roman" w:eastAsia="Times New Roman" w:hAnsi="Times New Roman"/>
          <w:sz w:val="18"/>
          <w:szCs w:val="18"/>
          <w:color w:val="auto"/>
        </w:rPr>
        <w:t>same degree of care and skill in their exercise, as a prudent person would exercise or use under the circumstances in the conduct of his or her own affairs.</w:t>
      </w:r>
    </w:p>
    <w:p>
      <w:pPr>
        <w:spacing w:after="0" w:line="162" w:lineRule="exact"/>
        <w:rPr>
          <w:sz w:val="20"/>
          <w:szCs w:val="20"/>
          <w:color w:val="auto"/>
        </w:rPr>
      </w:pPr>
    </w:p>
    <w:p>
      <w:pPr>
        <w:ind w:left="1300" w:right="420" w:hanging="320"/>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gross negligence or its own willful misconduct as determined by a final non-appealable order of a court of competent jurisdiction, except that:</w:t>
      </w:r>
    </w:p>
    <w:p>
      <w:pPr>
        <w:spacing w:after="0" w:line="157"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601(3) shall not be construed to limit the effect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601(1);</w:t>
      </w:r>
    </w:p>
    <w:p>
      <w:pPr>
        <w:spacing w:after="0" w:line="229" w:lineRule="exact"/>
        <w:rPr>
          <w:rFonts w:ascii="Times New Roman" w:cs="Times New Roman" w:eastAsia="Times New Roman" w:hAnsi="Times New Roman"/>
          <w:sz w:val="18"/>
          <w:szCs w:val="18"/>
          <w:color w:val="auto"/>
        </w:rPr>
      </w:pPr>
    </w:p>
    <w:p>
      <w:pPr>
        <w:ind w:left="1680" w:right="140" w:hanging="376"/>
        <w:spacing w:after="0" w:line="282" w:lineRule="auto"/>
        <w:tabs>
          <w:tab w:leader="none" w:pos="16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shall be proved that the Trustee was grossly negligent in ascertaining the pertinent facts;</w:t>
      </w:r>
    </w:p>
    <w:p>
      <w:pPr>
        <w:spacing w:after="0" w:line="161" w:lineRule="exact"/>
        <w:rPr>
          <w:rFonts w:ascii="Times New Roman" w:cs="Times New Roman" w:eastAsia="Times New Roman" w:hAnsi="Times New Roman"/>
          <w:sz w:val="18"/>
          <w:szCs w:val="18"/>
          <w:color w:val="auto"/>
        </w:rPr>
      </w:pPr>
    </w:p>
    <w:p>
      <w:pPr>
        <w:ind w:left="1680" w:right="420" w:hanging="376"/>
        <w:spacing w:after="0" w:line="258" w:lineRule="auto"/>
        <w:tabs>
          <w:tab w:leader="none" w:pos="16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a majority in aggregate principal amount of the Outstanding Securities of any series, determined as provided in Sections 101,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104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511,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relating to the time, method and place of conducting any proceeding for any remedy available to the Trustee, or exercising any trust or power conferred upon the Trustee, under this Indenture with respect to the Securities of such series; and</w:t>
      </w:r>
    </w:p>
    <w:p>
      <w:pPr>
        <w:spacing w:after="0" w:line="183" w:lineRule="exact"/>
        <w:rPr>
          <w:rFonts w:ascii="Times New Roman" w:cs="Times New Roman" w:eastAsia="Times New Roman" w:hAnsi="Times New Roman"/>
          <w:sz w:val="18"/>
          <w:szCs w:val="18"/>
          <w:color w:val="auto"/>
        </w:rPr>
      </w:pPr>
    </w:p>
    <w:p>
      <w:pPr>
        <w:ind w:left="1680" w:right="180" w:hanging="376"/>
        <w:spacing w:after="0" w:line="282" w:lineRule="auto"/>
        <w:tabs>
          <w:tab w:leader="none" w:pos="16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duties hereunder, or in the exercise of any of its rights or powers.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affording protection to the Trustee shall be subject to the provisions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w:t>
      </w:r>
    </w:p>
    <w:p>
      <w:pPr>
        <w:spacing w:after="0" w:line="206" w:lineRule="exact"/>
        <w:rPr>
          <w:rFonts w:ascii="Times New Roman" w:cs="Times New Roman" w:eastAsia="Times New Roman" w:hAnsi="Times New Roman"/>
          <w:sz w:val="18"/>
          <w:szCs w:val="18"/>
          <w:color w:val="auto"/>
        </w:rPr>
      </w:pPr>
    </w:p>
    <w:p>
      <w:pPr>
        <w:jc w:val="both"/>
        <w:ind w:left="1300" w:right="260" w:hanging="320"/>
        <w:spacing w:after="0" w:line="266"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Trustee is also acting as custodian, note registrar, paying agent, conversion agent or transfer agent hereunder, the rights and protections afforded to the Trustee pursuant to this Section 601 and Section 603 or elsewhere in this Indenture shall also be afforded to such custodian, note registrar, paying agent, conversion agent or transfer agent.</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a Default or an Event of Default occurs with respect to Securities of any series and is continuing and if it is actually known to the Trustee, the Trustee shall mail to each Holder of Securities of such series notice of the Default within the later of 90 days after it is actually known to a Responsible Officer or 30 days after the date on which a Responsible Officer obtains the knowledge. Except in the case of a Default in payment of principal of or interest on any Security, the Trustee may withhold the notice if and so long as a committee of Responsible Officers in good faith determines that withholding the notice is not opposed to the interests of Holders of Securities of such series.</w:t>
      </w: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82" w:name="page83"/>
    <w:bookmarkEnd w:id="82"/>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u w:val="single" w:color="auto"/>
          <w:color w:val="auto"/>
        </w:rPr>
        <w:t>Certain Rights of Trustee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provisions of Section‎ 601:</w:t>
      </w:r>
    </w:p>
    <w:p>
      <w:pPr>
        <w:spacing w:after="0" w:line="225" w:lineRule="exact"/>
        <w:rPr>
          <w:sz w:val="20"/>
          <w:szCs w:val="20"/>
          <w:color w:val="auto"/>
        </w:rPr>
      </w:pPr>
    </w:p>
    <w:p>
      <w:pPr>
        <w:ind w:left="1360" w:hanging="380"/>
        <w:spacing w:after="0" w:line="266" w:lineRule="auto"/>
        <w:tabs>
          <w:tab w:leader="none" w:pos="1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protected in acting or refraining from acting upon any resolution, certificate, statement, instrument, opinion, report, notice, request, direction, consent, order, judgment, bond, debenture, note, other evidence of indebtedness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left="1360" w:right="80" w:hanging="380"/>
        <w:spacing w:after="0" w:line="312" w:lineRule="auto"/>
        <w:tabs>
          <w:tab w:leader="none" w:pos="13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 requested by the Trustee, any request or direction of the Company mentioned herein shall be sufficiently evidenced by a Company Request or Company Order, and any resolution of the Board of Directors shall be sufficiently evidenced by a Board Resolution thereof;</w:t>
      </w:r>
    </w:p>
    <w:p>
      <w:pPr>
        <w:spacing w:after="0" w:line="139" w:lineRule="exact"/>
        <w:rPr>
          <w:rFonts w:ascii="Times New Roman" w:cs="Times New Roman" w:eastAsia="Times New Roman" w:hAnsi="Times New Roman"/>
          <w:sz w:val="17"/>
          <w:szCs w:val="17"/>
          <w:color w:val="auto"/>
        </w:rPr>
      </w:pPr>
    </w:p>
    <w:p>
      <w:pPr>
        <w:ind w:left="1360" w:hanging="380"/>
        <w:spacing w:after="0" w:line="266" w:lineRule="auto"/>
        <w:tabs>
          <w:tab w:leader="none" w:pos="1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rely upon an Officer’s Certificate;</w:t>
      </w:r>
    </w:p>
    <w:p>
      <w:pPr>
        <w:spacing w:after="0" w:line="175" w:lineRule="exact"/>
        <w:rPr>
          <w:rFonts w:ascii="Times New Roman" w:cs="Times New Roman" w:eastAsia="Times New Roman" w:hAnsi="Times New Roman"/>
          <w:sz w:val="18"/>
          <w:szCs w:val="18"/>
          <w:color w:val="auto"/>
        </w:rPr>
      </w:pPr>
    </w:p>
    <w:p>
      <w:pPr>
        <w:ind w:left="1360" w:right="260" w:hanging="380"/>
        <w:spacing w:after="0" w:line="266" w:lineRule="auto"/>
        <w:tabs>
          <w:tab w:leader="none" w:pos="1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75" w:lineRule="exact"/>
        <w:rPr>
          <w:rFonts w:ascii="Times New Roman" w:cs="Times New Roman" w:eastAsia="Times New Roman" w:hAnsi="Times New Roman"/>
          <w:sz w:val="18"/>
          <w:szCs w:val="18"/>
          <w:color w:val="auto"/>
        </w:rPr>
      </w:pPr>
    </w:p>
    <w:p>
      <w:pPr>
        <w:ind w:left="1360" w:hanging="380"/>
        <w:spacing w:after="0" w:line="261" w:lineRule="auto"/>
        <w:tabs>
          <w:tab w:leader="none" w:pos="1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pursuant to this Indenture, unless such Holders shall have offered, and if requested, provided to the Trustee security and/or indemnity satisfactory to the Trustee against the costs, expenses and liabilities which might be incurred by it in compliance with such request or direction;</w:t>
      </w:r>
    </w:p>
    <w:p>
      <w:pPr>
        <w:spacing w:after="0" w:line="179" w:lineRule="exact"/>
        <w:rPr>
          <w:rFonts w:ascii="Times New Roman" w:cs="Times New Roman" w:eastAsia="Times New Roman" w:hAnsi="Times New Roman"/>
          <w:sz w:val="18"/>
          <w:szCs w:val="18"/>
          <w:color w:val="auto"/>
        </w:rPr>
      </w:pPr>
    </w:p>
    <w:p>
      <w:pPr>
        <w:ind w:left="1360" w:hanging="380"/>
        <w:spacing w:after="0" w:line="256" w:lineRule="auto"/>
        <w:tabs>
          <w:tab w:leader="none" w:pos="1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judgment,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87" w:lineRule="exact"/>
        <w:rPr>
          <w:rFonts w:ascii="Times New Roman" w:cs="Times New Roman" w:eastAsia="Times New Roman" w:hAnsi="Times New Roman"/>
          <w:sz w:val="18"/>
          <w:szCs w:val="18"/>
          <w:color w:val="auto"/>
        </w:rPr>
      </w:pPr>
    </w:p>
    <w:p>
      <w:pPr>
        <w:ind w:left="1360" w:right="180" w:hanging="380"/>
        <w:spacing w:after="0" w:line="282" w:lineRule="auto"/>
        <w:tabs>
          <w:tab w:leader="none" w:pos="1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custodians, nominees or attorneys and the Trustee shall not be responsible for any misconduct or</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83" w:name="page84"/>
    <w:bookmarkEnd w:id="83"/>
    <w:p>
      <w:pPr>
        <w:ind w:left="380"/>
        <w:spacing w:after="0"/>
        <w:rPr>
          <w:sz w:val="20"/>
          <w:szCs w:val="20"/>
          <w:color w:val="auto"/>
        </w:rPr>
      </w:pPr>
      <w:r>
        <w:rPr>
          <w:rFonts w:ascii="Times New Roman" w:cs="Times New Roman" w:eastAsia="Times New Roman" w:hAnsi="Times New Roman"/>
          <w:sz w:val="18"/>
          <w:szCs w:val="18"/>
          <w:color w:val="auto"/>
        </w:rPr>
        <w:t>negligence on the part of any agent, custodian, nominee or attorney appointed with due care by it hereunder;</w:t>
      </w:r>
    </w:p>
    <w:p>
      <w:pPr>
        <w:spacing w:after="0" w:line="225" w:lineRule="exact"/>
        <w:rPr>
          <w:sz w:val="20"/>
          <w:szCs w:val="20"/>
          <w:color w:val="auto"/>
        </w:rPr>
      </w:pPr>
    </w:p>
    <w:p>
      <w:pPr>
        <w:ind w:left="380" w:right="60" w:hanging="38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to its agents;</w:t>
      </w:r>
    </w:p>
    <w:p>
      <w:pPr>
        <w:spacing w:after="0" w:line="161" w:lineRule="exact"/>
        <w:rPr>
          <w:rFonts w:ascii="Times New Roman" w:cs="Times New Roman" w:eastAsia="Times New Roman" w:hAnsi="Times New Roman"/>
          <w:sz w:val="18"/>
          <w:szCs w:val="18"/>
          <w:color w:val="auto"/>
        </w:rPr>
      </w:pPr>
    </w:p>
    <w:p>
      <w:pPr>
        <w:ind w:left="380" w:right="60" w:hanging="38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to be taken by it in good faith and reasonably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ind w:left="380" w:hanging="380"/>
        <w:spacing w:after="0" w:line="26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punitive, incidental or consequential loss or damage of any kind whatsoever (including, but not limited to, loss of profit) irrespective of whether the Trustee has been advised of the likelihood of such loss or damage and regardless of the form of action;</w:t>
      </w:r>
    </w:p>
    <w:p>
      <w:pPr>
        <w:spacing w:after="0" w:line="175" w:lineRule="exact"/>
        <w:rPr>
          <w:rFonts w:ascii="Times New Roman" w:cs="Times New Roman" w:eastAsia="Times New Roman" w:hAnsi="Times New Roman"/>
          <w:sz w:val="18"/>
          <w:szCs w:val="18"/>
          <w:color w:val="auto"/>
        </w:rPr>
      </w:pPr>
    </w:p>
    <w:p>
      <w:pPr>
        <w:ind w:left="380" w:hanging="380"/>
        <w:spacing w:after="0" w:line="254"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strikes, work stoppages, accidents, acts of war or terrorism, civil or military disturbances, local or national disturbance or disaster, nuclear or natural catastrophes or acts of God, epidemic, pandemic and interruptions, loss or malfunctions of utilities, communications or computer (software and hardware) services, or the unavailability of the Federal Reserve Bank wire or facsimile or other wire or communication facility (it being understood that the Trustee shall use reasonable efforts which are consistent with accepted practices in the banking industry to avoid and mitigate the effects of such occurrences and to resume performance as soon as practicable under the circumstances);</w:t>
      </w:r>
    </w:p>
    <w:p>
      <w:pPr>
        <w:spacing w:after="0" w:line="191" w:lineRule="exact"/>
        <w:rPr>
          <w:rFonts w:ascii="Times New Roman" w:cs="Times New Roman" w:eastAsia="Times New Roman" w:hAnsi="Times New Roman"/>
          <w:sz w:val="18"/>
          <w:szCs w:val="18"/>
          <w:color w:val="auto"/>
        </w:rPr>
      </w:pPr>
    </w:p>
    <w:p>
      <w:pPr>
        <w:ind w:left="380" w:right="80" w:hanging="380"/>
        <w:spacing w:after="0" w:line="261"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either (1) a Responsible Officer shall have actual knowledge thereof or (2) unless written notice of any event which is in fact such a default shall have been received by the Trustee at the Corporate Trust Office of the Trustee, and such notice references the Securities and this Indenture and states that it is a “Notice of Default”.</w:t>
      </w:r>
    </w:p>
    <w:p>
      <w:pPr>
        <w:spacing w:after="0" w:line="179" w:lineRule="exact"/>
        <w:rPr>
          <w:rFonts w:ascii="Times New Roman" w:cs="Times New Roman" w:eastAsia="Times New Roman" w:hAnsi="Times New Roman"/>
          <w:sz w:val="18"/>
          <w:szCs w:val="18"/>
          <w:color w:val="auto"/>
        </w:rPr>
      </w:pPr>
    </w:p>
    <w:p>
      <w:pPr>
        <w:ind w:left="380" w:hanging="380"/>
        <w:spacing w:after="0" w:line="258"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and/or an Opinion of Counsel or both. The Trustee shall not be liable for any action it takes or omits to take in good faith in reliance on an Officer’s Certificate or Opinion of Counsel; delivery of the reports and information under Section 603 and related provisions with respect to a series of Securities to the Trustee is for informational purposes only, and the information and the Trustee’s receipt of such shall not constitute actual or constructive notice of any information contained therein or determinable from information contained therein, including</w:t>
      </w:r>
    </w:p>
    <w:p>
      <w:pPr>
        <w:spacing w:after="0" w:line="29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580" w:right="339" w:bottom="1440" w:gutter="0" w:footer="0" w:header="0"/>
        </w:sectPr>
      </w:pPr>
    </w:p>
    <w:bookmarkStart w:id="84" w:name="page85"/>
    <w:bookmarkEnd w:id="84"/>
    <w:p>
      <w:pPr>
        <w:ind w:left="1340" w:right="200"/>
        <w:spacing w:after="0" w:line="282" w:lineRule="auto"/>
        <w:rPr>
          <w:sz w:val="20"/>
          <w:szCs w:val="20"/>
          <w:color w:val="auto"/>
        </w:rPr>
      </w:pPr>
      <w:r>
        <w:rPr>
          <w:rFonts w:ascii="Times New Roman" w:cs="Times New Roman" w:eastAsia="Times New Roman" w:hAnsi="Times New Roman"/>
          <w:sz w:val="18"/>
          <w:szCs w:val="18"/>
          <w:color w:val="auto"/>
        </w:rPr>
        <w:t>the Company’s compliance with any of its covenants hereunder (as to which the Trustee is entitled to conclusively rely on an Officers’ Certificate); and</w:t>
      </w:r>
    </w:p>
    <w:p>
      <w:pPr>
        <w:spacing w:after="0" w:line="162" w:lineRule="exact"/>
        <w:rPr>
          <w:sz w:val="20"/>
          <w:szCs w:val="20"/>
          <w:color w:val="auto"/>
        </w:rPr>
      </w:pPr>
    </w:p>
    <w:p>
      <w:pPr>
        <w:ind w:right="3620" w:firstLine="980"/>
        <w:spacing w:after="0" w:line="500" w:lineRule="auto"/>
        <w:tabs>
          <w:tab w:leader="none" w:pos="13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permissive rights of the Trustee enumerated herein shall not be construed as duties. Section 604. </w:t>
      </w:r>
      <w:r>
        <w:rPr>
          <w:rFonts w:ascii="Times New Roman" w:cs="Times New Roman" w:eastAsia="Times New Roman" w:hAnsi="Times New Roman"/>
          <w:sz w:val="18"/>
          <w:szCs w:val="18"/>
          <w:u w:val="single" w:color="auto"/>
          <w:color w:val="auto"/>
        </w:rPr>
        <w:t>Not Responsible for Recitals or Issuance of Securities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or of the Securities or the Guarantees. The Trustee shall not be accountable for the use or application by the Company of Securities or the proceeds thereof.</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Paying Agent, Security Registrar or such other agent.</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7"/>
          <w:szCs w:val="17"/>
          <w:u w:val="single" w:color="auto"/>
          <w:color w:val="auto"/>
        </w:rPr>
        <w:t>Money Held in Trust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Money held by the Trustee in trust hereunder shall, until used or applied as herein provided, be held in trust for the purposes for which they were received, but need not be segregated from other funds except to the extent required by law. The Trustee shall be under no liability for interest on any money received by it hereunder except as otherwise agreed in writing with the Company.</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agrees:</w:t>
      </w:r>
    </w:p>
    <w:p>
      <w:pPr>
        <w:spacing w:after="0" w:line="225" w:lineRule="exact"/>
        <w:rPr>
          <w:sz w:val="20"/>
          <w:szCs w:val="20"/>
          <w:color w:val="auto"/>
        </w:rPr>
      </w:pPr>
    </w:p>
    <w:p>
      <w:pPr>
        <w:ind w:left="1300" w:right="160" w:hanging="320"/>
        <w:spacing w:after="0" w:line="266"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 from time to time such compensation as shall be agreed to in writing between the parties hereto for all services rendered by it hereunder (which compensation shall not be limited by any provision of law in regard to the compensation of a trustee of an express trust);</w:t>
      </w:r>
    </w:p>
    <w:p>
      <w:pPr>
        <w:spacing w:after="0" w:line="175" w:lineRule="exact"/>
        <w:rPr>
          <w:rFonts w:ascii="Times New Roman" w:cs="Times New Roman" w:eastAsia="Times New Roman" w:hAnsi="Times New Roman"/>
          <w:sz w:val="18"/>
          <w:szCs w:val="18"/>
          <w:color w:val="auto"/>
        </w:rPr>
      </w:pPr>
    </w:p>
    <w:p>
      <w:pPr>
        <w:ind w:left="1300" w:right="40" w:hanging="320"/>
        <w:spacing w:after="0" w:line="258"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reasonable expenses and disbursements of its agents and counsel), except any such expense, disbursement or advance as may be attributable to its gross negligence or willful misconduct as determined by a final non-appealable order of a court of competent jurisdiction, and the Trustee shall provide the Company reasonable notice of any expenditure not in the ordinary course of business; and</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The Company and the Guarantors, jointly and severally, agree:</w:t>
      </w:r>
    </w:p>
    <w:p>
      <w:pPr>
        <w:spacing w:after="0" w:line="225" w:lineRule="exact"/>
        <w:rPr>
          <w:sz w:val="20"/>
          <w:szCs w:val="20"/>
          <w:color w:val="auto"/>
        </w:rPr>
      </w:pPr>
    </w:p>
    <w:p>
      <w:pPr>
        <w:ind w:left="1300" w:right="80" w:hanging="320"/>
        <w:spacing w:after="0" w:line="258"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Trustee for, and to hold it harmless against, any loss, liability or expense incurred without gross negligence or willful misconduct on its part, as determined by a final non-appealable order of a court of competent jurisdiction, arising out of or in connection with the acceptance or administration of the trust or trusts hereunder, including the reasonable costs and expenses of defending itself against any claim (regardless of whether such claim is asserted by the Company, a Holder or any other Person) or liability in connection with the exercise or performance of any of its powers or duties hereunder.</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When the Trustee incurs expenses or renders services in connection with an Event of Default specified in Section‎ 501(5) or (6),‎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Trustee shall have a lien prior to the Securities as to all property and funds held by it hereunder for any amount owing it or any predecessor Trustee pursuant to this ‎Section 607, except with respect to funds held in trust for the benefit of the Holders of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this Section‎ 607 shall survive the termination of this Indenture and the resignation or removal of the Trustee.</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608.</w:t>
      </w:r>
      <w:r>
        <w:rPr>
          <w:sz w:val="20"/>
          <w:szCs w:val="20"/>
          <w:color w:val="auto"/>
        </w:rPr>
        <w:tab/>
      </w:r>
      <w:r>
        <w:rPr>
          <w:rFonts w:ascii="Times New Roman" w:cs="Times New Roman" w:eastAsia="Times New Roman" w:hAnsi="Times New Roman"/>
          <w:sz w:val="17"/>
          <w:szCs w:val="17"/>
          <w:u w:val="single" w:color="auto"/>
          <w:color w:val="auto"/>
        </w:rPr>
        <w:t>Conflicting Interests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To the extent permitted by the Trust Indenture Act, the Trustee shall not be deemed to have a conflicting interest by virtue of being a trustee under this Indenture with respect to Securities of more than one series.</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609.</w:t>
      </w:r>
      <w:r>
        <w:rPr>
          <w:sz w:val="20"/>
          <w:szCs w:val="20"/>
          <w:color w:val="auto"/>
        </w:rPr>
        <w:tab/>
      </w:r>
      <w:r>
        <w:rPr>
          <w:rFonts w:ascii="Times New Roman" w:cs="Times New Roman" w:eastAsia="Times New Roman" w:hAnsi="Times New Roman"/>
          <w:sz w:val="17"/>
          <w:szCs w:val="17"/>
          <w:u w:val="single" w:color="auto"/>
          <w:color w:val="auto"/>
        </w:rPr>
        <w:t>Corporate Trustee Required; Eligibility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has a combined capital and surplus of at least $50,000,000 and has its Corporate Trust Office in the Borough of Manhattan, The City of New York or any other major city in the United States that is acceptable to the Company. If any such Person publishes reports of condition at least annually, pursuant to law or to the requirements of its supervising or examining authority, then for the purposes of this ‎Section 609 and to the extent permitted by the Trust Indenture Act, the combined capital and surplus of such Person shall be deemed to be its combined capital and surplus as set forth in its most recent annual report of condition so published. If</w:t>
      </w:r>
    </w:p>
    <w:p>
      <w:pPr>
        <w:spacing w:after="0" w:line="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at any time the Trustee with respect to the Securities of any series shall cease to be eligible in accordance with the provisions of this Section‎ 609, it shall resign immediately in the manner and with the effect hereinafter specified in this ‎Article VI.</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6" w:name="page87"/>
    <w:bookmarkEnd w:id="86"/>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 resignation or removal of the Trustee and no appointment of a successor Trustee pursuant to this ‎Article VI shall become effective until the acceptance of appointment by the successor Trustee in accordance with the applicable requirements of ‎Section 611.</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at the expense of the Company, any court of competent jurisdiction for the appointment of a successor Trustee with respect to the Securities of such series.</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Trustee may be removed at any time with respect to the Securities of any series by Act of the Holders of a majority in aggregate principal amount of the Outstanding Securities of such series, upon written notice delivered to the Trustee and to the Company. If the instrument of acceptance by a successor Trustee required by ‎Section 611 shall not have been delivered to the Trustee within 30 days after the giving of such notice of removal, the Trustee being removed may petition, at the expense of the Company, any court of competent jurisdiction for the appointment of a successor Trustee with respect to the Securities of such series.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at any time:</w:t>
      </w:r>
    </w:p>
    <w:p>
      <w:pPr>
        <w:spacing w:after="0" w:line="221" w:lineRule="exact"/>
        <w:rPr>
          <w:sz w:val="20"/>
          <w:szCs w:val="20"/>
          <w:color w:val="auto"/>
        </w:rPr>
      </w:pPr>
    </w:p>
    <w:p>
      <w:pPr>
        <w:ind w:left="1300" w:right="160" w:hanging="320"/>
        <w:spacing w:after="0" w:line="286"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608 after written request therefor by the Company or any Holder who has been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Holder of a Security for at least six months, or</w:t>
      </w:r>
    </w:p>
    <w:p>
      <w:pPr>
        <w:spacing w:after="0" w:line="154" w:lineRule="exact"/>
        <w:rPr>
          <w:rFonts w:ascii="Times New Roman" w:cs="Times New Roman" w:eastAsia="Times New Roman" w:hAnsi="Times New Roman"/>
          <w:sz w:val="18"/>
          <w:szCs w:val="18"/>
          <w:color w:val="auto"/>
        </w:rPr>
      </w:pPr>
    </w:p>
    <w:p>
      <w:pPr>
        <w:ind w:left="1300" w:right="100" w:hanging="320"/>
        <w:spacing w:after="0" w:line="286"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609 and shall fail to resign after written request therefor by the Company or any such Holder, or</w:t>
      </w:r>
    </w:p>
    <w:p>
      <w:pPr>
        <w:spacing w:after="0" w:line="158"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then, in any such case, (A) the Company may remove the Trustee with respect to all Securities or (B) subject to Section‎ 513, Holders of 10% in aggregate principal amount of Securities of any series who have been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Holders of such Securities for at least six months may, on behalf of themselves and all others similarly situated, petition any court of competent jurisdiction for the removal of the Trustee with respect to all Securities and the appointment of a successor Trustee or Trustees.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the Trustee shall resign, be removed or become incapable of acting, or if a vacancy shall occur in the office of Trustee for any cause,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7" w:name="page88"/>
    <w:bookmarkEnd w:id="87"/>
    <w:p>
      <w:pPr>
        <w:ind w:right="100"/>
        <w:spacing w:after="0" w:line="257" w:lineRule="auto"/>
        <w:rPr>
          <w:sz w:val="20"/>
          <w:szCs w:val="20"/>
          <w:color w:val="auto"/>
        </w:rPr>
      </w:pPr>
      <w:r>
        <w:rPr>
          <w:rFonts w:ascii="Times New Roman" w:cs="Times New Roman" w:eastAsia="Times New Roman" w:hAnsi="Times New Roman"/>
          <w:sz w:val="18"/>
          <w:szCs w:val="18"/>
          <w:color w:val="auto"/>
        </w:rPr>
        <w:t>applicable requirements of Section‎ 611. If, within one year after such resignation, removal or incapability, or the occurrence of such vacancy, a successor Trustee with respect to the Securities of any series shall be appointed by Act of the Holders of a majority in aggregate principal amount of the Outstanding Securities of such series delivered to the Company and the retiring Trustee, the successor Trustee so appointed shall, forthwith upon its acceptance of such</w:t>
      </w:r>
    </w:p>
    <w:p>
      <w:pPr>
        <w:spacing w:after="0" w:line="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 xml:space="preserve">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Holders of 10% in aggregate principal amount of Securities of any series who have been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Holders of Securities of such series for at least six months may, on behalf of themselves and all others similarly situated, petition any court of competent jurisdiction for the appointment of a successor Trustee with respect to the Securities of such series.</w:t>
      </w:r>
    </w:p>
    <w:p>
      <w:pPr>
        <w:spacing w:after="0" w:line="17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7"/>
          <w:szCs w:val="17"/>
          <w:u w:val="single" w:color="auto"/>
          <w:color w:val="auto"/>
        </w:rPr>
        <w:t>Acceptance of Appointment by Successor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the retiring Trustee a written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 written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 supplemental indenture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spacing w:after="0" w:line="255" w:lineRule="auto"/>
        <w:rPr>
          <w:sz w:val="20"/>
          <w:szCs w:val="20"/>
          <w:color w:val="auto"/>
        </w:rPr>
      </w:pPr>
      <w:r>
        <w:rPr>
          <w:rFonts w:ascii="Times New Roman" w:cs="Times New Roman" w:eastAsia="Times New Roman" w:hAnsi="Times New Roman"/>
          <w:sz w:val="18"/>
          <w:szCs w:val="18"/>
          <w:color w:val="auto"/>
        </w:rPr>
        <w:t>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 VI.</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612.</w:t>
      </w:r>
      <w:r>
        <w:rPr>
          <w:sz w:val="20"/>
          <w:szCs w:val="20"/>
          <w:color w:val="auto"/>
        </w:rPr>
        <w:tab/>
      </w:r>
      <w:r>
        <w:rPr>
          <w:rFonts w:ascii="Times New Roman" w:cs="Times New Roman" w:eastAsia="Times New Roman" w:hAnsi="Times New Roman"/>
          <w:sz w:val="17"/>
          <w:szCs w:val="17"/>
          <w:u w:val="single" w:color="auto"/>
          <w:color w:val="auto"/>
        </w:rPr>
        <w:t>Merger, Conversion, Consolidation or Succession to Business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Any entity into which the Trustee may be merged or converted or with which it may be consolidated, or any entity resulting from any merger, conversion or consolidation to which the Trustee shall be a party, or any entity succeeding to all or substantially all the corporate trust business of the Trustee, shall be the successor of the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entity shall be otherwise qualified and eligible under this ‎Article VI, without the execution or filing of any paper or any further act on the part of any of the parties hereto. In case any Securities shall have been authenticated, but not delivered, by the Trustee then in office, any successor by merger, conversion, consolidation or sale to such authenticating Trustee may adopt such authentication and deliver the Securities so authenticated with the same effect as if such successor Trustee had itself authenticated such Securities; and in case at that time any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613.</w:t>
      </w:r>
      <w:r>
        <w:rPr>
          <w:sz w:val="20"/>
          <w:szCs w:val="20"/>
          <w:color w:val="auto"/>
        </w:rPr>
        <w:tab/>
      </w:r>
      <w:r>
        <w:rPr>
          <w:rFonts w:ascii="Times New Roman" w:cs="Times New Roman" w:eastAsia="Times New Roman" w:hAnsi="Times New Roman"/>
          <w:sz w:val="17"/>
          <w:szCs w:val="17"/>
          <w:u w:val="single" w:color="auto"/>
          <w:color w:val="auto"/>
        </w:rPr>
        <w:t>Preferential Collection of Claims Against Company.</w:t>
      </w:r>
    </w:p>
    <w:p>
      <w:pPr>
        <w:spacing w:after="0" w:line="22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9" w:name="page90"/>
    <w:bookmarkEnd w:id="8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HOLDERS’ LISTS AND REPORTS BY THE TRUSTEE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THE COMPANY</w:t>
      </w:r>
    </w:p>
    <w:p>
      <w:pPr>
        <w:spacing w:after="0" w:line="20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8"/>
          <w:szCs w:val="18"/>
          <w:u w:val="single" w:color="auto"/>
          <w:color w:val="auto"/>
        </w:rPr>
        <w:t>Company to Furnish Trustee Names and Addresses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If the Trustee is not the Security Registrar, the Company shall cause the Security Registrar to furnish to the Trustee, in writing at least five Business Days before each Interest Payment Date and at such other times as the Trustee may request in writing, a list in such form and as of such date as the Trustee may reasonably require of the names and addresses of Holders of Securities of each series.</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8"/>
          <w:szCs w:val="18"/>
          <w:u w:val="single" w:color="auto"/>
          <w:color w:val="auto"/>
        </w:rPr>
        <w:t>Preservation of Information; Communications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703.</w:t>
      </w:r>
      <w:r>
        <w:rPr>
          <w:sz w:val="20"/>
          <w:szCs w:val="20"/>
          <w:color w:val="auto"/>
        </w:rPr>
        <w:tab/>
      </w:r>
      <w:r>
        <w:rPr>
          <w:rFonts w:ascii="Times New Roman" w:cs="Times New Roman" w:eastAsia="Times New Roman" w:hAnsi="Times New Roman"/>
          <w:sz w:val="18"/>
          <w:szCs w:val="18"/>
          <w:u w:val="single" w:color="auto"/>
          <w:color w:val="auto"/>
        </w:rPr>
        <w:t>Reports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so long</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any Securities remain outstanding hereunder, within sixty days after each following the date of the initial issuance of Securities under this Indenture deliver to Holders a brief report, dated as of such which complies with the provisions of such Section 313(a). The Trustee shall promptly deliver to the Company a copy of any report it delivers to Holders pursuant to this ‎Section 703.</w:t>
      </w:r>
    </w:p>
    <w:p>
      <w:pPr>
        <w:spacing w:after="0" w:line="18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 copy of each such report shall, at the time of such transmission to Holders, be filed by the Trustee with each stock exchange and automated quotation system, if any, upon which any Securities are listed, with the Commission and the Company. The Company will notify the Trustee in writing when any Securities are listed on any stock exchange or automated quotation system or delisted therefrom.</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90" w:name="page91"/>
    <w:bookmarkEnd w:id="90"/>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704.</w:t>
      </w:r>
      <w:r>
        <w:rPr>
          <w:sz w:val="20"/>
          <w:szCs w:val="20"/>
          <w:color w:val="auto"/>
        </w:rPr>
        <w:tab/>
      </w:r>
      <w:r>
        <w:rPr>
          <w:rFonts w:ascii="Times New Roman" w:cs="Times New Roman" w:eastAsia="Times New Roman" w:hAnsi="Times New Roman"/>
          <w:sz w:val="17"/>
          <w:szCs w:val="17"/>
          <w:u w:val="single" w:color="auto"/>
          <w:color w:val="auto"/>
        </w:rPr>
        <w:t>Reports by the Company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(and as applicable, any Guarantor) shall comply with all the applicable provisions of the Trust Indenture Act. Delivery of reports, information and documents to the Trustee is for informational purposes only and shall not constitute a representation or warranty as to the accuracy or completeness of the reports, information and documents.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0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u w:val="single" w:color="auto"/>
          <w:color w:val="auto"/>
        </w:rPr>
        <w:t>Company May Merge or Transfer Assets on Certain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may consolidate with or merge with or into, or sell, transfer, lease or convey all or substantially all of its properties and assets to, in one transaction or a series of related transactions, any other Person, provided that:</w:t>
      </w:r>
    </w:p>
    <w:p>
      <w:pPr>
        <w:spacing w:after="0" w:line="162" w:lineRule="exact"/>
        <w:rPr>
          <w:sz w:val="20"/>
          <w:szCs w:val="20"/>
          <w:color w:val="auto"/>
        </w:rPr>
      </w:pPr>
    </w:p>
    <w:p>
      <w:pPr>
        <w:ind w:left="1300" w:right="180" w:hanging="320"/>
        <w:spacing w:after="0" w:line="258"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the continuing entity, or the resulting, surviving or transferee Person shall be a corporation, partnership, trust or other entity organized and validly existing under the laws of any domestic or foreign jurisdiction, and such successor Person (if not the Company) shall expressly assume, by a supplemental indenture hereto, executed and delivered to the Trustee, in form reasonably satisfactory to the Trustee, all the obligations of the Company under the Securities and this Indenture and, for each Security that by its terms provides for conversion, shall have provided for the right to convert such Security in accordance with its terms;</w:t>
      </w:r>
    </w:p>
    <w:p>
      <w:pPr>
        <w:spacing w:after="0" w:line="18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and</w:t>
      </w:r>
    </w:p>
    <w:p>
      <w:pPr>
        <w:spacing w:after="0" w:line="225" w:lineRule="exact"/>
        <w:rPr>
          <w:rFonts w:ascii="Times New Roman" w:cs="Times New Roman" w:eastAsia="Times New Roman" w:hAnsi="Times New Roman"/>
          <w:sz w:val="18"/>
          <w:szCs w:val="18"/>
          <w:color w:val="auto"/>
        </w:rPr>
      </w:pPr>
    </w:p>
    <w:p>
      <w:pPr>
        <w:jc w:val="both"/>
        <w:ind w:left="1300" w:right="140" w:hanging="320"/>
        <w:spacing w:after="0" w:line="26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the Company shall have delivered to the Trustee an Officer’s Certificate and an Opinion of Counsel, each stating that such consolidation, merger, sale, transfer, lease or conveyance and such supplemental indenture, if any, complies with this Indenture (except that such Opinion of Counsel need not opine as to clause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8"/>
          <w:szCs w:val="18"/>
          <w:u w:val="single" w:color="auto"/>
          <w:color w:val="auto"/>
        </w:rPr>
        <w:t>Successor Person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any consolidation of the Company with, or merger of the Company into, any other Person or any sale, transfer, lease or conveyance of all or substantially all of the properties and assets of the Company, in each case in accordance with ‎Section 801, the successor Person shall succeed to, and be substituted for, and may exercise every right and power of, the Company under this Indenture, with the same effect as if such successor Person had been an original party to this</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Indenture, and the Company shall be released from all of its liabilities and obligations under this Indenture and the Securities.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0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7"/>
          <w:szCs w:val="17"/>
          <w:u w:val="single" w:color="auto"/>
          <w:color w:val="auto"/>
        </w:rPr>
        <w:t>Supplemental Indentures Without Consent of Holders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Without the consent of any Holders, the Company, the Guarantors and the Trustee, at any time and from time to time, may enter into one or more supplemental indentures hereto, in form satisfactory to the Trustee, for any of the following purposes:</w:t>
      </w:r>
    </w:p>
    <w:p>
      <w:pPr>
        <w:spacing w:after="0" w:line="162" w:lineRule="exact"/>
        <w:rPr>
          <w:sz w:val="20"/>
          <w:szCs w:val="20"/>
          <w:color w:val="auto"/>
        </w:rPr>
      </w:pPr>
    </w:p>
    <w:p>
      <w:pPr>
        <w:ind w:left="1360" w:right="80" w:hanging="380"/>
        <w:spacing w:after="0" w:line="266" w:lineRule="auto"/>
        <w:tabs>
          <w:tab w:leader="none" w:pos="1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or any Guarantor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 any Guarantor;</w:t>
      </w:r>
    </w:p>
    <w:p>
      <w:pPr>
        <w:spacing w:after="0" w:line="175" w:lineRule="exact"/>
        <w:rPr>
          <w:rFonts w:ascii="Times New Roman" w:cs="Times New Roman" w:eastAsia="Times New Roman" w:hAnsi="Times New Roman"/>
          <w:sz w:val="18"/>
          <w:szCs w:val="18"/>
          <w:color w:val="auto"/>
        </w:rPr>
      </w:pPr>
    </w:p>
    <w:p>
      <w:pPr>
        <w:jc w:val="both"/>
        <w:ind w:left="1360" w:right="200" w:hanging="380"/>
        <w:spacing w:after="0" w:line="282" w:lineRule="auto"/>
        <w:tabs>
          <w:tab w:leader="none" w:pos="1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or any Guarantor, or successive successions, and the assumption by any such successor of the covenants of the Company or such Guarantor herein and in the Securities or such Guarantee, as the case may be;</w:t>
      </w:r>
    </w:p>
    <w:p>
      <w:pPr>
        <w:spacing w:after="0" w:line="161" w:lineRule="exact"/>
        <w:rPr>
          <w:rFonts w:ascii="Times New Roman" w:cs="Times New Roman" w:eastAsia="Times New Roman" w:hAnsi="Times New Roman"/>
          <w:sz w:val="18"/>
          <w:szCs w:val="18"/>
          <w:color w:val="auto"/>
        </w:rPr>
      </w:pPr>
    </w:p>
    <w:p>
      <w:pPr>
        <w:ind w:left="1360" w:right="200" w:hanging="380"/>
        <w:spacing w:after="0" w:line="266" w:lineRule="auto"/>
        <w:tabs>
          <w:tab w:leader="none" w:pos="1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w:t>
      </w:r>
    </w:p>
    <w:p>
      <w:pPr>
        <w:spacing w:after="0" w:line="17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Securities;</w:t>
      </w:r>
    </w:p>
    <w:p>
      <w:pPr>
        <w:spacing w:after="0" w:line="225" w:lineRule="exact"/>
        <w:rPr>
          <w:rFonts w:ascii="Times New Roman" w:cs="Times New Roman" w:eastAsia="Times New Roman" w:hAnsi="Times New Roman"/>
          <w:sz w:val="18"/>
          <w:szCs w:val="18"/>
          <w:color w:val="auto"/>
        </w:rPr>
      </w:pPr>
    </w:p>
    <w:p>
      <w:pPr>
        <w:ind w:left="1360" w:hanging="380"/>
        <w:spacing w:after="0" w:line="276" w:lineRule="auto"/>
        <w:tabs>
          <w:tab w:leader="none" w:pos="13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w:t>
      </w:r>
    </w:p>
    <w:p>
      <w:pPr>
        <w:ind w:left="13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the trusts hereunder by more than one Trustee, pursuant to the requirements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611;</w:t>
      </w:r>
    </w:p>
    <w:p>
      <w:pPr>
        <w:spacing w:after="0" w:line="206" w:lineRule="exact"/>
        <w:rPr>
          <w:rFonts w:ascii="Times New Roman" w:cs="Times New Roman" w:eastAsia="Times New Roman" w:hAnsi="Times New Roman"/>
          <w:sz w:val="17"/>
          <w:szCs w:val="17"/>
          <w:color w:val="auto"/>
        </w:rPr>
      </w:pPr>
    </w:p>
    <w:p>
      <w:pPr>
        <w:ind w:left="1360" w:hanging="380"/>
        <w:spacing w:after="0"/>
        <w:tabs>
          <w:tab w:leader="none" w:pos="1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Securities of any series;</w:t>
      </w:r>
    </w:p>
    <w:p>
      <w:pPr>
        <w:spacing w:after="0" w:line="22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Securities of any series as permitted by Sections 201 and 301;</w:t>
      </w:r>
    </w:p>
    <w:p>
      <w:pPr>
        <w:spacing w:after="0" w:line="22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Depositary;</w:t>
      </w:r>
    </w:p>
    <w:p>
      <w:pPr>
        <w:spacing w:after="0" w:line="225" w:lineRule="exact"/>
        <w:rPr>
          <w:rFonts w:ascii="Times New Roman" w:cs="Times New Roman" w:eastAsia="Times New Roman" w:hAnsi="Times New Roman"/>
          <w:sz w:val="18"/>
          <w:szCs w:val="18"/>
          <w:color w:val="auto"/>
        </w:rPr>
      </w:pPr>
    </w:p>
    <w:p>
      <w:pPr>
        <w:ind w:left="1360" w:right="440" w:hanging="380"/>
        <w:spacing w:after="0" w:line="282" w:lineRule="auto"/>
        <w:tabs>
          <w:tab w:leader="none" w:pos="1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this Indenture to such extent as shall be necessary to permit or facilitate the issuance of Securities in uncertificated form;</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ind w:left="1360" w:right="260" w:hanging="380"/>
        <w:spacing w:after="0" w:line="261" w:lineRule="auto"/>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change or eliminate any of the provisions of this Indenture in respect of one or more series of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Outstanding;</w:t>
      </w:r>
    </w:p>
    <w:p>
      <w:pPr>
        <w:spacing w:after="0" w:line="179" w:lineRule="exact"/>
        <w:rPr>
          <w:rFonts w:ascii="Times New Roman" w:cs="Times New Roman" w:eastAsia="Times New Roman" w:hAnsi="Times New Roman"/>
          <w:sz w:val="18"/>
          <w:szCs w:val="18"/>
          <w:color w:val="auto"/>
        </w:rPr>
      </w:pPr>
    </w:p>
    <w:p>
      <w:pPr>
        <w:ind w:left="1360" w:hanging="380"/>
        <w:spacing w:after="0" w:line="282" w:lineRule="auto"/>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as amended;</w:t>
      </w:r>
    </w:p>
    <w:p>
      <w:pPr>
        <w:spacing w:after="0" w:line="161" w:lineRule="exact"/>
        <w:rPr>
          <w:rFonts w:ascii="Times New Roman" w:cs="Times New Roman" w:eastAsia="Times New Roman" w:hAnsi="Times New Roman"/>
          <w:sz w:val="18"/>
          <w:szCs w:val="18"/>
          <w:color w:val="auto"/>
        </w:rPr>
      </w:pPr>
    </w:p>
    <w:p>
      <w:pPr>
        <w:jc w:val="both"/>
        <w:ind w:left="1360" w:right="300" w:hanging="380"/>
        <w:spacing w:after="0" w:line="258" w:lineRule="auto"/>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of this Indenture, any supplemental indenture, one or more series of Securities or any related guarantees or security documents to the description of such securities contained in a prospectus, prospectus supplement, offering memorandum or similar document with respect to the offering of the Securities of such series to the extent that such description was intended to be a verbatim recitation of a provision in this Indenture, such securities or any related guarantees or security documents as set forth in an Officer’s Certificate;</w:t>
      </w:r>
    </w:p>
    <w:p>
      <w:pPr>
        <w:spacing w:after="0" w:line="183" w:lineRule="exact"/>
        <w:rPr>
          <w:rFonts w:ascii="Times New Roman" w:cs="Times New Roman" w:eastAsia="Times New Roman" w:hAnsi="Times New Roman"/>
          <w:sz w:val="18"/>
          <w:szCs w:val="18"/>
          <w:color w:val="auto"/>
        </w:rPr>
      </w:pPr>
    </w:p>
    <w:p>
      <w:pPr>
        <w:ind w:left="1360" w:right="220" w:hanging="380"/>
        <w:spacing w:after="0" w:line="282" w:lineRule="auto"/>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to correct or supplement any provision of this Indenture which may be defective or inconsistent with any other provision herein;</w:t>
      </w:r>
    </w:p>
    <w:p>
      <w:pPr>
        <w:spacing w:after="0" w:line="157" w:lineRule="exact"/>
        <w:rPr>
          <w:rFonts w:ascii="Times New Roman" w:cs="Times New Roman" w:eastAsia="Times New Roman" w:hAnsi="Times New Roman"/>
          <w:sz w:val="18"/>
          <w:szCs w:val="18"/>
          <w:color w:val="auto"/>
        </w:rPr>
      </w:pPr>
    </w:p>
    <w:p>
      <w:pPr>
        <w:ind w:left="1360" w:right="200" w:hanging="380"/>
        <w:spacing w:after="0" w:line="286" w:lineRule="auto"/>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any other provision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action pursuant to this clause (13)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not adversely affect the interests of the Holders of Securities of any series in any material respect as determined in good faith by the Company;</w:t>
      </w:r>
    </w:p>
    <w:p>
      <w:pPr>
        <w:spacing w:after="0" w:line="158"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new Guarantors pursuant to Section 1403; and</w:t>
      </w:r>
    </w:p>
    <w:p>
      <w:pPr>
        <w:spacing w:after="0" w:line="22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release of any Guarantor pursuant to Section 1404;</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u w:val="single" w:color="auto"/>
          <w:color w:val="auto"/>
        </w:rPr>
        <w:t>Supplemental Indentures With Consent of Holders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With the consent of the Holders of not less than a majority in aggregate principal amount of the Outstanding Securities of each series affected by such supplemental indenture (including consents obtained in connection with a tender offer or exchange for Securities), by Act of said Holders delivered to the Company, the Guarantors and the Trustee, the Company and the Trustee may enter into an indenture or supplemental indentures hereto for the purpose of adding any provisions to or changing in any manner or eliminating any of the provisions of this Indenture or of modifying in any manner the rights of the Holders of Securities of such series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 such supplemental indenture shall, without the consent of the Holder of each Outstanding Security of such series affected thereby:</w:t>
      </w:r>
    </w:p>
    <w:p>
      <w:pPr>
        <w:spacing w:after="0" w:line="187" w:lineRule="exact"/>
        <w:rPr>
          <w:sz w:val="20"/>
          <w:szCs w:val="20"/>
          <w:color w:val="auto"/>
        </w:rPr>
      </w:pPr>
    </w:p>
    <w:p>
      <w:pPr>
        <w:ind w:left="1360" w:hanging="380"/>
        <w:spacing w:after="0"/>
        <w:tabs>
          <w:tab w:leader="none" w:pos="1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Security;</w:t>
      </w:r>
    </w:p>
    <w:p>
      <w:pPr>
        <w:spacing w:after="0" w:line="225" w:lineRule="exact"/>
        <w:rPr>
          <w:rFonts w:ascii="Times New Roman" w:cs="Times New Roman" w:eastAsia="Times New Roman" w:hAnsi="Times New Roman"/>
          <w:sz w:val="18"/>
          <w:szCs w:val="18"/>
          <w:color w:val="auto"/>
        </w:rPr>
      </w:pPr>
    </w:p>
    <w:p>
      <w:pPr>
        <w:ind w:left="1360" w:right="240" w:hanging="380"/>
        <w:spacing w:after="0" w:line="282" w:lineRule="auto"/>
        <w:tabs>
          <w:tab w:leader="none" w:pos="1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any Security or reduce the amount of the principal of an Original Issue Discount Security or any other Security which would be due</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93" w:name="page94"/>
    <w:bookmarkEnd w:id="93"/>
    <w:p>
      <w:pPr>
        <w:ind w:left="1360" w:right="400"/>
        <w:spacing w:after="0" w:line="286" w:lineRule="auto"/>
        <w:rPr>
          <w:sz w:val="20"/>
          <w:szCs w:val="20"/>
          <w:color w:val="auto"/>
        </w:rPr>
      </w:pPr>
      <w:r>
        <w:rPr>
          <w:rFonts w:ascii="Times New Roman" w:cs="Times New Roman" w:eastAsia="Times New Roman" w:hAnsi="Times New Roman"/>
          <w:sz w:val="18"/>
          <w:szCs w:val="18"/>
          <w:color w:val="auto"/>
        </w:rPr>
        <w:t>and payable upon a declaration of acceleration of the Maturity thereof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503, or reduce the rate of interest on any Security;</w:t>
      </w:r>
    </w:p>
    <w:p>
      <w:pPr>
        <w:spacing w:after="0" w:line="159" w:lineRule="exact"/>
        <w:rPr>
          <w:sz w:val="20"/>
          <w:szCs w:val="20"/>
          <w:color w:val="auto"/>
        </w:rPr>
      </w:pPr>
    </w:p>
    <w:p>
      <w:pPr>
        <w:ind w:left="1360" w:hanging="380"/>
        <w:spacing w:after="0"/>
        <w:tabs>
          <w:tab w:leader="none" w:pos="1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upon the redemption of or change the date on which any Security may or must be redeemed;</w:t>
      </w:r>
    </w:p>
    <w:p>
      <w:pPr>
        <w:spacing w:after="0" w:line="22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coin or currency in which the principal of or premium, if any, or interest on any Security is payable;</w:t>
      </w:r>
    </w:p>
    <w:p>
      <w:pPr>
        <w:spacing w:after="0" w:line="225" w:lineRule="exact"/>
        <w:rPr>
          <w:rFonts w:ascii="Times New Roman" w:cs="Times New Roman" w:eastAsia="Times New Roman" w:hAnsi="Times New Roman"/>
          <w:sz w:val="18"/>
          <w:szCs w:val="18"/>
          <w:color w:val="auto"/>
        </w:rPr>
      </w:pPr>
    </w:p>
    <w:p>
      <w:pPr>
        <w:ind w:left="1360" w:right="40" w:hanging="380"/>
        <w:spacing w:after="0" w:line="282" w:lineRule="auto"/>
        <w:tabs>
          <w:tab w:leader="none" w:pos="1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institute suit for the enforcement of any such payment on or after the Stated Maturity thereof (or, in the case of redemption, on or after the Redemption Date);</w:t>
      </w:r>
    </w:p>
    <w:p>
      <w:pPr>
        <w:spacing w:after="0" w:line="161" w:lineRule="exact"/>
        <w:rPr>
          <w:rFonts w:ascii="Times New Roman" w:cs="Times New Roman" w:eastAsia="Times New Roman" w:hAnsi="Times New Roman"/>
          <w:sz w:val="18"/>
          <w:szCs w:val="18"/>
          <w:color w:val="auto"/>
        </w:rPr>
      </w:pPr>
    </w:p>
    <w:p>
      <w:pPr>
        <w:jc w:val="both"/>
        <w:ind w:left="1360" w:right="140" w:hanging="380"/>
        <w:spacing w:after="0" w:line="266" w:lineRule="auto"/>
        <w:tabs>
          <w:tab w:leader="none" w:pos="1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w:t>
      </w:r>
    </w:p>
    <w:p>
      <w:pPr>
        <w:spacing w:after="0" w:line="171" w:lineRule="exact"/>
        <w:rPr>
          <w:rFonts w:ascii="Times New Roman" w:cs="Times New Roman" w:eastAsia="Times New Roman" w:hAnsi="Times New Roman"/>
          <w:sz w:val="18"/>
          <w:szCs w:val="18"/>
          <w:color w:val="auto"/>
        </w:rPr>
      </w:pPr>
    </w:p>
    <w:p>
      <w:pPr>
        <w:ind w:left="1360" w:right="40" w:hanging="380"/>
        <w:spacing w:after="0" w:line="274" w:lineRule="auto"/>
        <w:tabs>
          <w:tab w:leader="none" w:pos="13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any of the provisions of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902,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512 or Section 1005, except to increase any such percentage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clause shall not be deemed to require the consent of any Holder with respect to changes in</w:t>
      </w:r>
    </w:p>
    <w:p>
      <w:pPr>
        <w:ind w:left="13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references to “the Trustee” and concomitant changes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 and Section 1005, or the deletion of this proviso, in</w:t>
      </w:r>
    </w:p>
    <w:p>
      <w:pPr>
        <w:spacing w:after="0" w:line="9" w:lineRule="exact"/>
        <w:rPr>
          <w:rFonts w:ascii="Times New Roman" w:cs="Times New Roman" w:eastAsia="Times New Roman" w:hAnsi="Times New Roman"/>
          <w:sz w:val="17"/>
          <w:szCs w:val="17"/>
          <w:color w:val="auto"/>
        </w:rPr>
      </w:pPr>
    </w:p>
    <w:p>
      <w:pPr>
        <w:ind w:left="13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accordance with the requirements of Sections 611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901(5);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w:t>
      </w:r>
    </w:p>
    <w:p>
      <w:pPr>
        <w:spacing w:after="0" w:line="206" w:lineRule="exact"/>
        <w:rPr>
          <w:rFonts w:ascii="Times New Roman" w:cs="Times New Roman" w:eastAsia="Times New Roman" w:hAnsi="Times New Roman"/>
          <w:sz w:val="17"/>
          <w:szCs w:val="17"/>
          <w:color w:val="auto"/>
        </w:rPr>
      </w:pPr>
    </w:p>
    <w:p>
      <w:pPr>
        <w:ind w:left="1360" w:hanging="380"/>
        <w:spacing w:after="0"/>
        <w:tabs>
          <w:tab w:leader="none" w:pos="13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Securities of any series are convertible into or for any other securities or property of the Company, make any change that adversely</w:t>
      </w:r>
    </w:p>
    <w:p>
      <w:pPr>
        <w:spacing w:after="0" w:line="38" w:lineRule="exact"/>
        <w:rPr>
          <w:rFonts w:ascii="Times New Roman" w:cs="Times New Roman" w:eastAsia="Times New Roman" w:hAnsi="Times New Roman"/>
          <w:sz w:val="17"/>
          <w:szCs w:val="17"/>
          <w:color w:val="auto"/>
        </w:rPr>
      </w:pPr>
    </w:p>
    <w:p>
      <w:pPr>
        <w:ind w:left="1360"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affects in any material respect the right to convert any Security of such series (except as permitted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 or decrease the conversion rate or increase the conversion price of any such Security of such series, unless such decrease or increase is permitted by the terms of such Security.</w:t>
      </w:r>
    </w:p>
    <w:p>
      <w:pPr>
        <w:spacing w:after="0" w:line="18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6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After a supplemental indenture under this Section‎ 902 becomes effective, the Company shall mail to the Trustee a notice briefly describing such supplemental indenture or a copy of such supplemental indenture and the Trustee shall mail such notice or supplemental indenture to</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94" w:name="page95"/>
    <w:bookmarkEnd w:id="94"/>
    <w:p>
      <w:pPr>
        <w:ind w:right="160"/>
        <w:spacing w:after="0" w:line="282" w:lineRule="auto"/>
        <w:rPr>
          <w:sz w:val="20"/>
          <w:szCs w:val="20"/>
          <w:color w:val="auto"/>
        </w:rPr>
      </w:pPr>
      <w:r>
        <w:rPr>
          <w:rFonts w:ascii="Times New Roman" w:cs="Times New Roman" w:eastAsia="Times New Roman" w:hAnsi="Times New Roman"/>
          <w:sz w:val="18"/>
          <w:szCs w:val="18"/>
          <w:color w:val="auto"/>
        </w:rPr>
        <w:t>Holders affected thereby. Any failure of the Company to mail such notice, or any defect therein, or any failure of the Company to mail such supplemental indenture, shall not in any way impair or affect the validity of any such supplemental indenture.</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executing, or accepting the additional trusts created by, any supplemental indenture permitted by this ‎Article IX or the modifications thereby of the trusts created by this Indenture, the Trustee shall be provided, and, subject to ‎Section 601, shall be fully protected in relying upon, an Opinion of Counsel and Officer’s Certificate stating that the execution of such supplemental indenture is authorized or permitted by this Indenture, that such Supplemental Indenture is the legal, valid and binding obligation of the Company and any Guarantor party thereto, enforceable against the Company and any Guarantor party thereto in accordance with its terms and that all conditions precedent in this Indenture to the execution of such supplemental indenture, if any, have been complied 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Opinion of Counsel and Officer’s Certificate shall be required in the case of any supplemental indenture executed and delivered concurrently with the original execution and delivery of this Indenture. The Trustee may, but shall not be obligated to, enter into any such supplemental indenture which affects the Trustee’s own rights, duties or immunities under this Indenture or otherwise.</w:t>
      </w:r>
    </w:p>
    <w:p>
      <w:pPr>
        <w:spacing w:after="0" w:line="19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Upon the execution of any supplemental indenture under this Article‎ IX,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905.</w:t>
      </w:r>
      <w:r>
        <w:rPr>
          <w:sz w:val="20"/>
          <w:szCs w:val="20"/>
          <w:color w:val="auto"/>
        </w:rPr>
        <w:tab/>
      </w:r>
      <w:r>
        <w:rPr>
          <w:rFonts w:ascii="Times New Roman" w:cs="Times New Roman" w:eastAsia="Times New Roman" w:hAnsi="Times New Roman"/>
          <w:sz w:val="18"/>
          <w:szCs w:val="18"/>
          <w:u w:val="single" w:color="auto"/>
          <w:color w:val="auto"/>
        </w:rPr>
        <w:t>Conformity with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Every supplemental indenture executed pursuant to this Article‎ IX shall conform to the requirements of the Trust Indenture Act.</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906.</w:t>
      </w:r>
      <w:r>
        <w:rPr>
          <w:sz w:val="20"/>
          <w:szCs w:val="20"/>
          <w:color w:val="auto"/>
        </w:rPr>
        <w:tab/>
      </w:r>
      <w:r>
        <w:rPr>
          <w:rFonts w:ascii="Times New Roman" w:cs="Times New Roman" w:eastAsia="Times New Roman" w:hAnsi="Times New Roman"/>
          <w:sz w:val="18"/>
          <w:szCs w:val="18"/>
          <w:u w:val="single" w:color="auto"/>
          <w:color w:val="auto"/>
        </w:rPr>
        <w:t>Reference in Securities to Supplemental Indentures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Securities of any series authenticated and delivered after the execution of any supplemental indenture pursuant to this Article‎ IX may, and shall if required by the Trustee, bear a notation in form approved by the Trustee as to any matter provided for in such supplemental indenture. If the Company shall so determine, new Securities of any series so modified as to conform, in the opinion of the Company, to any such supplemental indenture may be prepared and executed by the Company and authenticated and delivered by the Trustee in exchange for Outstanding Securities of such series.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1001.</w:t>
      </w:r>
      <w:r>
        <w:rPr>
          <w:sz w:val="20"/>
          <w:szCs w:val="20"/>
          <w:color w:val="auto"/>
        </w:rPr>
        <w:tab/>
      </w:r>
      <w:r>
        <w:rPr>
          <w:rFonts w:ascii="Times New Roman" w:cs="Times New Roman" w:eastAsia="Times New Roman" w:hAnsi="Times New Roman"/>
          <w:sz w:val="17"/>
          <w:szCs w:val="17"/>
          <w:u w:val="single" w:color="auto"/>
          <w:color w:val="auto"/>
        </w:rPr>
        <w:t>Payment of Principal, Premium, if any, and Interest</w:t>
      </w:r>
      <w:r>
        <w:rPr>
          <w:rFonts w:ascii="Times New Roman" w:cs="Times New Roman" w:eastAsia="Times New Roman" w:hAnsi="Times New Roman"/>
          <w:sz w:val="17"/>
          <w:szCs w:val="17"/>
          <w:color w:val="auto"/>
        </w:rPr>
        <w: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5" w:name="page96"/>
    <w:bookmarkEnd w:id="95"/>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covenants and agrees for the benefit of each series of Securities that it will duly and punctually pay the principal of and premium, if any, and interest on the Securities of such series in accordance with the terms of the Securities and this Indenture. Principal and interest shall be considered paid on the date due if, on or before 11:00 a.m. (New York City time) on such date, the Trustee or the Paying Agent (or, if the Company or any Subsidiary is the Paying Agent, the segregated account or separate trust fund maintained by the Company or such Subsidiary pursuant to Section 1003) holds in accordance with this Indenture money sufficient to pay all principal and interest then due.</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shall pay interest on overdue principal at the rate specified therefor in the Securities, and it shall pay interest on overdue installments of interest at the same rate to the extent lawful as provided in ‎Section 307.</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Indenture, the Company or the Paying Agent may, to the extent it is required to do so by law, deduct or withhold income or other similar taxes imposed by the United States of America or other domestic or foreign taxing authorities from principal or interest payments hereunder.</w:t>
      </w:r>
    </w:p>
    <w:p>
      <w:pPr>
        <w:spacing w:after="0" w:line="17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1002.</w:t>
      </w:r>
      <w:r>
        <w:rPr>
          <w:sz w:val="20"/>
          <w:szCs w:val="20"/>
          <w:color w:val="auto"/>
        </w:rPr>
        <w:tab/>
      </w:r>
      <w:r>
        <w:rPr>
          <w:rFonts w:ascii="Times New Roman" w:cs="Times New Roman" w:eastAsia="Times New Roman" w:hAnsi="Times New Roman"/>
          <w:sz w:val="17"/>
          <w:szCs w:val="17"/>
          <w:u w:val="single" w:color="auto"/>
          <w:color w:val="auto"/>
        </w:rPr>
        <w:t>Maintenance of Office or Agency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will maintain in each Place of Payment for any series of Securities an office or agency where Securities of such series may be presented or surrendered for payment, where Securities of such series may be surrendered for registration of transfer or exchange, where Securities may be surrendered for conversion, and where notices and demands to or upon the Company in respect of the Securities of such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The Company hereby appoints the Trustee as its agent to receive all such presentations, surrenders, notices and demands.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any Global Security, and except as otherwise may be specified for such Global Security as contemplated by Section‎ 301, the Corporate Trust Office of the Trustee shall be the Place of Payment where such Global Security may be presented or surrendered for payment or for registration of transfer or exchange, or where successor Securities may be delivered in exchange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payment, presentation, surrender or delivery effected pursuant to the Applicable Procedures of the Depositary for such Global Security shall</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be deemed to have been effected at the Place of Payment for such Global Security in accordance with the provisions of this Indenture.</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1003.</w:t>
      </w:r>
      <w:r>
        <w:rPr>
          <w:sz w:val="20"/>
          <w:szCs w:val="20"/>
          <w:color w:val="auto"/>
        </w:rPr>
        <w:tab/>
      </w:r>
      <w:r>
        <w:rPr>
          <w:rFonts w:ascii="Times New Roman" w:cs="Times New Roman" w:eastAsia="Times New Roman" w:hAnsi="Times New Roman"/>
          <w:sz w:val="17"/>
          <w:szCs w:val="17"/>
          <w:u w:val="single" w:color="auto"/>
          <w:color w:val="auto"/>
        </w:rPr>
        <w:t>Money for Securities Payments to Be Held in Trust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the Company shall at any time act as its own Paying Agent with respect to any series of Securities, it will, on or before each due date for the principal of or premium, if any, or interest on any of the Securities of such series, segregate and hold in trust for the benefit of the Holders of such Securities a sum sufficient to pay the principal and premium, if any, and interest so becoming due until such sums shall be paid to such Holders or otherwise disposed of as herein provided and will promptly notify the Trustee in writing of its action or failure so to act.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Whenever the Company shall have one or more Paying Agents for any series of Securities, it will, no later than 11:00 a.m. (New York City time) on each due date for the principal of or premium, if any, or interest on any Securities of such series, deposit with a Paying Agent a sum sufficient to pay such amount, such sum to be held in trust for the benefit of the Trustee and Holders of such Securities entitled to the same, and (unless such Paying Agent is the Trustee) the Company will promptly notify the Trustee in writing of its action or failure so to act.</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1003, that such Paying Agent shall hold in trust for the benefit of Holders or the Trustee all money held by such Paying Agent for the payment of principal of or interest on the Securities and shall notify the Trustee in writing of any default by the Company in making any such payment. Upon an Event of Default under Section 501(5) or Section 501(6), the Trustee shall automatically become the Paying Agent.</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any applicable abandoned property law, any money deposited with the Trustee or any Paying Agent, or then held by the Company, in trust for the payment of the principal of or premium, if any,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8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1004.</w:t>
      </w:r>
      <w:r>
        <w:rPr>
          <w:sz w:val="20"/>
          <w:szCs w:val="20"/>
          <w:color w:val="auto"/>
        </w:rPr>
        <w:tab/>
      </w:r>
      <w:r>
        <w:rPr>
          <w:rFonts w:ascii="Times New Roman" w:cs="Times New Roman" w:eastAsia="Times New Roman" w:hAnsi="Times New Roman"/>
          <w:sz w:val="17"/>
          <w:szCs w:val="17"/>
          <w:u w:val="single" w:color="auto"/>
          <w:color w:val="auto"/>
        </w:rPr>
        <w:t>Statement by Officers as to Default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of the Company ending after the date hereof an Officer’s Certificate signed by its principal executive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spacing w:after="0" w:line="261" w:lineRule="auto"/>
        <w:rPr>
          <w:sz w:val="20"/>
          <w:szCs w:val="20"/>
          <w:color w:val="auto"/>
        </w:rPr>
      </w:pPr>
      <w:r>
        <w:rPr>
          <w:rFonts w:ascii="Times New Roman" w:cs="Times New Roman" w:eastAsia="Times New Roman" w:hAnsi="Times New Roman"/>
          <w:sz w:val="18"/>
          <w:szCs w:val="18"/>
          <w:color w:val="auto"/>
        </w:rPr>
        <w:t>officer, principal financial officer or principal accounting officer, stating whether or not, to the best knowledge of such Officer, the Company is in default in the performance and observance of any of the terms, provisions and conditions of this Indenture applicable to it (without regard to any period of grace or requirement of notice provided hereunder) and, if the Company shall be in default, specifying all such defaults and the nature and status thereof of which such Officer may have knowledge.</w:t>
      </w:r>
    </w:p>
    <w:p>
      <w:pPr>
        <w:spacing w:after="0" w:line="18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1005.</w:t>
      </w:r>
      <w:r>
        <w:rPr>
          <w:sz w:val="20"/>
          <w:szCs w:val="20"/>
          <w:color w:val="auto"/>
        </w:rPr>
        <w:tab/>
      </w:r>
      <w:r>
        <w:rPr>
          <w:rFonts w:ascii="Times New Roman" w:cs="Times New Roman" w:eastAsia="Times New Roman" w:hAnsi="Times New Roman"/>
          <w:sz w:val="17"/>
          <w:szCs w:val="17"/>
          <w:u w:val="single" w:color="auto"/>
          <w:color w:val="auto"/>
        </w:rPr>
        <w:t>Waiver of Certain Covenants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specified as contemplated by Section‎ 301 for Securities of such series, the Company may, with respect to the Securities of any series,</w:t>
      </w:r>
    </w:p>
    <w:p>
      <w:pPr>
        <w:spacing w:after="0" w:line="27"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color w:val="auto"/>
        </w:rPr>
        <w:t>omit in any particular instance to comply with any term, provision or condition set forth in any covenant provided pursuant to Section‎ 301(19), Section‎ 901(1) or ‎Section 901(7) for the benefit of the Holders of such series or in ‎Article VIII, if before the time for such compliance the Holders of at least a majority in aggregate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REDEMPTION OF SECURITIES</w:t>
      </w:r>
    </w:p>
    <w:p>
      <w:pPr>
        <w:spacing w:after="0" w:line="20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1101.</w:t>
      </w:r>
      <w:r>
        <w:rPr>
          <w:sz w:val="20"/>
          <w:szCs w:val="20"/>
          <w:color w:val="auto"/>
        </w:rPr>
        <w:tab/>
      </w:r>
      <w:r>
        <w:rPr>
          <w:rFonts w:ascii="Times New Roman" w:cs="Times New Roman" w:eastAsia="Times New Roman" w:hAnsi="Times New Roman"/>
          <w:sz w:val="17"/>
          <w:szCs w:val="17"/>
          <w:u w:val="single" w:color="auto"/>
          <w:color w:val="auto"/>
        </w:rPr>
        <w:t>Applicability of Article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Securities of any series which are redeemable before their Stated Maturity shall be redeemable in accordance with their terms and (except as otherwise specified as contemplated by ‎Section 301 for such Securities) in accordance with this ‎Article XI.</w:t>
      </w:r>
    </w:p>
    <w:p>
      <w:pPr>
        <w:spacing w:after="0" w:line="16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1102.</w:t>
      </w:r>
      <w:r>
        <w:rPr>
          <w:sz w:val="20"/>
          <w:szCs w:val="20"/>
          <w:color w:val="auto"/>
        </w:rPr>
        <w:tab/>
      </w:r>
      <w:r>
        <w:rPr>
          <w:rFonts w:ascii="Times New Roman" w:cs="Times New Roman" w:eastAsia="Times New Roman" w:hAnsi="Times New Roman"/>
          <w:sz w:val="17"/>
          <w:szCs w:val="17"/>
          <w:u w:val="single" w:color="auto"/>
          <w:color w:val="auto"/>
        </w:rPr>
        <w:t>Election to Redeem; Notice to Trustee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election of the Company to redeem any Securities shall be evidenced by a Board Resolution or an Officer’s Certificate or in another manner specified as contemplated by ‎Section 301 for such Securities. In case of any redemption at the election of the Company of the Securities of any series (including any such redemption affecting only a single Security), the Company shall, at least 60 days prior to the Redemption Date fixed by the Company (unless a shorter notice shall be satisfactory to the Trustee), notify the Trustee in writing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1103.</w:t>
      </w:r>
      <w:r>
        <w:rPr>
          <w:sz w:val="20"/>
          <w:szCs w:val="20"/>
          <w:color w:val="auto"/>
        </w:rPr>
        <w:tab/>
      </w:r>
      <w:r>
        <w:rPr>
          <w:rFonts w:ascii="Times New Roman" w:cs="Times New Roman" w:eastAsia="Times New Roman" w:hAnsi="Times New Roman"/>
          <w:sz w:val="17"/>
          <w:szCs w:val="17"/>
          <w:u w:val="single" w:color="auto"/>
          <w:color w:val="auto"/>
        </w:rPr>
        <w:t>Selection by Trustee of Securities to Be Redeemed</w:t>
      </w:r>
      <w:r>
        <w:rPr>
          <w:rFonts w:ascii="Times New Roman" w:cs="Times New Roman" w:eastAsia="Times New Roman" w:hAnsi="Times New Roman"/>
          <w:sz w:val="17"/>
          <w:szCs w:val="17"/>
          <w:color w:val="auto"/>
        </w:rPr>
        <w:t>.</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8" w:name="page99"/>
    <w:bookmarkEnd w:id="98"/>
    <w:p>
      <w:pPr>
        <w:spacing w:after="0" w:line="254" w:lineRule="auto"/>
        <w:rPr>
          <w:sz w:val="20"/>
          <w:szCs w:val="20"/>
          <w:color w:val="auto"/>
        </w:rPr>
      </w:pPr>
      <w:r>
        <w:rPr>
          <w:rFonts w:ascii="Times New Roman" w:cs="Times New Roman" w:eastAsia="Times New Roman" w:hAnsi="Times New Roman"/>
          <w:sz w:val="18"/>
          <w:szCs w:val="18"/>
          <w:color w:val="auto"/>
        </w:rPr>
        <w:t xml:space="preserve">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60 days prior to the Redemption Date by the Trustee, from the Outstanding Securities of such series not previously called for redemption, by such method as shall be in accordance with the procedures of the Depositary and which may provide for the selection for redemption of a portion of the principal amount of any Security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60 days prior to the Redemption Date by the Trustee, from the Outstanding Securities of such series and specified tenor not previously called for redemption in accordance with the preceding sentence.</w:t>
      </w:r>
    </w:p>
    <w:p>
      <w:pPr>
        <w:spacing w:after="0" w:line="18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for the purpose of such selection.</w:t>
      </w:r>
    </w:p>
    <w:p>
      <w:pPr>
        <w:spacing w:after="0" w:line="17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76"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4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1104.</w:t>
      </w:r>
      <w:r>
        <w:rPr>
          <w:sz w:val="20"/>
          <w:szCs w:val="20"/>
          <w:color w:val="auto"/>
        </w:rPr>
        <w:tab/>
      </w:r>
      <w:r>
        <w:rPr>
          <w:rFonts w:ascii="Times New Roman" w:cs="Times New Roman" w:eastAsia="Times New Roman" w:hAnsi="Times New Roman"/>
          <w:sz w:val="17"/>
          <w:szCs w:val="17"/>
          <w:u w:val="single" w:color="auto"/>
          <w:color w:val="auto"/>
        </w:rPr>
        <w:t>Notice of Redemption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Notice of redemption shall be given to Holders by first-class mail, postage prepaid, mailed not less than 10 nor more than 60 days prior to the Redemption Date (or within such period as otherwise specified as contemplated by ‎Section 301 for Securities of a series), to each Holder of Securities to be redeemed, at such Holder’s address appearing in the Security Register.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notices of redemption shall identify the Securities to be redeemed and shall state:</w:t>
      </w:r>
    </w:p>
    <w:p>
      <w:pPr>
        <w:spacing w:after="0" w:line="225" w:lineRule="exact"/>
        <w:rPr>
          <w:sz w:val="20"/>
          <w:szCs w:val="20"/>
          <w:color w:val="auto"/>
        </w:rPr>
      </w:pPr>
    </w:p>
    <w:p>
      <w:pPr>
        <w:ind w:left="1300" w:hanging="320"/>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the method of calculating such price);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99" w:name="page100"/>
    <w:bookmarkEnd w:id="99"/>
    <w:p>
      <w:pPr>
        <w:ind w:left="1300" w:right="200" w:hanging="320"/>
        <w:spacing w:after="0" w:line="261"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79"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each such Security is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Securities that by their terms may be converted, the terms of conversion, the date on which the right to convert the Security to be redeemed will terminate and the place or places where such Securities may be surrendered for conversion;</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 and</w:t>
      </w:r>
    </w:p>
    <w:p>
      <w:pPr>
        <w:spacing w:after="0" w:line="225" w:lineRule="exact"/>
        <w:rPr>
          <w:rFonts w:ascii="Times New Roman" w:cs="Times New Roman" w:eastAsia="Times New Roman" w:hAnsi="Times New Roman"/>
          <w:sz w:val="18"/>
          <w:szCs w:val="18"/>
          <w:color w:val="auto"/>
        </w:rPr>
      </w:pPr>
    </w:p>
    <w:p>
      <w:pPr>
        <w:ind w:left="1300" w:right="500" w:hanging="320"/>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applicable, the CUSIP numbers of the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representation will be made as to the correctness or accuracy of the CUSIP number, or any similar number, if any, listed in such notice or printed on the Securities.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Notice of redemption of Securities to be redeemed at the election of the Company shall be given by the Company or, at the Company’s written request (which may be rescinded or revoked at any time prior to the time at which the Trustee shall have given such notice to the Holders), by the Trustee in the name and at the expense of the Company. The notice, if mailed in the manner herein provided, shall be conclusively presumed to have been given, whether or not the Holder receives such notice. In any case, failure to give such notice by mail or any defect in the notice to the Holder of any Security designated for redemption as a whole or in part shall not affect the validity of the proceedings for the redemption of any other Securities.</w:t>
      </w:r>
    </w:p>
    <w:p>
      <w:pPr>
        <w:spacing w:after="0" w:line="18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1105.</w:t>
      </w:r>
      <w:r>
        <w:rPr>
          <w:sz w:val="20"/>
          <w:szCs w:val="20"/>
          <w:color w:val="auto"/>
        </w:rPr>
        <w:tab/>
      </w:r>
      <w:r>
        <w:rPr>
          <w:rFonts w:ascii="Times New Roman" w:cs="Times New Roman" w:eastAsia="Times New Roman" w:hAnsi="Times New Roman"/>
          <w:sz w:val="17"/>
          <w:szCs w:val="17"/>
          <w:u w:val="single" w:color="auto"/>
          <w:color w:val="auto"/>
        </w:rPr>
        <w:t>Deposit of Redemption Price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By no later than 11:00 a.m. (New York City time) on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or the Securities of the series provide otherwise) accrued interest on, all the Securities which are to be redeemed on that date, other than Securities or portions of Securities called for redemption which are owned by the Company or a Subsidiary and have been delivered by the Company or such Subsidiary to the Trustee for cancellation. All money, if any, earned on funds held by the Paying Agent shall be remitted to the Company. In addition, the Paying Agent shall promptly return to the Company any money deposited with the Paying Agent by the Company in excess of the amounts necessary to pay the Redemption Price of, and accrued interest, if any, on, all Securities to be redeemed.</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00" w:name="page101"/>
    <w:bookmarkEnd w:id="100"/>
    <w:p>
      <w:pPr>
        <w:ind w:right="140"/>
        <w:spacing w:after="0" w:line="261" w:lineRule="auto"/>
        <w:rPr>
          <w:sz w:val="20"/>
          <w:szCs w:val="20"/>
          <w:color w:val="auto"/>
        </w:rPr>
      </w:pPr>
      <w:r>
        <w:rPr>
          <w:rFonts w:ascii="Times New Roman" w:cs="Times New Roman" w:eastAsia="Times New Roman" w:hAnsi="Times New Roman"/>
          <w:sz w:val="18"/>
          <w:szCs w:val="18"/>
          <w:color w:val="auto"/>
        </w:rPr>
        <w:t>If any Security called for redemption is converted, any money deposited with the Trustee or with any Paying Agent or so segregated and held in trust for the redemption of such Security shall (subject to any right of the Holder of such Security or any Predecessor Security to receive interest as provided in the last paragraph of ‎Section 307 or in the terms of such Security) be paid to the Company upon Company Request or, if then held by the Company, shall be discharged from such trust.</w:t>
      </w:r>
    </w:p>
    <w:p>
      <w:pPr>
        <w:spacing w:after="0" w:line="18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1106.</w:t>
      </w:r>
      <w:r>
        <w:rPr>
          <w:sz w:val="20"/>
          <w:szCs w:val="20"/>
          <w:color w:val="auto"/>
        </w:rPr>
        <w:tab/>
      </w:r>
      <w:r>
        <w:rPr>
          <w:rFonts w:ascii="Times New Roman" w:cs="Times New Roman" w:eastAsia="Times New Roman" w:hAnsi="Times New Roman"/>
          <w:sz w:val="17"/>
          <w:szCs w:val="17"/>
          <w:u w:val="single" w:color="auto"/>
          <w:color w:val="auto"/>
        </w:rPr>
        <w:t>Securities Payable on Redemption Date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if applicable, with accrued interest to, but excluding, the Redemption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unless otherwise specified as contemplated by ‎Section 301, if the Redemption Date is after a Regular Record Date and on or prior to the Interest Payment Date, the accrued and unpaid interest shall be payable to the Holder of the redeemed Securities registered on the relevant Regular Record Date.</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premium, if any, shall, until paid, bear interest from the Redemption Date at the rate prescribed therefor in the Security.</w:t>
      </w:r>
    </w:p>
    <w:p>
      <w:pPr>
        <w:spacing w:after="0" w:line="16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1107.</w:t>
      </w:r>
      <w:r>
        <w:rPr>
          <w:sz w:val="20"/>
          <w:szCs w:val="20"/>
          <w:color w:val="auto"/>
        </w:rPr>
        <w:tab/>
      </w:r>
      <w:r>
        <w:rPr>
          <w:rFonts w:ascii="Times New Roman" w:cs="Times New Roman" w:eastAsia="Times New Roman" w:hAnsi="Times New Roman"/>
          <w:sz w:val="17"/>
          <w:szCs w:val="17"/>
          <w:u w:val="single" w:color="auto"/>
          <w:color w:val="auto"/>
        </w:rPr>
        <w:t>Securities Redeemed in Part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principal amount equal to and in exchange for the unredeemed portion of the principal of the Security so surrendered.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SINKING FUNDS</w:t>
      </w:r>
    </w:p>
    <w:p>
      <w:pPr>
        <w:spacing w:after="0" w:line="20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1201.</w:t>
      </w:r>
      <w:r>
        <w:rPr>
          <w:sz w:val="20"/>
          <w:szCs w:val="20"/>
          <w:color w:val="auto"/>
        </w:rPr>
        <w:tab/>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The provisions of this ‎Article XII</w:t>
      </w:r>
      <w:r>
        <w:rPr>
          <w:rFonts w:ascii="Times New Roman" w:cs="Times New Roman" w:eastAsia="Times New Roman" w:hAnsi="Times New Roman"/>
          <w:sz w:val="18"/>
          <w:szCs w:val="18"/>
          <w:b w:val="1"/>
          <w:bCs w:val="1"/>
          <w:color w:val="auto"/>
        </w:rPr>
        <w:t>Error! Reference source not found.</w:t>
      </w:r>
      <w:r>
        <w:rPr>
          <w:rFonts w:ascii="Times New Roman" w:cs="Times New Roman" w:eastAsia="Times New Roman" w:hAnsi="Times New Roman"/>
          <w:sz w:val="18"/>
          <w:szCs w:val="18"/>
          <w:color w:val="auto"/>
        </w:rPr>
        <w:t xml:space="preserve"> shall be applicable to any sinking fund for the retirement of Securities of any series except as otherwise specified as contemplated by ‎Section 301 for such Securities.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1" w:name="page102"/>
    <w:bookmarkEnd w:id="101"/>
    <w:p>
      <w:pPr>
        <w:ind w:right="100"/>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any series of Securities is herein referred to as a “mandatory sinking fund payment,” and any payment in excess of such minimum amount provided for by the terms of such Securities is herein referred to as an “optional sinking fund payment.” If provided for by the terms of any series of Securities, the cash amount of any sinking fund payment may be subject to reduction as provided in Section 1202. Each sinking fund payment shall be applied to the redemption of Securities of the series as provided for by the terms of such Securities.</w:t>
      </w:r>
    </w:p>
    <w:p>
      <w:pPr>
        <w:spacing w:after="0" w:line="18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1202.</w:t>
      </w:r>
      <w:r>
        <w:rPr>
          <w:sz w:val="20"/>
          <w:szCs w:val="20"/>
          <w:color w:val="auto"/>
        </w:rPr>
        <w:tab/>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8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1203.</w:t>
      </w:r>
      <w:r>
        <w:rPr>
          <w:sz w:val="20"/>
          <w:szCs w:val="20"/>
          <w:color w:val="auto"/>
        </w:rPr>
        <w:tab/>
      </w:r>
      <w:r>
        <w:rPr>
          <w:rFonts w:ascii="Times New Roman" w:cs="Times New Roman" w:eastAsia="Times New Roman" w:hAnsi="Times New Roman"/>
          <w:sz w:val="17"/>
          <w:szCs w:val="17"/>
          <w:u w:val="single" w:color="auto"/>
          <w:color w:val="auto"/>
        </w:rPr>
        <w:t>Redemption of Securities for Sinking Fund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Not less than 60 days (or such shorter period as shall be satisfactory to the Trustee)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1202 and will also deliver to the Trustee any Securities to be so delivered. Not less than 30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20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1301.</w:t>
      </w:r>
      <w:r>
        <w:rPr>
          <w:sz w:val="20"/>
          <w:szCs w:val="20"/>
          <w:color w:val="auto"/>
        </w:rPr>
        <w:tab/>
      </w:r>
      <w:r>
        <w:rPr>
          <w:rFonts w:ascii="Times New Roman" w:cs="Times New Roman" w:eastAsia="Times New Roman" w:hAnsi="Times New Roman"/>
          <w:sz w:val="17"/>
          <w:szCs w:val="17"/>
          <w:u w:val="single" w:color="auto"/>
          <w:color w:val="auto"/>
        </w:rPr>
        <w:t>Company’s Option to Effect Defeasance or Covenant Defeasance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provided as contemplated by Section‎ 301, Sections 1302‎ and 1303‎ shall apply to all Securities and each series of Securities, denominated</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U.S. dollars and bearing interest at a fixed rate, in accordance with any applicable requirements provided pursuant to Section‎ 301 and upon compliance with the conditions set forth below in this ‎Article XIII; and the Company may elect, at its option at any time, to have Sections ‎1302 and ‎1303 applied to any Securities or</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any series of Securities, designated pursuant to Section‎ 301 as being defeasible pursuant to such Section‎ 1302 or 1303,‎ in accordance with any applicable</w:t>
      </w:r>
    </w:p>
    <w:p>
      <w:pPr>
        <w:spacing w:after="0" w:line="27"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requirements provided pursuant to Section‎ 301 and upon compliance with the conditions set forth below in this Article‎ XIII. Any such election shall be evidenced by a Board Resolution, Officer’s Certificate or in another manner specified as contemplated by ‎Section 301 for such Securities.</w:t>
      </w:r>
    </w:p>
    <w:p>
      <w:pPr>
        <w:spacing w:after="0" w:line="18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1302.</w:t>
      </w:r>
      <w:r>
        <w:rPr>
          <w:sz w:val="20"/>
          <w:szCs w:val="20"/>
          <w:color w:val="auto"/>
        </w:rPr>
        <w:tab/>
      </w:r>
      <w:r>
        <w:rPr>
          <w:rFonts w:ascii="Times New Roman" w:cs="Times New Roman" w:eastAsia="Times New Roman" w:hAnsi="Times New Roman"/>
          <w:sz w:val="17"/>
          <w:szCs w:val="17"/>
          <w:u w:val="single" w:color="auto"/>
          <w:color w:val="auto"/>
        </w:rPr>
        <w:t>Defeasance and Discharge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Upon the Company’s exercise of its option, if any, to have this ‎Section 1302 applied to any Securities or any series of Securities, or if this ‎Section 1302 shall otherwise apply to any Securities or any series of Securities, the Company shall be deemed to have been discharged from its obligations with respect to such Securities as provided in this Section 1302 on and after the date the conditions set forth in Section 1304 are satisfied (hereinafter called “</w:t>
      </w:r>
      <w:r>
        <w:rPr>
          <w:rFonts w:ascii="Times New Roman" w:cs="Times New Roman" w:eastAsia="Times New Roman" w:hAnsi="Times New Roman"/>
          <w:sz w:val="18"/>
          <w:szCs w:val="18"/>
          <w:u w:val="single" w:color="auto"/>
          <w:color w:val="auto"/>
        </w:rPr>
        <w:t>Defeasance</w:t>
      </w:r>
      <w:r>
        <w:rPr>
          <w:rFonts w:ascii="Times New Roman" w:cs="Times New Roman" w:eastAsia="Times New Roman" w:hAnsi="Times New Roman"/>
          <w:sz w:val="18"/>
          <w:szCs w:val="18"/>
          <w:color w:val="auto"/>
        </w:rPr>
        <w:t>”).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on demand of the Company accompanied by an Officer’s Certificate and an Opinion of Counsel and at the cost and expense of the Company, shall execute such instruments reasonably requested by the Company acknowledging the same), subject to the following which shall survive until otherwise terminated or discharged hereunder: (1) the rights of Holders of such Securities to receive, solely from the trust fund described in Section 1304 and as more fully set forth in such Section 1305, payments in respect of the principal of and premium, if any, and interest on such Securities when payments are due, (2) the Company’s obligations with respect to such Securities under Sections ‎304, ‎305, ‎306, ‎1002 and ‎1003, (3) the rights, powers, trusts,</w:t>
      </w:r>
    </w:p>
    <w:p>
      <w:pPr>
        <w:spacing w:after="0" w:line="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duties and immunities of the Trustee hereunder and (4) this Article‎ XIII. Subject to compliance with this Article‎ XIII, the Company may exercise its option, if any, to have this ‎Section 1302 applied to the Securities of any series notwithstanding the prior exercise of its option, if any, to have ‎Section 1303 applied to such Securities.</w:t>
      </w:r>
    </w:p>
    <w:p>
      <w:pPr>
        <w:spacing w:after="0" w:line="18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1303.</w:t>
      </w:r>
      <w:r>
        <w:rPr>
          <w:sz w:val="20"/>
          <w:szCs w:val="20"/>
          <w:color w:val="auto"/>
        </w:rPr>
        <w:tab/>
      </w:r>
      <w:r>
        <w:rPr>
          <w:rFonts w:ascii="Times New Roman" w:cs="Times New Roman" w:eastAsia="Times New Roman" w:hAnsi="Times New Roman"/>
          <w:sz w:val="17"/>
          <w:szCs w:val="17"/>
          <w:u w:val="single" w:color="auto"/>
          <w:color w:val="auto"/>
        </w:rPr>
        <w:t>Covenant Defeasance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Company’s exercise of its option, if any, to have this Section‎ 1303 applied to any Securities or any series of Securities, or if this Section‎ 1303</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shall otherwise apply to any Securities or any series of Securities, (1) the Company shall be released from its obligations under Section‎ 801(3) and any covenants provided pursuant to ‎Section 301(19), ‎Section 901(1) or ‎Section 901(7) for the benefit of the Holders of such Securities and (2) the occurrence of</w:t>
      </w:r>
    </w:p>
    <w:p>
      <w:pPr>
        <w:spacing w:after="0" w:line="1"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any event specified in Section‎ 501(4) and Section‎ 501(7) shall be deemed not to be or result in an Event of Default, in each case with respect to such Securities as provided in this ‎Section 1303 on and after the date the conditions set forth in Section 1304 are satisfied (hereinafter called “</w:t>
      </w:r>
      <w:r>
        <w:rPr>
          <w:rFonts w:ascii="Times New Roman" w:cs="Times New Roman" w:eastAsia="Times New Roman" w:hAnsi="Times New Roman"/>
          <w:sz w:val="18"/>
          <w:szCs w:val="18"/>
          <w:u w:val="single" w:color="auto"/>
          <w:color w:val="auto"/>
        </w:rPr>
        <w:t>Covenant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Defeasance</w:t>
      </w:r>
      <w:r>
        <w:rPr>
          <w:rFonts w:ascii="Times New Roman" w:cs="Times New Roman" w:eastAsia="Times New Roman" w:hAnsi="Times New Roman"/>
          <w:sz w:val="18"/>
          <w:szCs w:val="18"/>
          <w:color w:val="auto"/>
        </w:rPr>
        <w:t>”). For this purpose, such Covenant Defeasance means that, with respect to such Securities, the Company may omit to comply with and shall have no liability in respect of any term, condition or limitation set forth in any such specified Section,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19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1304.</w:t>
      </w:r>
      <w:r>
        <w:rPr>
          <w:sz w:val="20"/>
          <w:szCs w:val="20"/>
          <w:color w:val="auto"/>
        </w:rPr>
        <w:tab/>
      </w:r>
      <w:r>
        <w:rPr>
          <w:rFonts w:ascii="Times New Roman" w:cs="Times New Roman" w:eastAsia="Times New Roman" w:hAnsi="Times New Roman"/>
          <w:sz w:val="18"/>
          <w:szCs w:val="18"/>
          <w:u w:val="single" w:color="auto"/>
          <w:color w:val="auto"/>
        </w:rPr>
        <w:t>Conditions to Defeasance or Covenant Defeasance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The following shall be the conditions to the application of Section‎ 1302 or 1303‎ to any Securities or any series of Securities:</w:t>
      </w:r>
    </w:p>
    <w:p>
      <w:pPr>
        <w:spacing w:after="0" w:line="225" w:lineRule="exact"/>
        <w:rPr>
          <w:sz w:val="20"/>
          <w:szCs w:val="20"/>
          <w:color w:val="auto"/>
        </w:rPr>
      </w:pPr>
    </w:p>
    <w:p>
      <w:pPr>
        <w:ind w:left="1300" w:hanging="320"/>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irrevocably have deposited or caused to be deposited with the Trustee (or another trustee which satisfies the</w:t>
      </w:r>
    </w:p>
    <w:p>
      <w:pPr>
        <w:spacing w:after="0" w:line="27" w:lineRule="exact"/>
        <w:rPr>
          <w:rFonts w:ascii="Times New Roman" w:cs="Times New Roman" w:eastAsia="Times New Roman" w:hAnsi="Times New Roman"/>
          <w:sz w:val="18"/>
          <w:szCs w:val="18"/>
          <w:color w:val="auto"/>
        </w:rPr>
      </w:pPr>
    </w:p>
    <w:p>
      <w:pPr>
        <w:ind w:left="13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contemplated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609 and agrees to comply with the provisions of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XIII applicable to it) as trust funds in trust for the purpose of making the following payments, specifically pledged as security for, and dedicated solely to, the benefits of the Holders of such Securities, (A) money in an amount, or (B) U.S. Government Obligations which through the scheduled payment of principal and interest in respect thereof in accordance with their terms will provide money in an amount, or (C)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premium, if any, and interest on such Securities on the respective Stated Maturities, in accordance with the terms of this Indenture and such Securities. As used herein, “</w:t>
      </w:r>
      <w:r>
        <w:rPr>
          <w:rFonts w:ascii="Times New Roman" w:cs="Times New Roman" w:eastAsia="Times New Roman" w:hAnsi="Times New Roman"/>
          <w:sz w:val="18"/>
          <w:szCs w:val="18"/>
          <w:u w:val="single" w:color="auto"/>
          <w:color w:val="auto"/>
        </w:rPr>
        <w:t>U.S. Government Obligation</w:t>
      </w:r>
      <w:r>
        <w:rPr>
          <w:rFonts w:ascii="Times New Roman" w:cs="Times New Roman" w:eastAsia="Times New Roman" w:hAnsi="Times New Roman"/>
          <w:sz w:val="18"/>
          <w:szCs w:val="18"/>
          <w:color w:val="auto"/>
        </w:rPr>
        <w:t>”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85" w:lineRule="exact"/>
        <w:rPr>
          <w:rFonts w:ascii="Times New Roman" w:cs="Times New Roman" w:eastAsia="Times New Roman" w:hAnsi="Times New Roman"/>
          <w:sz w:val="18"/>
          <w:szCs w:val="18"/>
          <w:color w:val="auto"/>
        </w:rPr>
      </w:pPr>
    </w:p>
    <w:p>
      <w:pPr>
        <w:ind w:left="1300" w:right="20" w:hanging="320"/>
        <w:spacing w:after="0" w:line="256"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election to have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1302 apply to any Securities or any series of Securities shall have delivered to the Trustee an Opinion of Counsel stating that (A) the Company has received from, or there has been published by, the Internal Revenue Service a ruling or (B) since the date of this Indenture, there has been a change in the applicable Federal income tax law, in either case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effect that, and based thereon such opinion shall confirm that, the beneficial owners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4" w:name="page105"/>
    <w:bookmarkEnd w:id="104"/>
    <w:p>
      <w:pPr>
        <w:ind w:left="1300" w:right="100" w:hanging="320"/>
        <w:spacing w:after="0" w:line="259"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election to have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1303 apply to any Securities or any series of Securities, the Company shall have delivered to the Trustee an Opinion of Counsel to the effect that the beneficial owners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83"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such Securities or any other Securities shall have occurred and be continuing at the time of</w:t>
      </w:r>
    </w:p>
    <w:p>
      <w:pPr>
        <w:spacing w:after="0" w:line="27" w:lineRule="exact"/>
        <w:rPr>
          <w:rFonts w:ascii="Times New Roman" w:cs="Times New Roman" w:eastAsia="Times New Roman" w:hAnsi="Times New Roman"/>
          <w:sz w:val="18"/>
          <w:szCs w:val="18"/>
          <w:color w:val="auto"/>
        </w:rPr>
      </w:pPr>
    </w:p>
    <w:p>
      <w:pPr>
        <w:ind w:left="1300" w:right="2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or, insofar as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501(5)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501(6) are concerned, at any time on or prior to the 90th day after the date of such deposit (it being understood that this condition shall not be deemed satisfied until after such 90th day).</w:t>
      </w:r>
    </w:p>
    <w:p>
      <w:pPr>
        <w:spacing w:after="0" w:line="181" w:lineRule="exact"/>
        <w:rPr>
          <w:rFonts w:ascii="Times New Roman" w:cs="Times New Roman" w:eastAsia="Times New Roman" w:hAnsi="Times New Roman"/>
          <w:sz w:val="18"/>
          <w:szCs w:val="18"/>
          <w:color w:val="auto"/>
        </w:rPr>
      </w:pPr>
    </w:p>
    <w:p>
      <w:pPr>
        <w:ind w:left="1300" w:right="380" w:hanging="320"/>
        <w:spacing w:after="0" w:line="282"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shall not result in a breach or violation of, or constitute a default under, any other material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66"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with respect to such Defeasance or Covenant Defeasance have been complied with (in each case, subject to the satisfaction of the condition in clause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Before or after a deposit, the Company may make arrangements satisfactory to the Trustee for the redemption of Securities at a future date in accordance with ‎Article XI.</w:t>
      </w:r>
    </w:p>
    <w:p>
      <w:pPr>
        <w:spacing w:after="0" w:line="16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1305.</w:t>
      </w:r>
      <w:r>
        <w:rPr>
          <w:sz w:val="20"/>
          <w:szCs w:val="20"/>
          <w:color w:val="auto"/>
        </w:rPr>
        <w:tab/>
      </w:r>
      <w:r>
        <w:rPr>
          <w:rFonts w:ascii="Times New Roman" w:cs="Times New Roman" w:eastAsia="Times New Roman" w:hAnsi="Times New Roman"/>
          <w:sz w:val="17"/>
          <w:szCs w:val="17"/>
          <w:u w:val="single" w:color="auto"/>
          <w:color w:val="auto"/>
        </w:rPr>
        <w:t>Deposited Money and U.S. Government Obligations to Be Held in Trust; Miscellaneous Provisions</w:t>
      </w:r>
      <w:r>
        <w:rPr>
          <w:rFonts w:ascii="Times New Roman" w:cs="Times New Roman" w:eastAsia="Times New Roman" w:hAnsi="Times New Roman"/>
          <w:sz w:val="17"/>
          <w:szCs w:val="17"/>
          <w:i w:val="1"/>
          <w:iCs w:val="1"/>
          <w:color w:val="auto"/>
        </w:rPr>
        <w:t>.</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the provisions of the last paragraph of ‎Section 1003, all money and U.S. Government Obligations (including the proceeds thereof) deposited with the Trustee or other qualifying trustee (solely for purposes of this ‎Section 1305 and ‎Section 1306, the Trustee and any such other trustee are referred to collectively as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pursuant to Section 1304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premium, if any, and interest, but money so held in trust need not be segregated from other funds except to the extent required by law.</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5" w:name="page106"/>
    <w:bookmarkEnd w:id="105"/>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which by law is for the account of the Holders of Outstanding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shall be entitled to charge any such tax, fee or other charge to such Holder’s account.</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Anything in this ‎Article XIII to the contrary notwithstanding, the Trustee shall deliver or pay to the Company from time to time upon Company Request any money or U.S. Government Obligations held by it as provided in ‎Section 1304 with respect to any Securities which are in excess of the amount thereof which would then be required to be deposited to effect the Defeasance or Covenant Defeasance, as the case may be, with respect to such Securities.</w:t>
      </w:r>
    </w:p>
    <w:p>
      <w:pPr>
        <w:spacing w:after="0" w:line="17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1306.</w:t>
      </w:r>
      <w:r>
        <w:rPr>
          <w:sz w:val="20"/>
          <w:szCs w:val="20"/>
          <w:color w:val="auto"/>
        </w:rPr>
        <w:tab/>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If the Trustee or the Paying Agent is unable to apply any money in accordance with this ‎Article XIII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1302 or ‎1303 shall be revived and reinstated as</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though no deposit had occurred pursuant to this Article‎ XIII with respect to such Securities, until such time as the Trustee or Paying Agent is permitted to apply all money held in trust pursuant to ‎Section 1305 with respect to such Securities in accordance with this ‎Article XIII;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if the Company makes any payment of principal of or premium, if any, or interest on any such Security following such reinstatement of its obligations, the Company shall be subrogated to the rights, if any, of the Holders of such Securities to receive such payment from the money so held in trust and (b) unless otherwise required by any legal proceeding or any order or judgment of any court or governmental authority, the Trustee or Paying Agent shall return all such money and U.S. Government Obligations to the Company promptly after receiving a written request therefor at any time, if such reinstatement of the obligations of the Company has occurred and continues to be in effect.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GUARANTEE OF SECURITIES</w:t>
      </w:r>
    </w:p>
    <w:p>
      <w:pPr>
        <w:spacing w:after="0" w:line="20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1401.</w:t>
      </w:r>
      <w:r>
        <w:rPr>
          <w:sz w:val="20"/>
          <w:szCs w:val="20"/>
          <w:color w:val="auto"/>
        </w:rPr>
        <w:tab/>
      </w:r>
      <w:r>
        <w:rPr>
          <w:rFonts w:ascii="Times New Roman" w:cs="Times New Roman" w:eastAsia="Times New Roman" w:hAnsi="Times New Roman"/>
          <w:sz w:val="17"/>
          <w:szCs w:val="17"/>
          <w:u w:val="single" w:color="auto"/>
          <w:color w:val="auto"/>
        </w:rPr>
        <w:t>Unconditional Guarantee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of the Guarantors hereby fully and unconditionally, jointly and severally, guarantees to each Holder of a Security authenticated and delivered by the Trustee and to the Trustee and its successors and assigns, irrespective of the validity and enforceability of this Indenture, the Securities or the obligations of the Company to the Holders or the Trustee hereunder or thereunder, that: (a) the principal of and any premium or interest on the Securities will be duly and punctually paid in full when due, whether at maturity, upon redemption, by acceleration or otherwise, and (to the extent permitted by law) interest on the overdue principal, premium and interest, if any, on the Securities and all other obligations of the Company or the Guarantors to the Holders or the Trustee hereunder or thereunder (including fees, expenses or other) and all other obligations under this Indenture or the Securities will be duly and punctually paid in full or performed, all in accordance with the terms hereof and thereof; and (b) in case of any extension of time of payment or renewal of any Securities or any of such other obligations under this Indenture or the Securities or any change in the time, manner or place of payment of, or in any other term in respect thereof, or waiver of or consent to any departure from any other agreement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6" w:name="page107"/>
    <w:bookmarkEnd w:id="106"/>
    <w:p>
      <w:pPr>
        <w:ind w:right="40"/>
        <w:spacing w:after="0" w:line="256" w:lineRule="auto"/>
        <w:rPr>
          <w:sz w:val="20"/>
          <w:szCs w:val="20"/>
          <w:color w:val="auto"/>
        </w:rPr>
      </w:pPr>
      <w:r>
        <w:rPr>
          <w:rFonts w:ascii="Times New Roman" w:cs="Times New Roman" w:eastAsia="Times New Roman" w:hAnsi="Times New Roman"/>
          <w:sz w:val="18"/>
          <w:szCs w:val="18"/>
          <w:color w:val="auto"/>
        </w:rPr>
        <w:t>relating to any obligations under this Indenture or the Securities, the same will be duly and punctually paid in full when due or performed in accordance with the terms of the extension or renewal, whether at Stated Maturity, by acceleration or otherwise. Failing payment when due of any amount so guaranteed, or failing performance of any other obligation of the Company to the Holders, for whatever reason, the Guarantors shall be obligated to pay, or to perform or cause the performance of, the same immediately. An Event of Default under this Indenture or the Securities shall constitute an event of default under this Guarantee and shall entitle the Holders of Securities to accelerate the obligations of the Guarantors hereunder in the same manner and to the same extent as the obligations of the Company.</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Guarantors hereby agree that their obligations hereunder shall be absolute and unconditional, not subject to any reduction, limitation, impairment, termination, defense, offset, counterclaim or recoupment whatsoever (all of which are expressly hereby waived by the Guarantors) whether by reason of any claim of any character whatsoever, including any claim of waiver, release, surrender, alteration or compromise, or by reason of any liability at any time to any Guarantor or otherwise, whether based upon any obligations or any other agreement or otherwise, and howsoever arising, whether out of action or inaction or otherwise and whether resulting from default, willful misconduct, negligence or otherwise, and without limiting the foregoing, irrespective of the validity, regularity or enforceability of the Securities or this Indenture, the absence of any action to enforce the same, any waiver or consent by any Holder of the Securities with respect to any provisions hereof or thereof, the recovery of any judgment against the Company, any action to enforce the same, any release or amendment or waiver of or consent to any departure from or failure to enforce any other guarantee, for all or any of the Securities or other obligations under this Indenture, whether or not a Guarantee is affixed to any particular Security, any insolvency, bankruptcy, reorganization or dissolution, or any other proceeding of the Company, or any Guarantor, including rejection of any Guarantee in such bankruptcy or any other circumstance which might otherwise constitute a legal or equitable discharge or defense of a guarantor.</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Guarantor hereby waives the benefit of diligence, presentment, demand of payment, filing of claims with a court in the event of insolvency or bankruptcy of the Company, any right to require a proceeding first against the Company, protest, notice and all demands whatsoever and covenants that its Guarantee shall not be discharged except by complete performance of the obligations contained in the Securities, this Indenture and this Guarantee. This Guarantee is a guarantee of payment and not of collection. If any Holder or the Trustee is required by any court or otherwise to return to the Company or to the Guarantors, or any custodian, trustee, liquidator or other similar official acting in relation to the Company or any Guarantor, any amount paid by the Company or any Guarantor to the Trustee or such Holder, this Guarantee to the extent theretofore discharged, shall be reinstated in full force and effect. Each Guarantor further agrees that, as between it, on the one hand, and the Holders of Securities and the Trustee, on the other hand (a) subject to this Article XIV, the maturity of the obligations guaranteed hereby may be accelerated as provided in Article V hereof for the purposes of this Guarantee, notwithstanding any stay, injunction or other prohibition preventing such acceleration in respect of the obligations guaranteed hereby, and (b) in the event of any acceleration of such obligations as provided in Article V hereof, such obligations (whether or not due and payable) shall forthwith become due and payable by the Guarantors for the purpose of this Guarantee.</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auto"/>
        </w:rPr>
        <w:t>Section 1402</w:t>
      </w:r>
      <w:r>
        <w:rPr>
          <w:rFonts w:ascii="Times New Roman" w:cs="Times New Roman" w:eastAsia="Times New Roman" w:hAnsi="Times New Roman"/>
          <w:sz w:val="18"/>
          <w:szCs w:val="18"/>
          <w:color w:val="auto"/>
        </w:rPr>
        <w:t>. Execution and Delivery of Guarantee.</w:t>
      </w:r>
    </w:p>
    <w:p>
      <w:pPr>
        <w:spacing w:after="0" w:line="22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 xml:space="preserve">To further evidence the Guarantee set forth in Section 1401, each Guarantor hereby agrees that it shall execute a Guarantee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that a notation of such Guarantee shall be endorsed on each Security authenticated and delivered by the Trustee and executed by either manual or facsimile signature of an officer of such Guarantor.</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Each Guarantor hereby agrees that its Guarantee set forth in Section 1401 shall remain in full force and effect notwithstanding any failure to endorse on each Security a notation of such Guarantee.</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If an officer of a Guarantor whose signature is on this Indenture or a Guarantee no longer holds that office at the time the Trustee authenticates such Security or at any time thereafter, such Guarantor’s Guarantee of such Security shall be valid nevertheless.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delivery of any Security by the Trustee, after the authentication thereof hereunder, shall constitute due delivery of the Guarantee set forth in this Indenture on behalf of the Guarantors.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color w:val="auto"/>
        </w:rPr>
        <w:t>. Future Guarantors.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The Company covenants and agrees that it shall cause each Person that becomes a Guarantor hereunder after the date hereof to execute and deliver to the Trustee a supplemental indenture hereto, substantially in the form of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 evidencing the same.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1404</w:t>
      </w:r>
      <w:r>
        <w:rPr>
          <w:rFonts w:ascii="Times New Roman" w:cs="Times New Roman" w:eastAsia="Times New Roman" w:hAnsi="Times New Roman"/>
          <w:sz w:val="18"/>
          <w:szCs w:val="18"/>
          <w:color w:val="auto"/>
        </w:rPr>
        <w:t>. Release of a Guarantor.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Guarantor shall be deemed to be automatically and unconditionally released and discharged from all its obligations under its Guarantee and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XIV without any further action required on the part of the Trustee or any Holder upon:</w:t>
      </w:r>
    </w:p>
    <w:p>
      <w:pPr>
        <w:spacing w:after="0" w:line="207" w:lineRule="exact"/>
        <w:rPr>
          <w:sz w:val="20"/>
          <w:szCs w:val="20"/>
          <w:color w:val="auto"/>
        </w:rPr>
      </w:pPr>
    </w:p>
    <w:p>
      <w:pPr>
        <w:ind w:left="1600" w:hanging="296"/>
        <w:spacing w:after="0"/>
        <w:tabs>
          <w:tab w:leader="none" w:pos="16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release of such Guarantor from any obligations that resulted in such Guarantor’s Guarantee of any particular series of Securities;</w:t>
      </w:r>
    </w:p>
    <w:p>
      <w:pPr>
        <w:spacing w:after="0" w:line="236" w:lineRule="exact"/>
        <w:rPr>
          <w:rFonts w:ascii="Times New Roman" w:cs="Times New Roman" w:eastAsia="Times New Roman" w:hAnsi="Times New Roman"/>
          <w:sz w:val="17"/>
          <w:szCs w:val="17"/>
          <w:color w:val="auto"/>
        </w:rPr>
      </w:pPr>
    </w:p>
    <w:p>
      <w:pPr>
        <w:ind w:left="660" w:right="680" w:firstLine="644"/>
        <w:spacing w:after="0" w:line="282" w:lineRule="auto"/>
        <w:tabs>
          <w:tab w:leader="none" w:pos="160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capital stock or other equity interests of such Guarantor (including by merger or consolidation), of all, or substantially all the assets of a Guarantor, such that it no longer is a Subsidiary of the Company; or</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or satisfaction and discharge of any series of Securities.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Trustee shall deliver such instruments reasonably requested by the Company evidencing such release and discharge upon receipt of a Company Request accompanied by an Officers’ Certificate certifying as to the compliance with this Section 1404.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1405</w:t>
      </w:r>
      <w:r>
        <w:rPr>
          <w:rFonts w:ascii="Times New Roman" w:cs="Times New Roman" w:eastAsia="Times New Roman" w:hAnsi="Times New Roman"/>
          <w:sz w:val="18"/>
          <w:szCs w:val="18"/>
          <w:color w:val="auto"/>
        </w:rPr>
        <w:t>. Waiver of Subrogation</w:t>
      </w:r>
    </w:p>
    <w:p>
      <w:pPr>
        <w:spacing w:after="0" w:line="22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Until this Indenture is discharged and all of the Securities are discharged and paid in full, each Guarantor hereby irrevocably waives and agrees not to exercise any claim or other rights which it may now or hereafter acquire against the Company that arise from the existence, payment, performance or enforcement of the Company’s obligations under the Securities or this Indenture</w:t>
      </w: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108" w:name="page109"/>
    <w:bookmarkEnd w:id="108"/>
    <w:p>
      <w:pPr>
        <w:ind w:right="20"/>
        <w:spacing w:after="0" w:line="253" w:lineRule="auto"/>
        <w:rPr>
          <w:sz w:val="20"/>
          <w:szCs w:val="20"/>
          <w:color w:val="auto"/>
        </w:rPr>
      </w:pPr>
      <w:r>
        <w:rPr>
          <w:rFonts w:ascii="Times New Roman" w:cs="Times New Roman" w:eastAsia="Times New Roman" w:hAnsi="Times New Roman"/>
          <w:sz w:val="18"/>
          <w:szCs w:val="18"/>
          <w:color w:val="auto"/>
        </w:rPr>
        <w:t>and such Guarantor’s obligations under this Guarantee and this Indenture, in any such instance including any right of subrogation, reimbursement, exoneration, contribution, indemnification, and any right to participate in any claim or remedy against the Company, whether or not such claim, remedy or right arises in equity, or under contract, statute or common law, including the right to take or receive from the Company, directly or indirectly, in cash or other property or by set-off or in any other manner, payment or security on account of such claim or other rights. If any amount shall be paid to any Guarantor in violation of the preceding sentence and any amounts owing to the Trustee or the Holders of Securities under the Securities, this Indenture, or any other document or instrument delivered under or in connection with such agreements or instruments, shall not have been paid in full, such amount shall have been deemed to have been paid to such Guarantor for the benefit of, and held in the trust for the benefit of, the Holders of the Securities, and shall forthwith be paid to the Trustee for the benefit of such Holders to be credited and applied to the Securities, whether matured or unmatured, in accordance with the terms of this Indenture. Each Guarantor acknowledges that it will receive direct and indirect benefits from the financing arrangements contemplated by this Indenture and that the waiver set forth in this Section 1405 is knowingly made in contemplation of such benefits.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1406</w:t>
      </w:r>
      <w:r>
        <w:rPr>
          <w:rFonts w:ascii="Times New Roman" w:cs="Times New Roman" w:eastAsia="Times New Roman" w:hAnsi="Times New Roman"/>
          <w:sz w:val="18"/>
          <w:szCs w:val="18"/>
          <w:color w:val="auto"/>
        </w:rPr>
        <w:t>. Reliance on Judicial Order or Certificate of Liquidating Agent Regarding Dissolution, Etc. of Guarantors.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Upon any payment or distribution of assets of any Guarantor referred to in this Article XIV, the Trustee and the Holders shall be entitled to rely upon any order or decree entered by any court of competent jurisdiction in which such insolvency, bankruptcy, receivership, liquidation, reorganization, dissolution, winding-up or similar case or proceeding is pending, or a certificate of the trustee in bankruptcy, receiver, liquidating trustee, custodian, assignee for the benefit of creditors, agent or other Person making such payment or distribution, delivered to the Trustee or to the Holders, for the purpose of ascertaining the Persons entitled to participate in such payment or distribution, the amount thereof or payable thereon, the amount or amounts paid or distributed thereon and all other facts pertinent thereto or to this Article XIV.</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1407</w:t>
      </w:r>
      <w:r>
        <w:rPr>
          <w:rFonts w:ascii="Times New Roman" w:cs="Times New Roman" w:eastAsia="Times New Roman" w:hAnsi="Times New Roman"/>
          <w:sz w:val="18"/>
          <w:szCs w:val="18"/>
          <w:color w:val="auto"/>
        </w:rPr>
        <w:t>. Limitation of Guarantor’s Liability.</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 hereof, each Guarantor, and by its acceptance hereof each Holder, hereby confirms that it is the intention of all such parties that the Guarantee by such Guarantor pursuant to its Guarantee does not constitute a fraudulent transfer or conveyance for purposes of Title 11 of the United States Code, as amended, the Uniform Fraudulent Conveyance Act, the Uniform Fraudulent Transfer Act or any similar federal, state or foreign law. To effectuate the foregoing intention, each Holder and each Guarantor hereby irrevocably agree that the obligations of such Guarantor under this Guarantee shall be limited to the maximum amount which, after giving effect to all other contingent and fixed liabilities of such Guarantor, will result in the obligations of the Guarantor under its Guarantee not constituting such fraudulent transfer or conveyance.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1408</w:t>
      </w:r>
      <w:r>
        <w:rPr>
          <w:rFonts w:ascii="Times New Roman" w:cs="Times New Roman" w:eastAsia="Times New Roman" w:hAnsi="Times New Roman"/>
          <w:sz w:val="18"/>
          <w:szCs w:val="18"/>
          <w:color w:val="auto"/>
        </w:rPr>
        <w:t>. Obligations Reinstated.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9" w:name="page110"/>
    <w:bookmarkEnd w:id="109"/>
    <w:p>
      <w:pPr>
        <w:ind w:right="60"/>
        <w:spacing w:after="0" w:line="256" w:lineRule="auto"/>
        <w:rPr>
          <w:sz w:val="20"/>
          <w:szCs w:val="20"/>
          <w:color w:val="auto"/>
        </w:rPr>
      </w:pPr>
      <w:r>
        <w:rPr>
          <w:rFonts w:ascii="Times New Roman" w:cs="Times New Roman" w:eastAsia="Times New Roman" w:hAnsi="Times New Roman"/>
          <w:sz w:val="18"/>
          <w:szCs w:val="18"/>
          <w:color w:val="auto"/>
        </w:rPr>
        <w:t>The obligations of each Guarantor hereunder shall continue to be effective or shall be reinstated, as the case may be, if at any time any payment which would otherwise have reduced the obligations of such Guarantor hereunder (whether such payment shall have been made by or on behalf of the Company) is rescinded or reclaimed from any of the Holders upon the insolvency, bankruptcy, liquidation or reorganization of the Company or such Guarantor or otherwise, all as though such payment had not been made. If demand for, or acceleration of the time for, payment by the Company is stayed upon the insolvency, bankruptcy, liquidation or reorganization of the Company, all such Indebtedness otherwise subject to demand for payment or acceleration shall nonetheless be payable by each Guarantor as provided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1409</w:t>
      </w:r>
      <w:r>
        <w:rPr>
          <w:rFonts w:ascii="Times New Roman" w:cs="Times New Roman" w:eastAsia="Times New Roman" w:hAnsi="Times New Roman"/>
          <w:sz w:val="18"/>
          <w:szCs w:val="18"/>
          <w:color w:val="auto"/>
        </w:rPr>
        <w:t>. No Obligation to Take Action Against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Trustee nor any other Person shall have any obligation to enforce or exhaust any rights or remedies or to take any other steps under any security for the obligations under this Indenture or against the Company or any other Person or any property of the Company or any other Person before the Trustee is entitled to demand payment and performance by any Guarantor of its liabilities and obligations under its Guarantee or under this Indenture.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10" w:name="page111"/>
    <w:bookmarkEnd w:id="110"/>
    <w:p>
      <w:pPr>
        <w:ind w:left="5380" w:right="140" w:hanging="5628"/>
        <w:spacing w:after="0" w:line="500" w:lineRule="auto"/>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and attested, all as of the day and year first above written. REYNOLDS CONSUMER PRODUCTS INC., as Issuer</w:t>
      </w:r>
    </w:p>
    <w:p>
      <w:pPr>
        <w:spacing w:after="0" w:line="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17145</wp:posOffset>
            </wp:positionV>
            <wp:extent cx="32061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REYNOLDS PRESTO PRODUCTS INC., as Guarantor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17145</wp:posOffset>
            </wp:positionV>
            <wp:extent cx="32061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TRANS WESTERN POLYMERS, INC., as Guarantor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17145</wp:posOffset>
            </wp:positionV>
            <wp:extent cx="32061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REYNOLDS CONSUMER PRODUCTS HOLDINGS LLC, as Guarantor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17145</wp:posOffset>
            </wp:positionV>
            <wp:extent cx="32061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REYNOLDS INTERNATIONAL SERVICES LLC, as Guarantor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17145</wp:posOffset>
            </wp:positionV>
            <wp:extent cx="32061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REYNOLDS CONSUMER PRODUCTS LLC, as Guarantor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17145</wp:posOffset>
            </wp:positionV>
            <wp:extent cx="32061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580" w:top="580" w:right="579" w:bottom="1440" w:gutter="0" w:footer="0" w:header="0"/>
        </w:sectPr>
      </w:pPr>
    </w:p>
    <w:bookmarkStart w:id="111" w:name="page112"/>
    <w:bookmarkEnd w:id="111"/>
    <w:p>
      <w:pPr>
        <w:ind w:left="4520"/>
        <w:spacing w:after="0"/>
        <w:rPr>
          <w:sz w:val="20"/>
          <w:szCs w:val="20"/>
          <w:color w:val="auto"/>
        </w:rPr>
      </w:pPr>
      <w:r>
        <w:rPr>
          <w:rFonts w:ascii="Times New Roman" w:cs="Times New Roman" w:eastAsia="Times New Roman" w:hAnsi="Times New Roman"/>
          <w:sz w:val="18"/>
          <w:szCs w:val="18"/>
          <w:color w:val="auto"/>
        </w:rPr>
        <w:t>REYNOLDS MANUFACTURING, INC., as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291465</wp:posOffset>
            </wp:positionV>
            <wp:extent cx="35572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WILMINGTON TRUST, NATIONAL ASSOCIATION, as Trustee</w:t>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340"/>
          </w:cols>
          <w:pgMar w:left="1440" w:top="580" w:right="111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Guarantors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 Consumer Products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 Consumer Products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 International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 Manufacturing,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 Presto Products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 Western Polymers, Inc.</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Supplemental Indenture to Add Additional Guarantor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REYNOLDS CONSUMER PRODUCTS INC., as Issuer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ADDITIONAL GUARANTOR NAMED HEREIN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TRUST, NATIONAL ASSOCIATION as Trustee</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Supplemental Indenture No. ____</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Dated as of ____, ____</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Notes due ____, ____</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INDENTURE NO. ____, dated as of , between Reynolds Consumer Products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Additional Guarantor</w:t>
      </w:r>
      <w:r>
        <w:rPr>
          <w:rFonts w:ascii="Times New Roman" w:cs="Times New Roman" w:eastAsia="Times New Roman" w:hAnsi="Times New Roman"/>
          <w:sz w:val="18"/>
          <w:szCs w:val="18"/>
          <w:color w:val="auto"/>
        </w:rPr>
        <w:t>”) and Wilmington Trust, National Association, a national banking association duly organized under the laws of the United States,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the Guarantors party thereto and the Trustee have executed and delivered an Indenture dated as of ____, ____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supplemented,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provide for the issuance from time to time of the Company’s Securities;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Section 1403 of the Indenture provides that each Person who becomes a Guarantor shall execute a supplemental indenture evidencing the same;</w:t>
      </w:r>
    </w:p>
    <w:p>
      <w:pPr>
        <w:spacing w:after="0" w:line="16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WHEREAS, Section 901(15) of the Indenture permits the Company and the Trustee to execute and deliver this Supplemental Indenture No. without the consent of Holders of the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Additional Guarantor desires to become a Guarantor under the Indenture; and</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WHEREAS, all acts and proceedings required by the Indenture and the organizational documents of the Company and the Additional Guarantor necessary to constitute this Supplemental Indenture No. ____ a valid and binding agreement for the uses and purposes set forth herein have been done and</w:t>
      </w:r>
    </w:p>
    <w:p>
      <w:pPr>
        <w:spacing w:after="0"/>
        <w:rPr>
          <w:sz w:val="20"/>
          <w:szCs w:val="20"/>
          <w:color w:val="auto"/>
        </w:rPr>
      </w:pPr>
      <w:r>
        <w:rPr>
          <w:rFonts w:ascii="Times New Roman" w:cs="Times New Roman" w:eastAsia="Times New Roman" w:hAnsi="Times New Roman"/>
          <w:sz w:val="18"/>
          <w:szCs w:val="18"/>
          <w:color w:val="auto"/>
        </w:rPr>
        <w:t>performed, and the execution and delivery of this Supplemental Indenture No. ____ have in all respects been duly authorized.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good and valuable consideration, the receipt of which is hereby acknowledged, it is mutually covenanted and agreed, for the equal and proportionate benefit of the Holders of the Securities of each series,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color w:val="auto"/>
        </w:rPr>
        <w:t>RELATION TO THE INDENTURE; DEFINITIONS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OTHER PROVISIONS OF GENERAL APPLICATION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Relation to the Indenture.</w:t>
      </w:r>
      <w:r>
        <w:rPr>
          <w:rFonts w:ascii="Times New Roman" w:cs="Times New Roman" w:eastAsia="Times New Roman" w:hAnsi="Times New Roman"/>
          <w:sz w:val="18"/>
          <w:szCs w:val="18"/>
          <w:color w:val="auto"/>
        </w:rPr>
        <w:t xml:space="preserve"> This Supplemental Indenture No. ____ constitutes an integral part of the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102</w:t>
      </w:r>
      <w:r>
        <w:rPr>
          <w:rFonts w:ascii="Times New Roman" w:cs="Times New Roman" w:eastAsia="Times New Roman" w:hAnsi="Times New Roman"/>
          <w:sz w:val="18"/>
          <w:szCs w:val="18"/>
          <w:i w:val="1"/>
          <w:iCs w:val="1"/>
          <w:color w:val="auto"/>
        </w:rPr>
        <w:t>. Definitions and Other Provisions of General Application.</w:t>
      </w:r>
      <w:r>
        <w:rPr>
          <w:rFonts w:ascii="Times New Roman" w:cs="Times New Roman" w:eastAsia="Times New Roman" w:hAnsi="Times New Roman"/>
          <w:sz w:val="18"/>
          <w:szCs w:val="18"/>
          <w:color w:val="auto"/>
        </w:rPr>
        <w:t xml:space="preserve"> For all purposes of this Supplemental Indenture No. ____ unless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specified herein:</w:t>
      </w:r>
    </w:p>
    <w:p>
      <w:pPr>
        <w:spacing w:after="0" w:line="207" w:lineRule="exact"/>
        <w:rPr>
          <w:sz w:val="20"/>
          <w:szCs w:val="20"/>
          <w:color w:val="auto"/>
        </w:rPr>
      </w:pPr>
    </w:p>
    <w:p>
      <w:pPr>
        <w:ind w:left="900" w:hanging="244"/>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defined in this Indenture which are used and not otherwise defined herein shall have the meanings they are given in the Indenture; and</w:t>
      </w:r>
    </w:p>
    <w:p>
      <w:pPr>
        <w:spacing w:after="0" w:line="225" w:lineRule="exact"/>
        <w:rPr>
          <w:rFonts w:ascii="Times New Roman" w:cs="Times New Roman" w:eastAsia="Times New Roman" w:hAnsi="Times New Roman"/>
          <w:sz w:val="18"/>
          <w:szCs w:val="18"/>
          <w:color w:val="auto"/>
        </w:rPr>
      </w:pPr>
    </w:p>
    <w:p>
      <w:pPr>
        <w:ind w:right="20" w:firstLine="656"/>
        <w:spacing w:after="0" w:line="266" w:lineRule="auto"/>
        <w:tabs>
          <w:tab w:leader="none" w:pos="9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general application stated in Section 101 of the Indenture shall apply to this Supplemental Indenture No. ____, except that the words “herein,” “hereof,” “hereto” and “hereunder” and other words of similar import refer to this Supplemental Indenture as a whole and not to the Indenture or any particular Article, Section or other subdivision of the Indenture or this Supplemental Indenture No. ____.</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ADDITION OF GUARANTOR</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Addition of Guarantor.</w:t>
      </w:r>
      <w:r>
        <w:rPr>
          <w:rFonts w:ascii="Times New Roman" w:cs="Times New Roman" w:eastAsia="Times New Roman" w:hAnsi="Times New Roman"/>
          <w:sz w:val="18"/>
          <w:szCs w:val="18"/>
          <w:color w:val="auto"/>
        </w:rPr>
        <w:t xml:space="preserve"> The Additional Guarantor is hereby made a party to the Indenture as a Guarantor thereunder.</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xml:space="preserve"> The Indenture, as supplemented and amended by this Supplemental Indenture No. ____, is in all respects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adopted, ratified and confirmed.</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Effectiveness.</w:t>
      </w:r>
      <w:r>
        <w:rPr>
          <w:rFonts w:ascii="Times New Roman" w:cs="Times New Roman" w:eastAsia="Times New Roman" w:hAnsi="Times New Roman"/>
          <w:sz w:val="18"/>
          <w:szCs w:val="18"/>
          <w:color w:val="auto"/>
        </w:rPr>
        <w:t xml:space="preserve"> This Supplemental Indenture No. ____ shall take effect as of the date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Execution by the Trustee</w:t>
      </w:r>
      <w:r>
        <w:rPr>
          <w:rFonts w:ascii="Times New Roman" w:cs="Times New Roman" w:eastAsia="Times New Roman" w:hAnsi="Times New Roman"/>
          <w:sz w:val="18"/>
          <w:szCs w:val="18"/>
          <w:color w:val="auto"/>
        </w:rPr>
        <w:t>. The Trustee has executed this Supplemental Indenture No. ____ only upon the terms and conditions set</w:t>
      </w:r>
    </w:p>
    <w:p>
      <w:pPr>
        <w:spacing w:after="0" w:line="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forth in the Indenture. Without limiting the generality of the foregoing, the Trustee shall not be responsible for the correctness of the recitals herein contained, which shall be taken as statements of the Company and the Additional Guarantor, and the Trustee makes no representation and shall have no responsibility for, or in respect of, the validity or sufficiency of this Supplemental Indenture No. ____or the execution hereof by any Person (other than the Trustee).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5" w:name="page116"/>
    <w:bookmarkEnd w:id="115"/>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This Supplemental Indenture shall be governed by and construed in accordance with the laws of the State of New York without regard to conflicts of laws principles thereof (other than Sections 5-1401 and 5-1402 of the General Obligations Law of the State of New York). To the fullest extent permitted by applicable law, the Company hereby irrevocably submits to the jurisdiction of any Federal or State court located in the Borough of Manhattan in The City of New York, New York in any suit, action or proceeding based on or arising out of or relating to this Indenture or any Securities and irrevocably agrees that all claims in respect of such suit or proceeding may be determined in any such court. The Company irrevocably waives, to the fullest extent permitted by law, any objection which it may have to the laying of the venue of any such suit, action or proceeding brought in an inconvenient forum. The Company agrees that final judgment in any such suit, action or proceeding brought in such a court shall be conclusive and binding upon the Company, and may be enforced in any courts to the jurisdiction of which the Company is subject by a suit upon such judgment, provided, that service of process is effected upon the Company in the manner specified herein or as otherwise permitted by law.</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This Supplemental Indenture No. ____ may be executed in any number of counterparts, each of which shall be 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but such counterparts shall together constitute but one and the same instrument.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No. ____ to be duly executed, as of the day and year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above.</w:t>
      </w: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as Issuer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[Additional Guarantor(s)]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as Guarantor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Wilmington Trust, National Association</w:t>
      </w:r>
    </w:p>
    <w:p>
      <w:pPr>
        <w:spacing w:after="0" w:line="3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as Trustee</w:t>
      </w:r>
    </w:p>
    <w:p>
      <w:pPr>
        <w:spacing w:after="0" w:line="200" w:lineRule="exact"/>
        <w:rPr>
          <w:sz w:val="20"/>
          <w:szCs w:val="20"/>
          <w:color w:val="auto"/>
        </w:rPr>
      </w:pPr>
    </w:p>
    <w:p>
      <w:pPr>
        <w:spacing w:after="0" w:line="2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GUARANTEE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hereby, jointly and severally with each other Guarantor, fully and unconditionally guarantees (such</w:t>
      </w:r>
    </w:p>
    <w:p>
      <w:pPr>
        <w:spacing w:after="0" w:line="27"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7"/>
          <w:szCs w:val="17"/>
          <w:color w:val="auto"/>
        </w:rPr>
        <w:t>guarantee being referred to herein as the “</w:t>
      </w:r>
      <w:r>
        <w:rPr>
          <w:rFonts w:ascii="Times New Roman" w:cs="Times New Roman" w:eastAsia="Times New Roman" w:hAnsi="Times New Roman"/>
          <w:sz w:val="17"/>
          <w:szCs w:val="17"/>
          <w:u w:val="single" w:color="auto"/>
          <w:color w:val="auto"/>
        </w:rPr>
        <w:t>Guarantee</w:t>
      </w:r>
      <w:r>
        <w:rPr>
          <w:rFonts w:ascii="Times New Roman" w:cs="Times New Roman" w:eastAsia="Times New Roman" w:hAnsi="Times New Roman"/>
          <w:sz w:val="17"/>
          <w:szCs w:val="17"/>
          <w:color w:val="auto"/>
        </w:rPr>
        <w:t>”) the due and punctual payment of the principal of, premium, if any, and interest on the Securities, whether at maturity, upon redemption, by acceleration or otherwise, the due and punctual payment of interest on the overdue principal, premium and interest, if any, on the Securities, and the due and punctual performance of all other obligations of the Company to the Holders or the Trustee, all in accordance with the terms set forth in Article Fourteen of the Indenture, dated as of _______ (the “</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 by and between Reynolds Consumer</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Products Inc., a Delaware corporation and Wilmington Trust, National Association, a national banking association duly organized under the laws of the United States, as Trustee.</w:t>
      </w:r>
    </w:p>
    <w:p>
      <w:pPr>
        <w:spacing w:after="0" w:line="18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the Guarantor to the Holders of Securities and to the Trustee pursuant to the Guarantee and the Indenture are expressly set forth, to the extent and in the manner provided, in Article Fourteen of the Indenture, and reference is hereby made to such Indenture for the precise terms of the Guarantee therein made.</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Guarantee shall not be valid or obligatory for any purpose until the certificate of authentication on the Securities upon which the Guarantee is noted shall have been executed by the Trustee under the Indenture by the manual signature of one of its authorized signatories.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Guarantee shall be governed by and construed in accordance with the laws of the State of New York.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Guarantee is subject to release upon the terms set forth in the Indenture.</w:t>
      </w:r>
    </w:p>
    <w:p>
      <w:pPr>
        <w:spacing w:after="0" w:line="225"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color w:val="auto"/>
        </w:rPr>
        <w:t>, as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spacing w:after="0"/>
        <w:tabs>
          <w:tab w:leader="none" w:pos="64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67036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1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Title: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Exhibits 5.1 and 23.1</w:t>
      </w:r>
    </w:p>
    <w:p>
      <w:pPr>
        <w:spacing w:after="0" w:line="207" w:lineRule="exact"/>
        <w:rPr>
          <w:sz w:val="20"/>
          <w:szCs w:val="20"/>
          <w:color w:val="auto"/>
        </w:rPr>
      </w:pPr>
    </w:p>
    <w:p>
      <w:pPr>
        <w:ind w:left="2260"/>
        <w:spacing w:after="0"/>
        <w:rPr>
          <w:sz w:val="20"/>
          <w:szCs w:val="20"/>
          <w:color w:val="auto"/>
        </w:rPr>
      </w:pPr>
      <w:r>
        <w:rPr>
          <w:rFonts w:ascii="Arial" w:cs="Arial" w:eastAsia="Arial" w:hAnsi="Arial"/>
          <w:sz w:val="14"/>
          <w:szCs w:val="14"/>
          <w:color w:val="140BE3"/>
        </w:rPr>
        <w:t xml:space="preserve">Davis Polk &amp; Wardwell </w:t>
      </w:r>
      <w:r>
        <w:rPr>
          <w:rFonts w:ascii="Arial" w:cs="Arial" w:eastAsia="Arial" w:hAnsi="Arial"/>
          <w:sz w:val="9"/>
          <w:szCs w:val="9"/>
          <w:color w:val="140BE3"/>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899795"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899795" cy="16319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4"/>
          <w:szCs w:val="14"/>
          <w:color w:val="140BE3"/>
        </w:rPr>
        <w:t>450 Lexington Avenue</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4"/>
          <w:szCs w:val="14"/>
          <w:color w:val="140BE3"/>
        </w:rPr>
        <w:t>New York, NY 10017</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4"/>
          <w:szCs w:val="14"/>
          <w:color w:val="140BE3"/>
        </w:rPr>
        <w:t>davispolk.com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May 23,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Reynolds Consumer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1900 W. Field Court,</w:t>
      </w:r>
    </w:p>
    <w:p>
      <w:pPr>
        <w:spacing w:after="0"/>
        <w:rPr>
          <w:sz w:val="20"/>
          <w:szCs w:val="20"/>
          <w:color w:val="auto"/>
        </w:rPr>
      </w:pPr>
      <w:r>
        <w:rPr>
          <w:rFonts w:ascii="Arial" w:cs="Arial" w:eastAsia="Arial" w:hAnsi="Arial"/>
          <w:sz w:val="18"/>
          <w:szCs w:val="18"/>
          <w:color w:val="auto"/>
        </w:rPr>
        <w:t>Lake Forest, Illinois 60045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Reynolds Consumer Products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is filing with the Securities and Exchange Commission a Registration Statement on Form S-3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for the purpose of registering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 shares of common stock, par value $0.001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(b) shares of preferred stock, par value $0.001 per share (the “</w:t>
      </w:r>
      <w:r>
        <w:rPr>
          <w:rFonts w:ascii="Arial" w:cs="Arial" w:eastAsia="Arial" w:hAnsi="Arial"/>
          <w:sz w:val="17"/>
          <w:szCs w:val="17"/>
          <w:b w:val="1"/>
          <w:bCs w:val="1"/>
          <w:color w:val="auto"/>
        </w:rPr>
        <w:t>Preferred Stock</w:t>
      </w:r>
      <w:r>
        <w:rPr>
          <w:rFonts w:ascii="Arial" w:cs="Arial" w:eastAsia="Arial" w:hAnsi="Arial"/>
          <w:sz w:val="17"/>
          <w:szCs w:val="17"/>
          <w:color w:val="auto"/>
        </w:rPr>
        <w:t>”) of the Company; (c) senior debt securities and subordinated debt securities (collectively, the “</w:t>
      </w:r>
      <w:r>
        <w:rPr>
          <w:rFonts w:ascii="Arial" w:cs="Arial" w:eastAsia="Arial" w:hAnsi="Arial"/>
          <w:sz w:val="17"/>
          <w:szCs w:val="17"/>
          <w:b w:val="1"/>
          <w:bCs w:val="1"/>
          <w:color w:val="auto"/>
        </w:rPr>
        <w:t>Debt Securities</w:t>
      </w:r>
      <w:r>
        <w:rPr>
          <w:rFonts w:ascii="Arial" w:cs="Arial" w:eastAsia="Arial" w:hAnsi="Arial"/>
          <w:sz w:val="17"/>
          <w:szCs w:val="17"/>
          <w:color w:val="auto"/>
        </w:rPr>
        <w:t>”), which may be fully and unconditionally guaranteed by one or more of Reynolds Consumer Products Inc., Reynolds Presto Products Inc., Trans Western Polymers, Inc., Reynolds Consumer Products Holdings LLC, Reynolds Consumer Products LLC, Reynolds International Services LLC and Reynolds Manufacturing, Inc. (the “</w:t>
      </w:r>
      <w:r>
        <w:rPr>
          <w:rFonts w:ascii="Arial" w:cs="Arial" w:eastAsia="Arial" w:hAnsi="Arial"/>
          <w:sz w:val="17"/>
          <w:szCs w:val="17"/>
          <w:b w:val="1"/>
          <w:bCs w:val="1"/>
          <w:color w:val="auto"/>
        </w:rPr>
        <w:t>Guarantors</w:t>
      </w:r>
      <w:r>
        <w:rPr>
          <w:rFonts w:ascii="Arial" w:cs="Arial" w:eastAsia="Arial" w:hAnsi="Arial"/>
          <w:sz w:val="17"/>
          <w:szCs w:val="17"/>
          <w:color w:val="auto"/>
        </w:rPr>
        <w:t>”), and which may be issued pursuant to an indenture, among the Company, the Guarantors and Wilmington Trust,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(the “</w:t>
      </w:r>
      <w:r>
        <w:rPr>
          <w:rFonts w:ascii="Arial" w:cs="Arial" w:eastAsia="Arial" w:hAnsi="Arial"/>
          <w:sz w:val="17"/>
          <w:szCs w:val="17"/>
          <w:b w:val="1"/>
          <w:bCs w:val="1"/>
          <w:color w:val="auto"/>
        </w:rPr>
        <w:t>Indenture</w:t>
      </w:r>
      <w:r>
        <w:rPr>
          <w:rFonts w:ascii="Arial" w:cs="Arial" w:eastAsia="Arial" w:hAnsi="Arial"/>
          <w:sz w:val="17"/>
          <w:szCs w:val="17"/>
          <w:color w:val="auto"/>
        </w:rPr>
        <w:t>”); (d) warrants of the Company (the “</w:t>
      </w:r>
      <w:r>
        <w:rPr>
          <w:rFonts w:ascii="Arial" w:cs="Arial" w:eastAsia="Arial" w:hAnsi="Arial"/>
          <w:sz w:val="17"/>
          <w:szCs w:val="17"/>
          <w:b w:val="1"/>
          <w:bCs w:val="1"/>
          <w:color w:val="auto"/>
        </w:rPr>
        <w:t>Warrants</w:t>
      </w:r>
      <w:r>
        <w:rPr>
          <w:rFonts w:ascii="Arial" w:cs="Arial" w:eastAsia="Arial" w:hAnsi="Arial"/>
          <w:sz w:val="17"/>
          <w:szCs w:val="17"/>
          <w:color w:val="auto"/>
        </w:rPr>
        <w:t>”), which may be issued under one or more warrant agreements (each, a “</w:t>
      </w:r>
      <w:r>
        <w:rPr>
          <w:rFonts w:ascii="Arial" w:cs="Arial" w:eastAsia="Arial" w:hAnsi="Arial"/>
          <w:sz w:val="17"/>
          <w:szCs w:val="17"/>
          <w:b w:val="1"/>
          <w:bCs w:val="1"/>
          <w:color w:val="auto"/>
        </w:rPr>
        <w:t>Warrant Agreement</w:t>
      </w:r>
      <w:r>
        <w:rPr>
          <w:rFonts w:ascii="Arial" w:cs="Arial" w:eastAsia="Arial" w:hAnsi="Arial"/>
          <w:sz w:val="17"/>
          <w:szCs w:val="17"/>
          <w:color w:val="auto"/>
        </w:rPr>
        <w:t>”) to be entered into between the Company and the warrant agent to be named therein (the “</w:t>
      </w:r>
      <w:r>
        <w:rPr>
          <w:rFonts w:ascii="Arial" w:cs="Arial" w:eastAsia="Arial" w:hAnsi="Arial"/>
          <w:sz w:val="17"/>
          <w:szCs w:val="17"/>
          <w:b w:val="1"/>
          <w:bCs w:val="1"/>
          <w:color w:val="auto"/>
        </w:rPr>
        <w:t>Warrant Agent</w:t>
      </w:r>
      <w:r>
        <w:rPr>
          <w:rFonts w:ascii="Arial" w:cs="Arial" w:eastAsia="Arial" w:hAnsi="Arial"/>
          <w:sz w:val="17"/>
          <w:szCs w:val="17"/>
          <w:color w:val="auto"/>
        </w:rPr>
        <w:t>”); (e) purchase contracts (the “</w:t>
      </w:r>
      <w:r>
        <w:rPr>
          <w:rFonts w:ascii="Arial" w:cs="Arial" w:eastAsia="Arial" w:hAnsi="Arial"/>
          <w:sz w:val="17"/>
          <w:szCs w:val="17"/>
          <w:b w:val="1"/>
          <w:bCs w:val="1"/>
          <w:color w:val="auto"/>
        </w:rPr>
        <w:t>Purchase Contracts</w:t>
      </w:r>
      <w:r>
        <w:rPr>
          <w:rFonts w:ascii="Arial" w:cs="Arial" w:eastAsia="Arial" w:hAnsi="Arial"/>
          <w:sz w:val="17"/>
          <w:szCs w:val="17"/>
          <w:color w:val="auto"/>
        </w:rPr>
        <w:t>”) which may be issued under one or more purchase contract agreements (each,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Contract Agreement</w:t>
      </w:r>
      <w:r>
        <w:rPr>
          <w:rFonts w:ascii="Arial" w:cs="Arial" w:eastAsia="Arial" w:hAnsi="Arial"/>
          <w:sz w:val="18"/>
          <w:szCs w:val="18"/>
          <w:color w:val="auto"/>
        </w:rPr>
        <w:t>”) to be entered into between the Company and the purchase contract agent to be named therein (the</w:t>
      </w:r>
    </w:p>
    <w:p>
      <w:pPr>
        <w:ind w:right="6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Contract Agent</w:t>
      </w:r>
      <w:r>
        <w:rPr>
          <w:rFonts w:ascii="Arial" w:cs="Arial" w:eastAsia="Arial" w:hAnsi="Arial"/>
          <w:sz w:val="18"/>
          <w:szCs w:val="18"/>
          <w:color w:val="auto"/>
        </w:rPr>
        <w:t>”); (f) units (the “</w:t>
      </w:r>
      <w:r>
        <w:rPr>
          <w:rFonts w:ascii="Arial" w:cs="Arial" w:eastAsia="Arial" w:hAnsi="Arial"/>
          <w:sz w:val="18"/>
          <w:szCs w:val="18"/>
          <w:b w:val="1"/>
          <w:bCs w:val="1"/>
          <w:color w:val="auto"/>
        </w:rPr>
        <w:t>Units</w:t>
      </w:r>
      <w:r>
        <w:rPr>
          <w:rFonts w:ascii="Arial" w:cs="Arial" w:eastAsia="Arial" w:hAnsi="Arial"/>
          <w:sz w:val="18"/>
          <w:szCs w:val="18"/>
          <w:color w:val="auto"/>
        </w:rPr>
        <w:t>”) to be issued under one or more unit agreements to be entered into among the Company, a bank or trust company, as unit agent (the “</w:t>
      </w:r>
      <w:r>
        <w:rPr>
          <w:rFonts w:ascii="Arial" w:cs="Arial" w:eastAsia="Arial" w:hAnsi="Arial"/>
          <w:sz w:val="18"/>
          <w:szCs w:val="18"/>
          <w:b w:val="1"/>
          <w:bCs w:val="1"/>
          <w:color w:val="auto"/>
        </w:rPr>
        <w:t>Unit Agent</w:t>
      </w:r>
      <w:r>
        <w:rPr>
          <w:rFonts w:ascii="Arial" w:cs="Arial" w:eastAsia="Arial" w:hAnsi="Arial"/>
          <w:sz w:val="18"/>
          <w:szCs w:val="18"/>
          <w:color w:val="auto"/>
        </w:rPr>
        <w:t>”), and the holders from time to time of the Units (each such unit agreement, a “</w:t>
      </w:r>
      <w:r>
        <w:rPr>
          <w:rFonts w:ascii="Arial" w:cs="Arial" w:eastAsia="Arial" w:hAnsi="Arial"/>
          <w:sz w:val="18"/>
          <w:szCs w:val="18"/>
          <w:b w:val="1"/>
          <w:bCs w:val="1"/>
          <w:color w:val="auto"/>
        </w:rPr>
        <w:t>Unit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(g) guarantees (the “</w:t>
      </w:r>
      <w:r>
        <w:rPr>
          <w:rFonts w:ascii="Arial" w:cs="Arial" w:eastAsia="Arial" w:hAnsi="Arial"/>
          <w:sz w:val="18"/>
          <w:szCs w:val="18"/>
          <w:b w:val="1"/>
          <w:bCs w:val="1"/>
          <w:color w:val="auto"/>
        </w:rPr>
        <w:t>Guarantees</w:t>
      </w:r>
      <w:r>
        <w:rPr>
          <w:rFonts w:ascii="Arial" w:cs="Arial" w:eastAsia="Arial" w:hAnsi="Arial"/>
          <w:sz w:val="18"/>
          <w:szCs w:val="18"/>
          <w:color w:val="auto"/>
        </w:rPr>
        <w:t>”) of the Debt Securities by the Guarantors, to be issued under the Indenture; (h) 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representing fractional interests in shares or multiple shares of the capital stock (the “</w:t>
      </w:r>
      <w:r>
        <w:rPr>
          <w:rFonts w:ascii="Arial" w:cs="Arial" w:eastAsia="Arial" w:hAnsi="Arial"/>
          <w:sz w:val="18"/>
          <w:szCs w:val="18"/>
          <w:b w:val="1"/>
          <w:bCs w:val="1"/>
          <w:color w:val="auto"/>
        </w:rPr>
        <w:t>Depositary Shares</w:t>
      </w:r>
      <w:r>
        <w:rPr>
          <w:rFonts w:ascii="Arial" w:cs="Arial" w:eastAsia="Arial" w:hAnsi="Arial"/>
          <w:sz w:val="18"/>
          <w:szCs w:val="18"/>
          <w:color w:val="auto"/>
        </w:rPr>
        <w:t>”), which may be issued under one or more depositary agreements (each, a “</w:t>
      </w:r>
      <w:r>
        <w:rPr>
          <w:rFonts w:ascii="Arial" w:cs="Arial" w:eastAsia="Arial" w:hAnsi="Arial"/>
          <w:sz w:val="18"/>
          <w:szCs w:val="18"/>
          <w:b w:val="1"/>
          <w:bCs w:val="1"/>
          <w:color w:val="auto"/>
        </w:rPr>
        <w:t>Depositary Agreement</w:t>
      </w:r>
      <w:r>
        <w:rPr>
          <w:rFonts w:ascii="Arial" w:cs="Arial" w:eastAsia="Arial" w:hAnsi="Arial"/>
          <w:sz w:val="18"/>
          <w:szCs w:val="18"/>
          <w:color w:val="auto"/>
        </w:rPr>
        <w:t>”) to be entered into between the Company and the share depositary to be named therein (the “</w:t>
      </w:r>
      <w:r>
        <w:rPr>
          <w:rFonts w:ascii="Arial" w:cs="Arial" w:eastAsia="Arial" w:hAnsi="Arial"/>
          <w:sz w:val="18"/>
          <w:szCs w:val="18"/>
          <w:b w:val="1"/>
          <w:bCs w:val="1"/>
          <w:color w:val="auto"/>
        </w:rPr>
        <w:t>Depositary</w:t>
      </w:r>
      <w:r>
        <w:rPr>
          <w:rFonts w:ascii="Arial" w:cs="Arial" w:eastAsia="Arial" w:hAnsi="Arial"/>
          <w:sz w:val="18"/>
          <w:szCs w:val="18"/>
          <w:color w:val="auto"/>
        </w:rPr>
        <w:t>”).</w:t>
      </w:r>
    </w:p>
    <w:p>
      <w:pPr>
        <w:spacing w:after="0" w:line="163"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4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ind w:right="220" w:firstLine="8"/>
        <w:spacing w:after="0" w:line="244" w:lineRule="auto"/>
        <w:tabs>
          <w:tab w:leader="none" w:pos="2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and the Guarantors that we reviewed were and are accurate and (vii) all representations made by the Company and the Guarantors as to matters of fact in the documents that we reviewed were and are accurate.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198"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When the necessary corporate action on the part of the Company has been taken to authorize the issuance and sale of such shares of Common Stock proposed to be sold by the Company, and when such shares of Common Stock are issued and delivered in accordance with the applicable underwriting or other agreement against payment therefor (in excess of par value thereof) or upon conversion or exercise of any security offered under the Registration Statement (the “</w:t>
      </w:r>
      <w:r>
        <w:rPr>
          <w:rFonts w:ascii="Arial" w:cs="Arial" w:eastAsia="Arial" w:hAnsi="Arial"/>
          <w:sz w:val="18"/>
          <w:szCs w:val="18"/>
          <w:b w:val="1"/>
          <w:bCs w:val="1"/>
          <w:color w:val="auto"/>
        </w:rPr>
        <w:t>Offered Security</w:t>
      </w:r>
      <w:r>
        <w:rPr>
          <w:rFonts w:ascii="Arial" w:cs="Arial" w:eastAsia="Arial" w:hAnsi="Arial"/>
          <w:sz w:val="18"/>
          <w:szCs w:val="18"/>
          <w:color w:val="auto"/>
        </w:rPr>
        <w:t>”), in accordance with the terms of such Offered Security or the instrument governing such Offered Security providing for such conversion or exercise as approved by the Board of Directors of the Company, for the consideration approved by such Board of Directors (which consideration is not less than the par value of the Common Stock), such shares of Common Stock will be validly issued, fully-paid and non-assessable.</w:t>
      </w:r>
    </w:p>
    <w:p>
      <w:pPr>
        <w:spacing w:after="0" w:line="166" w:lineRule="exact"/>
        <w:rPr>
          <w:rFonts w:ascii="Arial" w:cs="Arial" w:eastAsia="Arial" w:hAnsi="Arial"/>
          <w:sz w:val="18"/>
          <w:szCs w:val="18"/>
          <w:color w:val="auto"/>
        </w:rPr>
      </w:pPr>
    </w:p>
    <w:p>
      <w:pPr>
        <w:ind w:left="1300" w:right="2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designation of the relative rights, preferences and limitations of any series of Preferred Stock by the Board of Directors of the Company and the proper filing with the Secretary of State of the State of Delaware of a Certificate of Designation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(in excess of par value thereof), such shares of Preferred Stock will be validly issued, fully paid and non-assessable.</w:t>
      </w:r>
    </w:p>
    <w:p>
      <w:pPr>
        <w:spacing w:after="0" w:line="171" w:lineRule="exact"/>
        <w:rPr>
          <w:rFonts w:ascii="Arial" w:cs="Arial" w:eastAsia="Arial" w:hAnsi="Arial"/>
          <w:sz w:val="18"/>
          <w:szCs w:val="18"/>
          <w:color w:val="auto"/>
        </w:rPr>
      </w:pPr>
    </w:p>
    <w:p>
      <w:pPr>
        <w:ind w:left="1300" w:right="80" w:hanging="644"/>
        <w:spacing w:after="0" w:line="238"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When the Indenture and any supplemental indenture to be entered into in connection with the issuance of any Debt Securities have been duly authorized, executed and delivered by the Trustee and the Company and, if applicable, the Guarantors; the specific terms of a particular series of Debt Securities and, if applicable, the related Guarantees have been duly authorized and established in accordance with the Indenture; and such Debt Securities and, if applicable, the related Guarantees have been duly authorized, executed, authenticated, issued and delivered in accordance with the Indenture and the applicable underwriting or other agreement against payment therefor, such Debt Securities will constitute valid and binding obligations of the Company and each of the related Guarantees will constitute valid and binding obligations of each respective Guarantor, enforceable in accordance with their terms, subject to applicable bankruptcy, insolvency and similar laws affecting creditors’ rights generally, concepts of reasonableness and equitable principles of general applicability, provided that we express no opinion as to (x) the enforceability of any waiver of rights under any usury or stay law, (y) (i) the effect of fraudulent conveyance, fraudulent transfer or</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9" w:name="page120"/>
    <w:bookmarkEnd w:id="119"/>
    <w:p>
      <w:pPr>
        <w:ind w:left="644" w:right="100"/>
        <w:spacing w:after="0" w:line="244" w:lineRule="auto"/>
        <w:rPr>
          <w:sz w:val="20"/>
          <w:szCs w:val="20"/>
          <w:color w:val="auto"/>
        </w:rPr>
      </w:pPr>
      <w:r>
        <w:rPr>
          <w:rFonts w:ascii="Arial" w:cs="Arial" w:eastAsia="Arial" w:hAnsi="Arial"/>
          <w:sz w:val="18"/>
          <w:szCs w:val="18"/>
          <w:color w:val="auto"/>
        </w:rPr>
        <w:t>similar provision of applicable law on the conclusions expressed above or (ii) any provision of the Indenture that purports to avoid the effect of fraudulent conveyance, fraudulent transfer or similar provision of applicable law by limiting the amount of any Guarantor’s obligation, or (z) the validity, legally binding effect or enforceability of any provision that permits holders to collect any portion of stated principal amount upon acceleration of the Debt Securities to the extent determined to constitute unearned interest.</w:t>
      </w:r>
    </w:p>
    <w:p>
      <w:pPr>
        <w:spacing w:after="0" w:line="163" w:lineRule="exact"/>
        <w:rPr>
          <w:sz w:val="20"/>
          <w:szCs w:val="20"/>
          <w:color w:val="auto"/>
        </w:rPr>
      </w:pPr>
    </w:p>
    <w:p>
      <w:pPr>
        <w:ind w:left="644" w:hanging="644"/>
        <w:spacing w:after="0"/>
        <w:tabs>
          <w:tab w:leader="none" w:pos="6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71" w:lineRule="exact"/>
        <w:rPr>
          <w:rFonts w:ascii="Arial" w:cs="Arial" w:eastAsia="Arial" w:hAnsi="Arial"/>
          <w:sz w:val="18"/>
          <w:szCs w:val="18"/>
          <w:color w:val="auto"/>
        </w:rPr>
      </w:pPr>
    </w:p>
    <w:p>
      <w:pPr>
        <w:ind w:left="644" w:right="20" w:hanging="644"/>
        <w:spacing w:after="0"/>
        <w:tabs>
          <w:tab w:leader="none" w:pos="6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66" w:lineRule="exact"/>
        <w:rPr>
          <w:rFonts w:ascii="Arial" w:cs="Arial" w:eastAsia="Arial" w:hAnsi="Arial"/>
          <w:sz w:val="18"/>
          <w:szCs w:val="18"/>
          <w:color w:val="auto"/>
        </w:rPr>
      </w:pPr>
    </w:p>
    <w:p>
      <w:pPr>
        <w:ind w:left="644" w:hanging="644"/>
        <w:spacing w:after="0"/>
        <w:tabs>
          <w:tab w:leader="none" w:pos="6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71" w:lineRule="exact"/>
        <w:rPr>
          <w:rFonts w:ascii="Arial" w:cs="Arial" w:eastAsia="Arial" w:hAnsi="Arial"/>
          <w:sz w:val="18"/>
          <w:szCs w:val="18"/>
          <w:color w:val="auto"/>
        </w:rPr>
      </w:pPr>
    </w:p>
    <w:p>
      <w:pPr>
        <w:ind w:left="644" w:hanging="644"/>
        <w:spacing w:after="0" w:line="247" w:lineRule="auto"/>
        <w:tabs>
          <w:tab w:leader="none" w:pos="6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When the Depositary Agreement to be entered into in connection with the issuance of any Depositary Shares has been duly authorized, executed and delivered by the Depositary and the Company; the specific terms of the Depositary Shares have been duly authorized and established in accordance with the Depositary Agreement; and such Depositary Shares have been duly authorized, executed, issued and delivered in accordance with the Depositary</w:t>
      </w:r>
    </w:p>
    <w:p>
      <w:pPr>
        <w:spacing w:after="0" w:line="26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8890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580" w:right="359" w:bottom="1440" w:gutter="0" w:footer="0" w:header="0"/>
        </w:sectPr>
      </w:pPr>
    </w:p>
    <w:bookmarkStart w:id="120" w:name="page121"/>
    <w:bookmarkEnd w:id="120"/>
    <w:p>
      <w:pPr>
        <w:ind w:left="1300" w:right="460"/>
        <w:spacing w:after="0" w:line="247" w:lineRule="auto"/>
        <w:rPr>
          <w:sz w:val="20"/>
          <w:szCs w:val="20"/>
          <w:color w:val="auto"/>
        </w:rPr>
      </w:pPr>
      <w:r>
        <w:rPr>
          <w:rFonts w:ascii="Arial" w:cs="Arial" w:eastAsia="Arial" w:hAnsi="Arial"/>
          <w:sz w:val="18"/>
          <w:szCs w:val="18"/>
          <w:color w:val="auto"/>
        </w:rPr>
        <w:t>Agreement and the applicable underwriting or other agreement against payment therefor, such Depositary Shares will constitute legal and valid interests in the corresponding shares of Preferred Stock, subject to applicable bankruptcy, insolvency and similar laws affecting creditors’ rights generally, concepts of reasonableness and equitable principles of general applicability.</w:t>
      </w:r>
    </w:p>
    <w:p>
      <w:pPr>
        <w:spacing w:after="0" w:line="16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connection with the opinions expressed above, we have assumed that, at or prior to the time of the delivery of any such security, (i) the Board of Directors of the Company and the Board of Directors of the Guarantors, as the case may be, shall have duly established the terms of such security and duly authorized the issuance and sale of such security and such authorization shall not have been modified or rescinded; (ii) each of the Company and the Guarantors, as the case may be, is, and shall remain, validly existing as a corporation in good standing under the laws of its respective jurisdiction of incorporation; (iii) the Registration Statement shall have become effective and such effectiveness shall not have been terminated or rescinded; and (iv) the Indenture, the Debt Securities, the Warrant Agreement, the Purchase Contract Agreement, the Unit Agreement, the Guarantees and the Depositary Agreement are each valid, binding and enforceable agreements of each party thereto (other than as expressly covered above in respect of the Company and each Guarantor, as the case may be); and (v) there shall not have occurred any change in law affecting the validity or enforceability of such security. We have also assumed that (i) the terms of any security whose terms are established subsequent to the date hereof and the issuance, execution, delivery and performance by the Company or any Guarantor, as the case may be, of any such security (a) require no action by or in respect of, or filing with, any governmental body, agency or official and (b) do not contravene, or constitute a default under, any provision of applicable law or public policy or regulation or any judgment, injunction, order or decree or any agreement or other instrument binding upon the Company or any Guarantor, as the case may be, and (ii) any Warrant Agreement, Purchase Contract Agreement and Unit Agreement will be governed by the laws of the State of New York.</w:t>
      </w:r>
    </w:p>
    <w:p>
      <w:pPr>
        <w:spacing w:after="0" w:line="17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are members of the Bar of the State of New York and California and the foregoing opinion is limited to the laws of the State of California and the General Corporation Law of the State of Delaware.</w:t>
      </w:r>
    </w:p>
    <w:p>
      <w:pPr>
        <w:spacing w:after="0" w:line="140" w:lineRule="exact"/>
        <w:rPr>
          <w:sz w:val="20"/>
          <w:szCs w:val="20"/>
          <w:color w:val="auto"/>
        </w:rPr>
      </w:pPr>
    </w:p>
    <w:p>
      <w:pPr>
        <w:jc w:val="both"/>
        <w:ind w:right="560"/>
        <w:spacing w:after="0" w:line="253"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21" w:name="page122"/>
    <w:bookmarkEnd w:id="121"/>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t>Exhibit 22.1</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subsidiaries of Reynolds Consumer Products Inc. may be guarantors of debt securities issued by Reynolds Consumer Products Inc.: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w:t>
            </w:r>
          </w:p>
        </w:tc>
      </w:tr>
      <w:tr>
        <w:trPr>
          <w:trHeight w:val="216"/>
        </w:trPr>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w:t>
            </w:r>
          </w:p>
        </w:tc>
      </w:tr>
      <w:tr>
        <w:trPr>
          <w:trHeight w:val="216"/>
        </w:trPr>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or</w:t>
            </w:r>
          </w:p>
        </w:tc>
      </w:tr>
      <w:tr>
        <w:trPr>
          <w:trHeight w:val="238"/>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organization</w:t>
            </w:r>
          </w:p>
        </w:tc>
      </w:tr>
      <w:tr>
        <w:trPr>
          <w:trHeight w:val="191"/>
        </w:trPr>
        <w:tc>
          <w:tcPr>
            <w:tcW w:w="74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Reynolds Presto Products Inc.</w:t>
            </w:r>
          </w:p>
        </w:tc>
        <w:tc>
          <w:tcPr>
            <w:tcW w:w="220" w:type="dxa"/>
            <w:vAlign w:val="bottom"/>
          </w:tcPr>
          <w:p>
            <w:pPr>
              <w:spacing w:after="0"/>
              <w:rPr>
                <w:sz w:val="16"/>
                <w:szCs w:val="16"/>
                <w:color w:val="auto"/>
              </w:rPr>
            </w:pPr>
          </w:p>
        </w:tc>
        <w:tc>
          <w:tcPr>
            <w:tcW w:w="3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 Western Polymers, Inc.</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6"/>
        </w:trPr>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Reynolds Consumer Products Holdings LLC</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Reynolds International Services LLC</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Reynolds Manufacturing, Inc.</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Reynolds Consumer Products LLC</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97"/>
        </w:trPr>
        <w:tc>
          <w:tcPr>
            <w:tcW w:w="7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22" w:name="page123"/>
    <w:bookmarkEnd w:id="122"/>
    <w:p>
      <w:pPr>
        <w:ind w:left="102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225425</wp:posOffset>
            </wp:positionH>
            <wp:positionV relativeFrom="page">
              <wp:posOffset>106045</wp:posOffset>
            </wp:positionV>
            <wp:extent cx="805815" cy="6172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805815" cy="617220"/>
                    </a:xfrm>
                    <a:prstGeom prst="rect">
                      <a:avLst/>
                    </a:prstGeom>
                    <a:noFill/>
                  </pic:spPr>
                </pic:pic>
              </a:graphicData>
            </a:graphic>
          </wp:anchor>
        </w:drawing>
        <w:t>Exhibit 23.2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Reynolds Consumer Products Inc. of our report dated February 9, 2022 relating to the financial statements and the effectiveness of internal control over financial reporting, which appears in Reynolds Consumer Products Inc.'s Annual Report on Form 10-K for the year ended December 31, 2021.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2022</w:t>
      </w:r>
    </w:p>
    <w:p>
      <w:pPr>
        <w:sectPr>
          <w:pgSz w:w="11900" w:h="16838" w:orient="portrait"/>
          <w:cols w:equalWidth="0" w:num="1">
            <w:col w:w="11220"/>
          </w:cols>
          <w:pgMar w:left="320" w:top="900" w:right="35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25.1</w:t>
      </w: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T-1</w:t>
      </w:r>
    </w:p>
    <w:p>
      <w:pPr>
        <w:spacing w:after="0" w:line="247" w:lineRule="exact"/>
        <w:rPr>
          <w:sz w:val="20"/>
          <w:szCs w:val="20"/>
          <w:color w:val="auto"/>
        </w:rPr>
      </w:pPr>
    </w:p>
    <w:p>
      <w:pPr>
        <w:ind w:left="240" w:hanging="232"/>
        <w:spacing w:after="0"/>
        <w:tabs>
          <w:tab w:leader="none" w:pos="240" w:val="left"/>
        </w:tabs>
        <w:numPr>
          <w:ilvl w:val="0"/>
          <w:numId w:val="7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Check if an Application to Determine Eligibility of a Trustee Pursuant to Section 305(b)(2)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WILMINGTON TRUST, NATIONAL ASSOCIATION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trustee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16-1486454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(I.R.S. employer identification no.)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1100 North Market Street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Wilmington, DE 19890-0001</w:t>
      </w:r>
    </w:p>
    <w:p>
      <w:pPr>
        <w:jc w:val="center"/>
        <w:spacing w:after="0"/>
        <w:rPr>
          <w:sz w:val="20"/>
          <w:szCs w:val="20"/>
          <w:color w:val="auto"/>
        </w:rPr>
      </w:pPr>
      <w:r>
        <w:rPr>
          <w:rFonts w:ascii="Times New Roman" w:cs="Times New Roman" w:eastAsia="Times New Roman" w:hAnsi="Times New Roman"/>
          <w:sz w:val="20"/>
          <w:szCs w:val="20"/>
          <w:color w:val="auto"/>
        </w:rPr>
        <w:t>(Address of principal executive offices)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Kyle Barry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Administrative Vice President</w:t>
      </w:r>
    </w:p>
    <w:p>
      <w:pPr>
        <w:jc w:val="center"/>
        <w:spacing w:after="0"/>
        <w:rPr>
          <w:sz w:val="20"/>
          <w:szCs w:val="20"/>
          <w:color w:val="auto"/>
        </w:rPr>
      </w:pPr>
      <w:r>
        <w:rPr>
          <w:rFonts w:ascii="Times New Roman" w:cs="Times New Roman" w:eastAsia="Times New Roman" w:hAnsi="Times New Roman"/>
          <w:sz w:val="20"/>
          <w:szCs w:val="20"/>
          <w:b w:val="1"/>
          <w:bCs w:val="1"/>
          <w:color w:val="auto"/>
        </w:rPr>
        <w:t>Wilmington Trust Company</w:t>
      </w:r>
    </w:p>
    <w:p>
      <w:pPr>
        <w:jc w:val="center"/>
        <w:spacing w:after="0"/>
        <w:rPr>
          <w:sz w:val="20"/>
          <w:szCs w:val="20"/>
          <w:color w:val="auto"/>
        </w:rPr>
      </w:pPr>
      <w:r>
        <w:rPr>
          <w:rFonts w:ascii="Times New Roman" w:cs="Times New Roman" w:eastAsia="Times New Roman" w:hAnsi="Times New Roman"/>
          <w:sz w:val="20"/>
          <w:szCs w:val="20"/>
          <w:b w:val="1"/>
          <w:bCs w:val="1"/>
          <w:color w:val="auto"/>
        </w:rPr>
        <w:t>285 Deleware Ave.</w:t>
      </w:r>
    </w:p>
    <w:p>
      <w:pPr>
        <w:jc w:val="center"/>
        <w:spacing w:after="0"/>
        <w:rPr>
          <w:sz w:val="20"/>
          <w:szCs w:val="20"/>
          <w:color w:val="auto"/>
        </w:rPr>
      </w:pPr>
      <w:r>
        <w:rPr>
          <w:rFonts w:ascii="Times New Roman" w:cs="Times New Roman" w:eastAsia="Times New Roman" w:hAnsi="Times New Roman"/>
          <w:sz w:val="20"/>
          <w:szCs w:val="20"/>
          <w:b w:val="1"/>
          <w:bCs w:val="1"/>
          <w:color w:val="auto"/>
        </w:rPr>
        <w:t>Buffalo, NY 14202</w:t>
      </w:r>
    </w:p>
    <w:p>
      <w:pPr>
        <w:jc w:val="center"/>
        <w:spacing w:after="0"/>
        <w:rPr>
          <w:sz w:val="20"/>
          <w:szCs w:val="20"/>
          <w:color w:val="auto"/>
        </w:rPr>
      </w:pPr>
      <w:r>
        <w:rPr>
          <w:rFonts w:ascii="Times New Roman" w:cs="Times New Roman" w:eastAsia="Times New Roman" w:hAnsi="Times New Roman"/>
          <w:sz w:val="20"/>
          <w:szCs w:val="20"/>
          <w:b w:val="1"/>
          <w:bCs w:val="1"/>
          <w:color w:val="auto"/>
        </w:rPr>
        <w:t>(716) 839-6909</w:t>
      </w:r>
    </w:p>
    <w:p>
      <w:pPr>
        <w:jc w:val="center"/>
        <w:spacing w:after="0"/>
        <w:rPr>
          <w:sz w:val="20"/>
          <w:szCs w:val="20"/>
          <w:color w:val="auto"/>
        </w:rPr>
      </w:pPr>
      <w:r>
        <w:rPr>
          <w:rFonts w:ascii="Times New Roman" w:cs="Times New Roman" w:eastAsia="Times New Roman" w:hAnsi="Times New Roman"/>
          <w:sz w:val="20"/>
          <w:szCs w:val="20"/>
          <w:color w:val="auto"/>
        </w:rPr>
        <w:t>(Name, address and telephone number of agent for service)</w:t>
      </w:r>
    </w:p>
    <w:p>
      <w:pPr>
        <w:spacing w:after="0" w:line="14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 xml:space="preserve">REYNOLDS CONSUMER PRODUCTS INC. </w:t>
      </w:r>
      <w:r>
        <w:rPr>
          <w:rFonts w:ascii="Times New Roman" w:cs="Times New Roman" w:eastAsia="Times New Roman" w:hAnsi="Times New Roman"/>
          <w:sz w:val="32"/>
          <w:szCs w:val="32"/>
          <w:color w:val="auto"/>
          <w:vertAlign w:val="superscript"/>
        </w:rPr>
        <w:t>1</w:t>
      </w:r>
    </w:p>
    <w:p>
      <w:pPr>
        <w:ind w:left="3660"/>
        <w:spacing w:after="0"/>
        <w:rPr>
          <w:sz w:val="20"/>
          <w:szCs w:val="20"/>
          <w:color w:val="auto"/>
        </w:rPr>
      </w:pPr>
      <w:r>
        <w:rPr>
          <w:rFonts w:ascii="Times New Roman" w:cs="Times New Roman" w:eastAsia="Times New Roman" w:hAnsi="Times New Roman"/>
          <w:sz w:val="20"/>
          <w:szCs w:val="20"/>
          <w:color w:val="auto"/>
        </w:rPr>
        <w:t>(Exact name of obligor as specified in its charter)</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45-3464426</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0"/>
          <w:szCs w:val="20"/>
          <w:color w:val="auto"/>
        </w:rPr>
      </w:pPr>
    </w:p>
    <w:p>
      <w:pPr>
        <w:sectPr>
          <w:pgSz w:w="11900" w:h="16838" w:orient="portrait"/>
          <w:cols w:equalWidth="0" w:num="2">
            <w:col w:w="6500" w:space="720"/>
            <w:col w:w="4020"/>
          </w:cols>
          <w:pgMar w:left="320" w:top="117" w:right="339" w:bottom="1440" w:gutter="0" w:footer="0" w:header="0"/>
          <w:type w:val="continuous"/>
        </w:sectPr>
      </w:pP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1900 W. Field Court</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Lake Forest, Illinois 60045</w:t>
      </w:r>
    </w:p>
    <w:p>
      <w:pPr>
        <w:jc w:val="center"/>
        <w:ind w:right="-19"/>
        <w:spacing w:after="0"/>
        <w:rPr>
          <w:sz w:val="20"/>
          <w:szCs w:val="20"/>
          <w:color w:val="auto"/>
        </w:rPr>
      </w:pPr>
      <w:r>
        <w:rPr>
          <w:rFonts w:ascii="Times New Roman" w:cs="Times New Roman" w:eastAsia="Times New Roman" w:hAnsi="Times New Roman"/>
          <w:sz w:val="19"/>
          <w:szCs w:val="19"/>
          <w:color w:val="auto"/>
        </w:rPr>
        <w:t>(Address of principal executive offices, including zip code)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14230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hanging="132"/>
        <w:spacing w:after="0"/>
        <w:tabs>
          <w:tab w:leader="none" w:pos="140" w:val="left"/>
        </w:tabs>
        <w:numPr>
          <w:ilvl w:val="0"/>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2"/>
          <w:szCs w:val="22"/>
          <w:color w:val="auto"/>
        </w:rPr>
        <w:t>See Table of Additional Obligors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TABLE OF ADDITIONAL OBLIGORS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4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4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Obligor’s</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w:t>
            </w:r>
          </w:p>
        </w:tc>
        <w:tc>
          <w:tcPr>
            <w:tcW w:w="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w:t>
            </w:r>
          </w:p>
        </w:tc>
        <w:tc>
          <w:tcPr>
            <w:tcW w:w="40" w:type="dxa"/>
            <w:vAlign w:val="bottom"/>
          </w:tcPr>
          <w:p>
            <w:pPr>
              <w:spacing w:after="0"/>
              <w:rPr>
                <w:sz w:val="12"/>
                <w:szCs w:val="12"/>
                <w:color w:val="auto"/>
              </w:rPr>
            </w:pPr>
          </w:p>
        </w:tc>
        <w:tc>
          <w:tcPr>
            <w:tcW w:w="4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Exact Name of Obligor</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5"/>
                <w:szCs w:val="15"/>
                <w:color w:val="auto"/>
              </w:rPr>
            </w:pP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Offices</w:t>
            </w:r>
          </w:p>
        </w:tc>
        <w:tc>
          <w:tcPr>
            <w:tcW w:w="0" w:type="dxa"/>
            <w:vAlign w:val="bottom"/>
          </w:tcPr>
          <w:p>
            <w:pPr>
              <w:spacing w:after="0"/>
              <w:rPr>
                <w:sz w:val="1"/>
                <w:szCs w:val="1"/>
                <w:color w:val="auto"/>
              </w:rPr>
            </w:pPr>
          </w:p>
        </w:tc>
      </w:tr>
      <w:tr>
        <w:trPr>
          <w:trHeight w:val="191"/>
        </w:trPr>
        <w:tc>
          <w:tcPr>
            <w:tcW w:w="38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Reynolds Presto Products Inc.</w:t>
            </w:r>
          </w:p>
        </w:tc>
        <w:tc>
          <w:tcPr>
            <w:tcW w:w="1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76-0170620</w:t>
            </w:r>
          </w:p>
        </w:tc>
        <w:tc>
          <w:tcPr>
            <w:tcW w:w="40" w:type="dxa"/>
            <w:vAlign w:val="bottom"/>
          </w:tcPr>
          <w:p>
            <w:pPr>
              <w:spacing w:after="0"/>
              <w:rPr>
                <w:sz w:val="16"/>
                <w:szCs w:val="16"/>
                <w:color w:val="auto"/>
              </w:rPr>
            </w:pPr>
          </w:p>
        </w:tc>
        <w:tc>
          <w:tcPr>
            <w:tcW w:w="4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1900 W. Field Court, Lake Forest IL 60045, United States</w:t>
            </w: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 Western Polymers, Inc.</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94-2906693</w:t>
            </w:r>
          </w:p>
        </w:tc>
        <w:tc>
          <w:tcPr>
            <w:tcW w:w="4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1900 W. Field Court, Lake Forest IL 60045, United States</w:t>
            </w:r>
          </w:p>
        </w:tc>
        <w:tc>
          <w:tcPr>
            <w:tcW w:w="0" w:type="dxa"/>
            <w:vAlign w:val="bottom"/>
          </w:tcPr>
          <w:p>
            <w:pPr>
              <w:spacing w:after="0"/>
              <w:rPr>
                <w:sz w:val="1"/>
                <w:szCs w:val="1"/>
                <w:color w:val="auto"/>
              </w:rPr>
            </w:pPr>
          </w:p>
        </w:tc>
      </w:tr>
      <w:tr>
        <w:trPr>
          <w:trHeight w:val="216"/>
        </w:trPr>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Reynolds Consumer Products Holdings LLC</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77-0710450</w:t>
            </w:r>
          </w:p>
        </w:tc>
        <w:tc>
          <w:tcPr>
            <w:tcW w:w="4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1900 W. Field Court, Lake Forest IL 60045, United States</w:t>
            </w:r>
          </w:p>
        </w:tc>
        <w:tc>
          <w:tcPr>
            <w:tcW w:w="0" w:type="dxa"/>
            <w:vAlign w:val="bottom"/>
          </w:tcPr>
          <w:p>
            <w:pPr>
              <w:spacing w:after="0"/>
              <w:rPr>
                <w:sz w:val="1"/>
                <w:szCs w:val="1"/>
                <w:color w:val="auto"/>
              </w:rPr>
            </w:pPr>
          </w:p>
        </w:tc>
      </w:tr>
      <w:tr>
        <w:trPr>
          <w:trHeight w:val="216"/>
        </w:trPr>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Reynolds International Services LLC</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61-1927361</w:t>
            </w:r>
          </w:p>
        </w:tc>
        <w:tc>
          <w:tcPr>
            <w:tcW w:w="4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1900 W. Field Court, Lake Forest IL 60045, United States</w:t>
            </w:r>
          </w:p>
        </w:tc>
        <w:tc>
          <w:tcPr>
            <w:tcW w:w="0" w:type="dxa"/>
            <w:vAlign w:val="bottom"/>
          </w:tcPr>
          <w:p>
            <w:pPr>
              <w:spacing w:after="0"/>
              <w:rPr>
                <w:sz w:val="1"/>
                <w:szCs w:val="1"/>
                <w:color w:val="auto"/>
              </w:rPr>
            </w:pPr>
          </w:p>
        </w:tc>
      </w:tr>
      <w:tr>
        <w:trPr>
          <w:trHeight w:val="216"/>
        </w:trPr>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Reynolds Consumer Products LLC</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77-0710443</w:t>
            </w:r>
          </w:p>
        </w:tc>
        <w:tc>
          <w:tcPr>
            <w:tcW w:w="4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1900 W. Field Court, Lake Forest IL 60045, United States</w:t>
            </w:r>
          </w:p>
        </w:tc>
        <w:tc>
          <w:tcPr>
            <w:tcW w:w="0" w:type="dxa"/>
            <w:vAlign w:val="bottom"/>
          </w:tcPr>
          <w:p>
            <w:pPr>
              <w:spacing w:after="0"/>
              <w:rPr>
                <w:sz w:val="1"/>
                <w:szCs w:val="1"/>
                <w:color w:val="auto"/>
              </w:rPr>
            </w:pPr>
          </w:p>
        </w:tc>
      </w:tr>
      <w:tr>
        <w:trPr>
          <w:trHeight w:val="234"/>
        </w:trPr>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Reynolds Manufacturing, Inc.</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45-3412370</w:t>
            </w:r>
          </w:p>
        </w:tc>
        <w:tc>
          <w:tcPr>
            <w:tcW w:w="4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1900 W. Field Court, Lake Forest IL 60045, United States</w:t>
            </w:r>
          </w:p>
        </w:tc>
        <w:tc>
          <w:tcPr>
            <w:tcW w:w="0" w:type="dxa"/>
            <w:vAlign w:val="bottom"/>
          </w:tcPr>
          <w:p>
            <w:pPr>
              <w:spacing w:after="0"/>
              <w:rPr>
                <w:sz w:val="1"/>
                <w:szCs w:val="1"/>
                <w:color w:val="auto"/>
              </w:rPr>
            </w:pPr>
          </w:p>
        </w:tc>
      </w:tr>
      <w:tr>
        <w:trPr>
          <w:trHeight w:val="351"/>
        </w:trPr>
        <w:tc>
          <w:tcPr>
            <w:tcW w:w="3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ITEM 1. GENERAL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Furnish the following information as to the trustee:</w:t>
      </w:r>
    </w:p>
    <w:p>
      <w:pPr>
        <w:spacing w:after="0" w:line="225" w:lineRule="exact"/>
        <w:rPr>
          <w:sz w:val="20"/>
          <w:szCs w:val="20"/>
          <w:color w:val="auto"/>
        </w:rPr>
      </w:pPr>
    </w:p>
    <w:p>
      <w:pPr>
        <w:ind w:left="1420" w:hanging="548"/>
        <w:spacing w:after="0"/>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each examining or supervising authority to which it is subject.</w:t>
      </w:r>
    </w:p>
    <w:p>
      <w:pPr>
        <w:spacing w:after="0" w:line="225"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Comptroller of Currency, Washington, D.C.</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Deposit Insurance Corporation, Washington, D.C.</w:t>
      </w:r>
    </w:p>
    <w:p>
      <w:pPr>
        <w:spacing w:after="0" w:line="206" w:lineRule="exact"/>
        <w:rPr>
          <w:rFonts w:ascii="Times New Roman" w:cs="Times New Roman" w:eastAsia="Times New Roman" w:hAnsi="Times New Roman"/>
          <w:sz w:val="18"/>
          <w:szCs w:val="18"/>
          <w:color w:val="auto"/>
        </w:rPr>
      </w:pPr>
    </w:p>
    <w:p>
      <w:pPr>
        <w:jc w:val="both"/>
        <w:ind w:left="1420" w:right="5520" w:hanging="548"/>
        <w:spacing w:after="0" w:line="312" w:lineRule="auto"/>
        <w:tabs>
          <w:tab w:leader="none" w:pos="14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it is authorized to exercise corporate trust powers. The trustee is authorized to exercise corporate trust powers.</w:t>
      </w:r>
    </w:p>
    <w:p>
      <w:pPr>
        <w:spacing w:after="0" w:line="13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AFFILIATIONS WITH THE OBLIGOR.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obligor is an affiliate of the trustee, describe each affiliation:</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Based upon an examination of the books and records of the trustee and information available to the trustee, the obligor is not an affiliate of the trustee.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 15. </w:t>
      </w: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LIST OF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Listed below are all exhibits filed as part of this Statement of Eligibility and Qualification.</w:t>
      </w:r>
    </w:p>
    <w:p>
      <w:pPr>
        <w:spacing w:after="0" w:line="225" w:lineRule="exact"/>
        <w:rPr>
          <w:sz w:val="20"/>
          <w:szCs w:val="20"/>
          <w:color w:val="auto"/>
        </w:rPr>
      </w:pPr>
    </w:p>
    <w:p>
      <w:pPr>
        <w:ind w:left="880" w:hanging="224"/>
        <w:spacing w:after="0"/>
        <w:tabs>
          <w:tab w:leader="none" w:pos="8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Charter for Wilmington Trust, National Association.</w:t>
      </w:r>
    </w:p>
    <w:p>
      <w:pPr>
        <w:spacing w:after="0" w:line="27" w:lineRule="exact"/>
        <w:rPr>
          <w:rFonts w:ascii="Times New Roman" w:cs="Times New Roman" w:eastAsia="Times New Roman" w:hAnsi="Times New Roman"/>
          <w:sz w:val="18"/>
          <w:szCs w:val="18"/>
          <w:color w:val="auto"/>
        </w:rPr>
      </w:pPr>
    </w:p>
    <w:p>
      <w:pPr>
        <w:ind w:left="960" w:hanging="304"/>
        <w:spacing w:after="0" w:line="250"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Wilmington Trust, National Association to commence business was granted under the Charter for Wilmington Trust, National Association, incorporated herein by reference to Exhibit 1 above.</w:t>
      </w:r>
    </w:p>
    <w:p>
      <w:pPr>
        <w:ind w:left="960" w:right="120" w:hanging="304"/>
        <w:spacing w:after="0" w:line="250"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to exercise corporate trust powers was granted under the Charter for Wilmington Trust, National Association, incorporated herein by reference to Exhibit 1 above.</w:t>
      </w:r>
    </w:p>
    <w:p>
      <w:pPr>
        <w:ind w:left="880" w:hanging="224"/>
        <w:spacing w:after="0"/>
        <w:tabs>
          <w:tab w:leader="none" w:pos="8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existing By-Laws of Trustee, as now in effect, incorporated herein by reference to Exhibit 4 of this Form T-1.</w:t>
      </w:r>
    </w:p>
    <w:p>
      <w:pPr>
        <w:spacing w:after="0" w:line="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880" w:right="280" w:hanging="224"/>
        <w:spacing w:after="0" w:line="250" w:lineRule="auto"/>
        <w:tabs>
          <w:tab w:leader="none" w:pos="8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Wilmington Trust, National Association as required by Section 321(b) of the Trust Indenture Act of 1939, attached hereto as Exhibit 6 of this Form T-1.</w:t>
      </w:r>
    </w:p>
    <w:p>
      <w:pPr>
        <w:ind w:left="880" w:right="40" w:hanging="224"/>
        <w:spacing w:after="0" w:line="250" w:lineRule="auto"/>
        <w:tabs>
          <w:tab w:leader="none" w:pos="8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of the Condition of Wilmington Trust, National Association, published pursuant to law or the requirements of its supervising or examining authority, attached hereto as Exhibit 7 of this Form T-1.</w:t>
      </w:r>
    </w:p>
    <w:p>
      <w:pPr>
        <w:ind w:left="880" w:hanging="224"/>
        <w:spacing w:after="0"/>
        <w:tabs>
          <w:tab w:leader="none" w:pos="8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26" w:name="page127"/>
    <w:bookmarkEnd w:id="126"/>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Wilmington Trust,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23rd day of May, 2022</w:t>
      </w:r>
    </w:p>
    <w:p>
      <w:pPr>
        <w:spacing w:after="0" w:line="17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w:t>
      </w:r>
    </w:p>
    <w:p>
      <w:pPr>
        <w:spacing w:after="0" w:line="173" w:lineRule="exact"/>
        <w:rPr>
          <w:sz w:val="20"/>
          <w:szCs w:val="20"/>
          <w:color w:val="auto"/>
        </w:rPr>
      </w:pPr>
    </w:p>
    <w:p>
      <w:pPr>
        <w:ind w:left="6740"/>
        <w:spacing w:after="0"/>
        <w:tabs>
          <w:tab w:leader="none" w:pos="7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Quinton M. DePompolo</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Quinton M. DePompolo</w:t>
      </w:r>
    </w:p>
    <w:p>
      <w:pPr>
        <w:spacing w:after="0" w:line="9" w:lineRule="exact"/>
        <w:rPr>
          <w:sz w:val="20"/>
          <w:szCs w:val="20"/>
          <w:color w:val="auto"/>
        </w:rPr>
      </w:pPr>
    </w:p>
    <w:p>
      <w:pPr>
        <w:ind w:left="6740"/>
        <w:spacing w:after="0"/>
        <w:tabs>
          <w:tab w:leader="none" w:pos="7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576" w:right="55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CHARTER OF WILMINGTON TRUST,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524510</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WILMINGTON TRUST, NATIONAL ASSOCIATION</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purpose of organizing an association to perform any lawful activities of national banks, the undersigned do enter into the following articles of association: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The title of this association shall be Wilmington Trust, National Association.</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SECOND. The main office of the association shall be in the City of Wilmington, County of New Castle, State of Delaware. The general business of the association shall be conducted at its main office and its branches.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THIRD. The board of directors of this association shall consist of not less than five nor more than twenty-five persons, unless the OCC has exempted the bank from the 25-member limit. The exact number is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$1,000. Determination of these values may be based as of either (i) the date of purchase or (ii) the date the person became a director, whichever value is greater. Any combination of common or preferred stock of the association or holding company may be used.</w:t>
      </w:r>
    </w:p>
    <w:p>
      <w:pPr>
        <w:spacing w:after="0" w:line="18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Any vacancy in the board of directors may be filled by action of a majority of the remaining directors between meetings of shareholders. The board of directors may not increase the number of directors between meetings of shareholders to a number which:</w:t>
      </w:r>
    </w:p>
    <w:p>
      <w:pPr>
        <w:spacing w:after="0" w:line="162"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exceeds by more than two the number of directors last elected by shareholders where the number was 15 or less;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exceeds by more than four the number of directors last elected by shareholders where the number was 16 or more, but in no event shall the number of directors exceed 25, unless the OCC has exempted the bank from the 25-member limit.</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Directors shall be elected for terms of one year and until their successors are elected and qualified.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qualifies or until there is a decrease in the number of directors and his or her position is eliminated.</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 the number of directors of the association or the presence of a quorum in connection with any board action, and shall not be required to own qualifying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There shall be an annual meeting of the shareholders to elect directors and transact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9" w:name="page130"/>
    <w:bookmarkEnd w:id="129"/>
    <w:p>
      <w:pPr>
        <w:spacing w:after="0" w:line="255" w:lineRule="auto"/>
        <w:rPr>
          <w:sz w:val="20"/>
          <w:szCs w:val="20"/>
          <w:color w:val="auto"/>
        </w:rPr>
      </w:pPr>
      <w:r>
        <w:rPr>
          <w:rFonts w:ascii="Times New Roman" w:cs="Times New Roman" w:eastAsia="Times New Roman" w:hAnsi="Times New Roman"/>
          <w:sz w:val="18"/>
          <w:szCs w:val="18"/>
          <w:color w:val="auto"/>
        </w:rPr>
        <w:t>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time, place and purpose of a shareholders’ meeting shall be given to the shareholders by first class mail, unless the OCC determines that an emergency circumstance exists. The sole shareholder of the bank is permitted to waive notice of the shareholders’ meeting.</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all elections of directors, the number of votes each common shareholder may cast will be determined by multiplying the number of shares such shareholder owns by the number of directors to be elected. Those votes may be cumulated and cast for a single candidate or may be distributed among two or more candidates in the manner selected by the shareholder. If, after the first ballot, subsequent ballots are necessary to elect directors, a shareholder may not vote shares that he or she has already fully cumulated and voted in favor of a successful candidate. On all other questions, each common shareholder shall be entitled to one vote for each share of stock held by him or her.</w:t>
      </w:r>
    </w:p>
    <w:p>
      <w:pPr>
        <w:spacing w:after="0" w:line="183"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Nominations for election to the board of directors may be made by the board of directors or by any stockholder of any outstanding class of capital stock of the association entitled to vote for election of directors. Nominations other than those made by or on behalf of the existing management shall be made in writing and be delivered or mailed to the president of the association not less than 14 days nor more than 50 days prior to any meeting of shareholders called for the election of directors; provided, however, that if less than 21 days notice of the meeting is given to shareholders, such nominations shall be mailed or delivered to the president of the association not later than the close of business on the seventh day following the day on which the notice of meeting was mailed. Such notification shall contain the following information to the extent known to the notifying shareholder:</w:t>
      </w:r>
    </w:p>
    <w:p>
      <w:pPr>
        <w:spacing w:after="0" w:line="187"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each proposed nominee.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of each proposed nominee.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capital stock of the association that will be voted for each proposed nominee.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residence address of the notifying shareholder.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capital stock of the association owned by the notifying shareholder.</w:t>
      </w:r>
    </w:p>
    <w:p>
      <w:pPr>
        <w:spacing w:after="0" w:line="207" w:lineRule="exact"/>
        <w:rPr>
          <w:sz w:val="20"/>
          <w:szCs w:val="20"/>
          <w:color w:val="auto"/>
        </w:rPr>
      </w:pPr>
    </w:p>
    <w:p>
      <w:pPr>
        <w:ind w:left="340" w:right="300" w:firstLine="324"/>
        <w:spacing w:after="0" w:line="282" w:lineRule="auto"/>
        <w:rPr>
          <w:sz w:val="20"/>
          <w:szCs w:val="20"/>
          <w:color w:val="auto"/>
        </w:rPr>
      </w:pPr>
      <w:r>
        <w:rPr>
          <w:rFonts w:ascii="Times New Roman" w:cs="Times New Roman" w:eastAsia="Times New Roman" w:hAnsi="Times New Roman"/>
          <w:sz w:val="18"/>
          <w:szCs w:val="18"/>
          <w:color w:val="auto"/>
        </w:rPr>
        <w:t>Nominations not made in accordance herewith may, in his/her discretion, be disregarded by the chairperson of the meeting, and the vote tellers may disregard all votes cast for each such nominee. No bylaw may unreasonably restrict the nomination of directors by shareholders.</w:t>
      </w:r>
    </w:p>
    <w:p>
      <w:pPr>
        <w:spacing w:after="0" w:line="162" w:lineRule="exact"/>
        <w:rPr>
          <w:sz w:val="20"/>
          <w:szCs w:val="20"/>
          <w:color w:val="auto"/>
        </w:rPr>
      </w:pPr>
    </w:p>
    <w:p>
      <w:pPr>
        <w:ind w:left="340" w:right="280" w:firstLine="324"/>
        <w:spacing w:after="0" w:line="282" w:lineRule="auto"/>
        <w:rPr>
          <w:sz w:val="20"/>
          <w:szCs w:val="20"/>
          <w:color w:val="auto"/>
        </w:rPr>
      </w:pPr>
      <w:r>
        <w:rPr>
          <w:rFonts w:ascii="Times New Roman" w:cs="Times New Roman" w:eastAsia="Times New Roman" w:hAnsi="Times New Roman"/>
          <w:sz w:val="18"/>
          <w:szCs w:val="18"/>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62" w:lineRule="exact"/>
        <w:rPr>
          <w:sz w:val="20"/>
          <w:szCs w:val="20"/>
          <w:color w:val="auto"/>
        </w:rPr>
      </w:pPr>
    </w:p>
    <w:p>
      <w:pPr>
        <w:ind w:left="340" w:right="100" w:firstLine="324"/>
        <w:spacing w:after="0" w:line="261" w:lineRule="auto"/>
        <w:rPr>
          <w:sz w:val="20"/>
          <w:szCs w:val="20"/>
          <w:color w:val="auto"/>
        </w:rPr>
      </w:pPr>
      <w:r>
        <w:rPr>
          <w:rFonts w:ascii="Times New Roman" w:cs="Times New Roman" w:eastAsia="Times New Roman" w:hAnsi="Times New Roman"/>
          <w:sz w:val="18"/>
          <w:szCs w:val="18"/>
          <w:color w:val="auto"/>
        </w:rPr>
        <w:t>A director may be removed by shareholders at a meeting called to remove the director, when notice of the meeting stating that the purpose or one of the purposes is to remove the director is provided, if there is a failure to fulfill one of the affirmative requirements for qualification, or for cause; provided, however, that a director may not be removed if the number of votes sufficient to elect the director under cumulative voting is voted against the director's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30" w:name="page131"/>
    <w:bookmarkEnd w:id="130"/>
    <w:p>
      <w:pPr>
        <w:ind w:right="300"/>
        <w:spacing w:after="0" w:line="282" w:lineRule="auto"/>
        <w:rPr>
          <w:sz w:val="20"/>
          <w:szCs w:val="20"/>
          <w:color w:val="auto"/>
        </w:rPr>
      </w:pPr>
      <w:r>
        <w:rPr>
          <w:rFonts w:ascii="Times New Roman" w:cs="Times New Roman" w:eastAsia="Times New Roman" w:hAnsi="Times New Roman"/>
          <w:sz w:val="18"/>
          <w:szCs w:val="18"/>
          <w:color w:val="auto"/>
        </w:rPr>
        <w:t>FIFTH. The authorized amount of capital stock of this association shall be ten thousand shares of common stock of the par value of one hundred dollars ($100) each; but said capital stock may be increased or decreased from time to time, according to the provisions of the laws of the United States.</w:t>
      </w:r>
    </w:p>
    <w:p>
      <w:pPr>
        <w:spacing w:after="0" w:line="16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 Preemptive rights also must be approved by a vote of holders of two-thirds of the bank’s outstanding voting shares. Unless otherwise specified in these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18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these articles of association or required by law, all shares of voting stock shall be voted together as a class, on any matters requiring shareholder approval. If a proposed amendment would affect two or more classes or series in the same or a substantially similar way, all the classes or series so affected must vote together as a single voting group on the proposed amendment.</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Shares of one class or series may be issued as a dividend for shares of the same class or series on a pro rata basis and without consideration. Shares of one class or series may be issued as share dividends for a different class or series of stock if approved by a majority of the votes entitled to be cast by the class or series to be issued, unless there are no outstanding shares of the class or series to be issued. Unless otherwise provided by the board of directors, the record date for determining shareholders entitled to a share dividend shall be the date authorized by the board of directors for the share dividend.</w:t>
      </w:r>
    </w:p>
    <w:p>
      <w:pPr>
        <w:spacing w:after="0" w:line="1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7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If a shareholder is entitled to fractional shares pursuant to a stock dividend, consolidation or merger, reverse stock split or otherwise, the association may: (a) issue fractional shares; (b) in lieu of the issuance of fractional shares, issue script or warrants entitling the holder to receive a full share upon surrendering enough script or warrants to equal a full share; (c) if there is an established and active market in the association's stock, make reasonable arrangements to provide the shareholder with an opportunity to realize a fair price through sale of the fraction, or purchase of the additional fraction required for a full share; (d) remit the cash equivalent of the fraction to the shareholder; or (e) sell full shares representing all the fractions at public auction or to the highest bidder after having solicited and received sealed bids from at least three licensed stock brokers; and distribute the proceeds pro rata to shareholders who otherwise would be entitled to the fractional shares. The holder of a fractional share is entitled to exercise the rights for shareholder, including the right to vote, to receive dividends, and to participate in the assets of the association upon liquidation, in proportion to the fractional interest. The holder of script or warrants is not entitled to any of these rights unless the script or warrants explicitly provide for such rights. The script or warrants may be subject to such additional conditions as: (1) that the script or warrants will become void if not exchanged for full shares before a specified date;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that the shares for which the script or warrants are exchangeable may be sold at the option of the association and the proceeds paid to scriptholders.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1" w:name="page132"/>
    <w:bookmarkEnd w:id="131"/>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association, at any time and from time to time, may authorize and issue debt obligations, whether or not subordinated, without the approval of the shareholders. Obligations classified as debt, whether or not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SIXTH. 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duly appointed officer may appoint one or more officers or assistant officers if authorized by the board of directors in accordance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shall have the power to:</w:t>
      </w:r>
    </w:p>
    <w:p>
      <w:pPr>
        <w:spacing w:after="0" w:line="225"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the duties of the officers, employees, and agents of the association.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performance of its duties, but not the responsibility for its duties, to the officers, employees, and agents of the association.</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compensation and enter into employment contracts with its officers and employees upon reasonable terms and conditions consistent with applicable law.</w:t>
      </w: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 officers and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bonds from officers and employees and to fix the penalty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written policies authorized by the association's management or committees of the board.</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manner in which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administer the business and affairs of the association.</w:t>
      </w:r>
    </w:p>
    <w:p>
      <w:pPr>
        <w:spacing w:after="0" w:line="9" w:lineRule="exact"/>
        <w:rPr>
          <w:rFonts w:ascii="Times New Roman" w:cs="Times New Roman" w:eastAsia="Times New Roman" w:hAnsi="Times New Roman"/>
          <w:sz w:val="18"/>
          <w:szCs w:val="18"/>
          <w:color w:val="auto"/>
        </w:rPr>
      </w:pPr>
    </w:p>
    <w:p>
      <w:pPr>
        <w:ind w:left="660" w:right="840" w:hanging="328"/>
        <w:spacing w:after="0" w:line="250"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initial bylaws, not inconsistent with law or the articles of association, for managing the business and regulating the affairs of the association.</w:t>
      </w: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repeal bylaws, except to the extent that the articles of association reserve this power in whole or in part to shareholders.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contracts.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perform all acts that are legal for a board of directors to perform.</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SEVENTH. The board of directors shall have the power to change the location of the main office to any other place within the limits of Wilmington, Delaware, without the approval of the shareholders, or with a vote of shareholders owning two-thirds of the stock of such association for a relocation outside such limits and upon receipt of a certificate of approval from the Comptroller of the Currency, to any other location within or outside the limits of Wilmington Delaware, but not more than 30 miles beyond such limits. The board of directors shall have the power to establish or change the location of any branch or branches of the association to any other location permitted under applicable law, without approval of shareholders, subject to approval by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EIGHTH. The corporate existence of this association shall continue until termination according to the laws of the United States.</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NINTH. The board of directors of this association, or any one or more shareholders owning, in the aggregate, not less than 50 percent of the stock of this association, may call a special meeting of shareholders at any time. Unless otherwise provided by the bylaws or the laws of the United States, a notice of the time, place, and purpose of every annual and special meeting of the shareholders shall be given at least 10 days prior to the meeting by first-class mail, unless the OCC determines that an emergency circumstance exists. If the association is a wholly-owned subsidiary, the sole shareholder may waive notice of the shareholders’ meeting. Unless otherwise provided by the bylaws or these articles, any action requiring approval of shareholders must be effected at a duly called annual or special meeting.</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TENTH. For purposes of this Article Tenth, the term “institution-affiliated party” shall mean any institution-affiliated party of the association as such term is defined in 12 U.S.C. 1813(u).</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Any institution-affiliated party (or his or her heirs, executors or administrators) may be indemnified or reimbursed by the association for reasonable expenses actually incurred in connection with any threatened, pending or completed actions or proceedings and appeals therein, whether civil, criminal, governmental, administrative or investigative, in accordance with and to the fullest extent permitted by law, as such law now or hereafter exists; provided, however, that when an administrative proceeding or action instituted by a federal banking agency results in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then the association shall require the repayment of all legal fees and expenses advanced pursuant to the next succeeding paragraph and may not indemnify such institution-affiliated parties (or their heirs, executors or administrators) for expenses, including expenses for legal fees, penalties or other payments incurred. The association shall provide indemnification in connection with an action or proceeding (or part thereof) initiated by an institution-affiliated party (or by his or her heirs, executors or administrators) only if such action or proceeding (or part thereof) was authorized by the board of directors.</w:t>
      </w:r>
    </w:p>
    <w:p>
      <w:pPr>
        <w:spacing w:after="0" w:line="1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Expenses incurred by an institution-affiliated party (or by his or her heirs, executors or administrators) in connection with any action or proceeding under 12 U.S.C. 164 or 1818 may be paid by the association in advance of the final disposition of such action or proceeding upon (a) a determination by the board of directors acting by a quorum consisting of directors who are not parties to such action or proceeding that the institution-affiliated party (or his or her heirs, executors or administrators) has a reasonable basis for prevailing on the merits, (b) a determination that the indemnified individual (or his or her heirs, executors or administrators) will have the financial capacity to reimburse the bank in the event he or she does not prevail, (c) a determination that the payment of expenses and fees by the association will not adversely affect the safety and soundness of the association, and (d) receipt of an undertaking by or on behalf of such institution-affiliated party (or by his or her heirs, executors or administrators) to repay such advancement in the event of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In all other instances, expenses incurred by an institution-affiliated party (or by his or her heirs, executors or administrators) in connection with any action or proceeding as to which indemnification may be given under these articles of association may be paid by the association in advance of the final disposition of such action or proceeding upon (a) receipt of an undertaking by or on behalf of such institution-affiliated party (or by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3" w:name="page134"/>
    <w:bookmarkEnd w:id="133"/>
    <w:p>
      <w:pPr>
        <w:ind w:right="220"/>
        <w:spacing w:after="0" w:line="277" w:lineRule="auto"/>
        <w:rPr>
          <w:sz w:val="20"/>
          <w:szCs w:val="20"/>
          <w:color w:val="auto"/>
        </w:rPr>
      </w:pPr>
      <w:r>
        <w:rPr>
          <w:rFonts w:ascii="Times New Roman" w:cs="Times New Roman" w:eastAsia="Times New Roman" w:hAnsi="Times New Roman"/>
          <w:sz w:val="17"/>
          <w:szCs w:val="17"/>
          <w:color w:val="auto"/>
        </w:rPr>
        <w:t>on behalf of his or her heirs, executors or administrators) to repay such advancement in the event that such institution-affiliated party (or his or her heirs, executors or administrators) is ultimately found not to be entitled to indemnification as authorized by these articles of association and (b) approval by the board of directors acting by a quorum consisting of directors who are not parties to such action or proceeding or, if such a quorum is not obtainable, then approval by stockholders. To the extent permitted by law, the board of directors or, if applicable, the stockholders, shall not be required to find that the institution-affiliated party has met the applicable standard of conduct provided by law for indemnification in connection with such action or proceeding.</w:t>
      </w:r>
    </w:p>
    <w:p>
      <w:pPr>
        <w:spacing w:after="0" w:line="16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the event that a majority of the members of the board of directors are named as respondents in an administrative proceeding or civil action and request indemnification, the remaining members of the board may authorize independent legal counsel to review the indemnification request and provide the remaining members of the board with a written opinion of counsel as to whether the conditions delineated in the first four paragraphs of this Article Tenth have been met. If independent legal counsel opines that said conditions have been met, the remaining members of the board of directors may rely on such opinion in authorizing the requested indemnification.</w:t>
      </w:r>
    </w:p>
    <w:p>
      <w:pPr>
        <w:spacing w:after="0" w:line="183"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all of the members of the board of directors are named as respondents in an administrative proceeding or civil action and request indemnification, the board shall authorize independent legal counsel to review the indemnification request and provide the board with a written opinion of counsel as to whether the conditions delineated in the first four paragraphs of this Article Tenth have been met. If legal counsel opines that said conditions have been met, the board of directors may rely on such opinion in authorizing the requested indemnification.</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To the extent permitted under applicable law, the rights of indemnification and to the advancement of expenses provided in these articles of association (a) shall be available with respect to events occurring prior to the adoption of these articles of association, (b) shall continue to exist after any restrictive amendment of these articles of association with respect to events occurring prior to such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association and the institution-affiliated party (or his or her heirs, executors or administrators) for whom such rights are sought were parties to a separate written agreement.</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rights of indemnification and to the advancement of expenses provided in these articles of association shall not, to the extent permitted under applicable law, be deemed exclusive of any other rights to which any such institution affiliated party (or his or her heirs, executors or administrators) may now or hereafter be otherwise entitled whether contained in these articles of association, the bylaws, a resolution of stockholders, a resolution of the board of directors, or an agreement providing such indemnification, the creation of such other rights being hereby expressly authorized. Without limiting the generality of the foregoing, the rights of indemnification and to the advancement of expenses provided in these articles of association shall not be deemed exclusive of any rights, pursuant to statute or otherwise, of any such institution-affiliated party (or of his or her heirs, executors or administrators) in any such action or proceeding to have assessed or allowed in his or her favor, against the association or otherwise, his or her costs and expenses incurred therein or in connection therewith or any part thereof.</w:t>
      </w:r>
    </w:p>
    <w:p>
      <w:pPr>
        <w:spacing w:after="0" w:line="192"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If this Article Tenth or any part hereof shall be held unenforceable in any respect by a court of competent jurisdiction, it shall be deemed modified to the minimum extent necessary to make it enforceable, and the remainder of this Article Tenth shall remain fully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4" w:name="page135"/>
    <w:bookmarkEnd w:id="134"/>
    <w:p>
      <w:pPr>
        <w:ind w:firstLine="648"/>
        <w:spacing w:after="0" w:line="281" w:lineRule="auto"/>
        <w:rPr>
          <w:sz w:val="20"/>
          <w:szCs w:val="20"/>
          <w:color w:val="auto"/>
        </w:rPr>
      </w:pPr>
      <w:r>
        <w:rPr>
          <w:rFonts w:ascii="Times New Roman" w:cs="Times New Roman" w:eastAsia="Times New Roman" w:hAnsi="Times New Roman"/>
          <w:sz w:val="17"/>
          <w:szCs w:val="17"/>
          <w:color w:val="auto"/>
        </w:rPr>
        <w:t>The association may, upon affirmative vote of a majority of its board of directors, purchase insurance to indemnify its institution-affiliated parties to the extent that such indemnification is allowed in these articles of association; provided, however, that no such insurance shall include coverage to pay or reimburse any institution-affiliated party for the cost of any judgment or civil money penalty assessed against such person in an administrative proceeding or civil action commenced by any federal banking agency. Such insurance may, but need not, be for the benefit of all institution-affiliated parties.</w:t>
      </w:r>
    </w:p>
    <w:p>
      <w:pPr>
        <w:spacing w:after="0" w:line="1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ELEVENTH. These articles of association may be amended at any regular or special meeting of the shareholders by the affirmative vote of the holders of a majority of the stock of this association, unless the vote of the holders of a greater amount of stock is required by law, and in that case by the vote of the holders of such greater amount. The association's board of directors may propose one or more amendments to the articles of association for submission to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BY-LAWS OF WILMINGTON TRUST,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387350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WILMINGTON TRUST, NATIONAL ASSOCIATION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as of April 17, 2018)</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Meetings of Shareholders</w:t>
      </w:r>
    </w:p>
    <w:p>
      <w:pPr>
        <w:spacing w:after="0" w:line="20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 Annual Meeting</w:t>
      </w:r>
      <w:r>
        <w:rPr>
          <w:rFonts w:ascii="Times New Roman" w:cs="Times New Roman" w:eastAsia="Times New Roman" w:hAnsi="Times New Roman"/>
          <w:sz w:val="18"/>
          <w:szCs w:val="18"/>
          <w:color w:val="auto"/>
        </w:rPr>
        <w:t>. The annual meeting of the shareholders to elect directors and transact whatever other business may properly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come before the meeting shall be held at the main office of the association, Rodney Square North, 1100 Market Street, City of Wilmington, State of Delaware, at 1:00 o'clock p.m. on the first Tuesday in March of each year, or at such other place and time as the board of directors may designate, or if that date falls on a legal holiday in Delaware, on the next following banking day. Notice of the meeting shall be mailed by first class mail, postage prepaid, at least 10 days and no more than 60 days prior to the date thereof, addressed to each shareholder at his/her address appearing on the books of the association. If, for any cause, an election of directors is not made on that date, or in the event of a legal holiday, on the next following banking day, an election may be held on any subsequent day within 60 days of the date fixed, to be designated by the board of directors, or, if the directors fail to fix the date, by shareholders representing two-thirds of the shares. In these circumstances, at least 10 days’ notice must be given by first class mail to shareholders.</w:t>
      </w:r>
    </w:p>
    <w:p>
      <w:pPr>
        <w:spacing w:after="0" w:line="188"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 Special Meetings</w:t>
      </w:r>
      <w:r>
        <w:rPr>
          <w:rFonts w:ascii="Times New Roman" w:cs="Times New Roman" w:eastAsia="Times New Roman" w:hAnsi="Times New Roman"/>
          <w:sz w:val="18"/>
          <w:szCs w:val="18"/>
          <w:color w:val="auto"/>
        </w:rPr>
        <w:t>. Except as otherwise specifically provided by statute, special meetings of the shareholders may be called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at any time by the board of directors or by any one or more shareholders owning, in the aggregate, not less than fifty percent of the stock of the association. Every such special meeting, unless otherwise provided by law, shall be called by mailing, postage prepaid, not less than 10 days nor more than 60 days prior to the date fixed for the meeting, to each shareholder at the address appearing on the books of the association a notice stating the purpose of the meeting.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may fix a record date for determining shareholders entitled to notice and to vote at any meeting, in reasonable proximity to the date of giving notice to the shareholders of such meeting. The record date for determining shareholders entitled to demand a special meeting is the date the first shareholder signs a demand for the meeting describing the purpose or purposes for which it is to be held.</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 special meeting may be called by shareholders or the board of directors to amend the articles of association or bylaws, whether or not such bylaws may be amended by the board of directors in the absence of shareholder approval.</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an annual or special shareholders' meeting is adjourned to a different date, time, or place, notice need not be given of the new date, time or place, if the new date, time or place is announced at the meeting before adjournment, unless any additional items of business are to be considered, or the association becomes aware of an intervening event materially affecting any matter to be voted on more than 10 days prior to the date to which the meeting is adjourned. If a new record date for the adjourned meeting is fixed, however, notice of the adjourned meeting must be given to persons who are shareholders as of the new record date. If, however, the meeting to elect the directors is adjourned before the election takes place, at least ten days’ notice of the new election must be given to the shareholders by first-class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353695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40" w:top="576" w:right="479" w:bottom="1440" w:gutter="0" w:footer="0" w:header="0"/>
        </w:sectPr>
      </w:pPr>
    </w:p>
    <w:bookmarkStart w:id="137" w:name="page138"/>
    <w:bookmarkEnd w:id="137"/>
    <w:p>
      <w:pPr>
        <w:ind w:right="1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3. Nominations of Directors</w:t>
      </w:r>
      <w:r>
        <w:rPr>
          <w:rFonts w:ascii="Times New Roman" w:cs="Times New Roman" w:eastAsia="Times New Roman" w:hAnsi="Times New Roman"/>
          <w:sz w:val="18"/>
          <w:szCs w:val="18"/>
          <w:color w:val="auto"/>
        </w:rPr>
        <w:t>. Nominations for election to the board of directors may be made by the board of directors or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 of any outstanding class of capital stock of the association entitled to vote for the election of directors. Nominations, other than those made by or on behalf of the existing management of the association, shall be made in writing and shall be delivered or mailed to the president of the association and the Comptroller of the Currency, Washington, D.C., not less than 14 days nor more than 50 days prior to any meeting of shareholders called for the election of directors;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less than 21 days' notice of the meeting is given to shareholders, such nomination shall be mailed or delivered to the president of the association not later than the close of business on the seventh day following the day on which the notice of meeting was mailed. Such notification shall contain the following information to the extent known to the notifying shareholder:</w:t>
      </w:r>
    </w:p>
    <w:p>
      <w:pPr>
        <w:spacing w:after="0" w:line="187" w:lineRule="exact"/>
        <w:rPr>
          <w:sz w:val="20"/>
          <w:szCs w:val="20"/>
          <w:color w:val="auto"/>
        </w:rPr>
      </w:pPr>
    </w:p>
    <w:p>
      <w:pPr>
        <w:ind w:left="1280" w:hanging="643"/>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each proposed nominee;</w:t>
      </w:r>
    </w:p>
    <w:p>
      <w:pPr>
        <w:spacing w:after="0" w:line="27"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of each proposed nominee;</w:t>
      </w:r>
    </w:p>
    <w:p>
      <w:pPr>
        <w:spacing w:after="0" w:line="9"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capital stock of the association that will be voted for each proposed nominee;</w:t>
      </w:r>
    </w:p>
    <w:p>
      <w:pPr>
        <w:spacing w:after="0" w:line="9"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residence of the notifying shareholder; and</w:t>
      </w:r>
    </w:p>
    <w:p>
      <w:pPr>
        <w:spacing w:after="0" w:line="9"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capital stock of the association owned by the notifying shareholder.</w:t>
      </w:r>
    </w:p>
    <w:p>
      <w:pPr>
        <w:spacing w:after="0" w:line="20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Nominations not made in accordance herewith may, in his/her discretion, be disregarded by the chairperson of the meeting, and upon his/her instructions, the vote tellers may disregard all votes cast for each such nominee.</w:t>
      </w:r>
    </w:p>
    <w:p>
      <w:pPr>
        <w:spacing w:after="0" w:line="158"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4. Proxies</w:t>
      </w:r>
      <w:r>
        <w:rPr>
          <w:rFonts w:ascii="Times New Roman" w:cs="Times New Roman" w:eastAsia="Times New Roman" w:hAnsi="Times New Roman"/>
          <w:sz w:val="18"/>
          <w:szCs w:val="18"/>
          <w:color w:val="auto"/>
        </w:rPr>
        <w:t>. Shareholders may vote at any meeting of the shareholders by proxies duly authorized in writing, but no officer or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association shall act as proxy. Proxies shall be valid only for one meeting, to be specified therein, and any adjournments of such meeting. Proxies shall be dated and filed with the records of the meeting. Proxies with facsimile signatures may be used and unexecuted proxies may be counted upon receipt of a written confirmation from the shareholder. Proxies meeting the above requirements submitted at any time during a meeting shall be accepted.</w:t>
      </w:r>
    </w:p>
    <w:p>
      <w:pPr>
        <w:spacing w:after="0" w:line="17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5. Quorum</w:t>
      </w:r>
      <w:r>
        <w:rPr>
          <w:rFonts w:ascii="Times New Roman" w:cs="Times New Roman" w:eastAsia="Times New Roman" w:hAnsi="Times New Roman"/>
          <w:sz w:val="18"/>
          <w:szCs w:val="18"/>
          <w:color w:val="auto"/>
        </w:rPr>
        <w:t>. A majority of the outstanding capital stock, represented in person or by proxy, shall constitute a quorum at any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unless otherwise provided by law, or by the shareholders or directors pursuant to Article IX, Section 2,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 or by the shareholders or directors pursuant to Article IX, Section 2. If a meeting for the election of directors is not held on the fixed date, at least 10 days’ notice must be given by first-class mail to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352425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576" w:right="439" w:bottom="1440" w:gutter="0" w:footer="0" w:header="0"/>
        </w:sectPr>
      </w:pPr>
    </w:p>
    <w:bookmarkStart w:id="138" w:name="page139"/>
    <w:bookmarkEnd w:id="138"/>
    <w:p>
      <w:pPr>
        <w:ind w:left="498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03" w:lineRule="exact"/>
        <w:rPr>
          <w:sz w:val="20"/>
          <w:szCs w:val="20"/>
          <w:color w:val="auto"/>
        </w:rPr>
      </w:pPr>
    </w:p>
    <w:p>
      <w:pPr>
        <w:ind w:right="40"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Section 1. Board of Directors</w:t>
      </w:r>
      <w:r>
        <w:rPr>
          <w:rFonts w:ascii="Times New Roman" w:cs="Times New Roman" w:eastAsia="Times New Roman" w:hAnsi="Times New Roman"/>
          <w:sz w:val="17"/>
          <w:szCs w:val="17"/>
          <w:color w:val="auto"/>
        </w:rPr>
        <w:t>. The board of directors shall have the power to manage and administer the business and affairs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association. Except as expressly limited by law, all corporate powers of the association shall be vested in and may be exercised by the board of directors.</w:t>
      </w:r>
    </w:p>
    <w:p>
      <w:pPr>
        <w:spacing w:after="0" w:line="132"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2. Number</w:t>
      </w:r>
      <w:r>
        <w:rPr>
          <w:rFonts w:ascii="Times New Roman" w:cs="Times New Roman" w:eastAsia="Times New Roman" w:hAnsi="Times New Roman"/>
          <w:sz w:val="18"/>
          <w:szCs w:val="18"/>
          <w:color w:val="auto"/>
        </w:rPr>
        <w:t>. The board of directors shall consist of not less than five nor more than twenty-five members, unless the OCC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exempted the bank from the 25-member limit. The exact number within such minimum and maximum limits is to be fixed and determined from time to time by resolution of a majority of the full board of directors or by resolution of a majority of the shareholders at any meeting thereof.</w:t>
      </w:r>
    </w:p>
    <w:p>
      <w:pPr>
        <w:spacing w:after="0" w:line="171"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3. Organization Meeting</w:t>
      </w:r>
      <w:r>
        <w:rPr>
          <w:rFonts w:ascii="Times New Roman" w:cs="Times New Roman" w:eastAsia="Times New Roman" w:hAnsi="Times New Roman"/>
          <w:sz w:val="18"/>
          <w:szCs w:val="18"/>
          <w:color w:val="auto"/>
        </w:rPr>
        <w:t>. The secretary or treasurer, upon receiving the certificate of the judges of the result of any election,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notify the directors-elect of their election and of the time at which they are required to meet at the main office of the association, or at such other place in the cities of Wilmington, Delaware or Buffalo, New York, to organize the new board of directors and elect and appoint officers of the association for the succeeding year. Such meeting shall be held on the day of the election or as soon thereafter as practicable, and, in any event, within 30 days thereof. If, at the time fixed for such meeting, there shall not be a quorum, the directors present may adjourn the meeting, from time to time, until a quorum is obtained.</w:t>
      </w:r>
    </w:p>
    <w:p>
      <w:pPr>
        <w:spacing w:after="0" w:line="182"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4. Regular Meetings</w:t>
      </w:r>
      <w:r>
        <w:rPr>
          <w:rFonts w:ascii="Times New Roman" w:cs="Times New Roman" w:eastAsia="Times New Roman" w:hAnsi="Times New Roman"/>
          <w:sz w:val="18"/>
          <w:szCs w:val="18"/>
          <w:color w:val="auto"/>
        </w:rPr>
        <w:t>. The Board of Directors may, at any time and from time to time, by resolution designate the place, date and hour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holding of a regular meeting, but in the absence of any such designation, regular meetings of the board of directors shall be held, without notice, on the first Tuesday of each March, June and September, and on the second Tuesday of each December at the main office or other such place as the board of directors may designate. When any regular meeting of the board of directors falls upon a holiday, the meeting shall be held on the next banking business day unless the board of directors shall designate another day.</w:t>
      </w:r>
    </w:p>
    <w:p>
      <w:pPr>
        <w:spacing w:after="0" w:line="179" w:lineRule="exact"/>
        <w:rPr>
          <w:sz w:val="20"/>
          <w:szCs w:val="20"/>
          <w:color w:val="auto"/>
        </w:rPr>
      </w:pPr>
    </w:p>
    <w:p>
      <w:pPr>
        <w:jc w:val="both"/>
        <w:ind w:right="2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5. Special Meetings</w:t>
      </w:r>
      <w:r>
        <w:rPr>
          <w:rFonts w:ascii="Times New Roman" w:cs="Times New Roman" w:eastAsia="Times New Roman" w:hAnsi="Times New Roman"/>
          <w:sz w:val="18"/>
          <w:szCs w:val="18"/>
          <w:color w:val="auto"/>
        </w:rPr>
        <w:t>. Special meetings of the board of directors may be called by the Chairman of the Board of the association, 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request of two or more directors. Each member of the board of directors shall be given notice by telegram, first class mail, or in person stating the time and place of each special meeting.</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6. Quorum</w:t>
      </w:r>
      <w:r>
        <w:rPr>
          <w:rFonts w:ascii="Times New Roman" w:cs="Times New Roman" w:eastAsia="Times New Roman" w:hAnsi="Times New Roman"/>
          <w:sz w:val="18"/>
          <w:szCs w:val="18"/>
          <w:color w:val="auto"/>
        </w:rPr>
        <w:t>. A majority of the entire board then in office shall constitute a quorum at any meeting, except when otherwise provided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or these bylaws, but a lesser number may adjourn any meeting, from time to time, and the meeting may be held, as adjourned, without further notice. If the number of directors present at the meeting is reduced below the number that would constitute a quorum, no business may be transacted, except selecting directors to fill vacancies in conformance with Article II, Section 7. If a quorum is present, the board of directors may take action through the vote of a majority of the directors who are in attendance.</w:t>
      </w:r>
    </w:p>
    <w:p>
      <w:pPr>
        <w:spacing w:after="0" w:line="179" w:lineRule="exact"/>
        <w:rPr>
          <w:sz w:val="20"/>
          <w:szCs w:val="20"/>
          <w:color w:val="auto"/>
        </w:rPr>
      </w:pPr>
    </w:p>
    <w:p>
      <w:pPr>
        <w:ind w:right="3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 Meetings by Conference Telephone. </w:t>
      </w:r>
      <w:r>
        <w:rPr>
          <w:rFonts w:ascii="Times New Roman" w:cs="Times New Roman" w:eastAsia="Times New Roman" w:hAnsi="Times New Roman"/>
          <w:sz w:val="18"/>
          <w:szCs w:val="18"/>
          <w:color w:val="auto"/>
        </w:rPr>
        <w:t>Any one or more members of the board of directors or any committee thereof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a meeting of such board or committees by means of a conference telephone or similar communications equipment allowing all persons participating in the meeting to hear each other at the same time. Participation in a meeting by such means shall constitute presence in person at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349250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576" w:right="439" w:bottom="1440" w:gutter="0" w:footer="0" w:header="0"/>
        </w:sectPr>
      </w:pPr>
    </w:p>
    <w:bookmarkStart w:id="139" w:name="page140"/>
    <w:bookmarkEnd w:id="139"/>
    <w:p>
      <w:pPr>
        <w:ind w:right="10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 Procedures</w:t>
      </w:r>
      <w:r>
        <w:rPr>
          <w:rFonts w:ascii="Times New Roman" w:cs="Times New Roman" w:eastAsia="Times New Roman" w:hAnsi="Times New Roman"/>
          <w:sz w:val="18"/>
          <w:szCs w:val="18"/>
          <w:color w:val="auto"/>
        </w:rPr>
        <w:t>. The order of business and all other matters of procedure at every meeting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person presiding at the meeting.</w:t>
      </w:r>
    </w:p>
    <w:p>
      <w:pPr>
        <w:spacing w:after="0" w:line="15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9. Removal of Directors</w:t>
      </w:r>
      <w:r>
        <w:rPr>
          <w:rFonts w:ascii="Times New Roman" w:cs="Times New Roman" w:eastAsia="Times New Roman" w:hAnsi="Times New Roman"/>
          <w:sz w:val="18"/>
          <w:szCs w:val="18"/>
          <w:color w:val="auto"/>
        </w:rPr>
        <w:t>. Any director may be removed for cause, at any meeting of stockholders notice of which shall have 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proposed action, by vote of the stockholders. Any director may be removed without cause, at any meeting of stockholders notice of which shall have referred to the proposed action, by the vote of the holders of a majority of the shares of the Corporation entitled to vote. Any director may be removed for cause, at any meeting of the directors notice of which shall have referred to the proposed action, by vote of a majority of the entire Board of Directors.</w:t>
      </w:r>
    </w:p>
    <w:p>
      <w:pPr>
        <w:spacing w:after="0" w:line="17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10. Vacancies</w:t>
      </w:r>
      <w:r>
        <w:rPr>
          <w:rFonts w:ascii="Times New Roman" w:cs="Times New Roman" w:eastAsia="Times New Roman" w:hAnsi="Times New Roman"/>
          <w:sz w:val="18"/>
          <w:szCs w:val="18"/>
          <w:color w:val="auto"/>
        </w:rPr>
        <w:t>. When any vacancy occurs among the directors, a majority of the remaining members of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 to the laws of the United States, may appoint a director to fill such vacancy at any regular meeting of the board of directors, or at a special meeting called for that purpose at which a quorum is present, or if the directors remaining in office constitute fewer than a quorum of the board of directors, by the affirmative vote of a majority of all the directors remaining in office, or by shareholders at a special meeting called for that purpose in conformance with Section 2 of Article I. At any such shareholder meeting, each shareholder entitled to vote shall have the right to multiply the number of votes he or she is entitled to cast by the number of vacancies being filled and cast the product for a single candidate or distribute the product among two or more candidates. A vacancy that will occur at a specific later date (by reason of a resignation effective at a later date) may be filled before the vacancy occurs but the new director may not take office until the vacancy occurs.</w:t>
      </w:r>
    </w:p>
    <w:p>
      <w:pPr>
        <w:spacing w:after="0" w:line="18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 of the Board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board of directors has power over and is solely responsible for the management, supervision, and administration of the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may delegate its power, but none of its responsibilities, to such persons or committees as the board may determine.</w:t>
      </w:r>
    </w:p>
    <w:p>
      <w:pPr>
        <w:spacing w:after="0" w:line="20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must formally ratify written policies authorized by committees of the board of directors before such policies become effective. Each committee must have one or more member(s), and who may be an officer of the association or an officer or director of any affiliate of the association, who serve at the pleasure of the board of directors. Provisions of the articles of association and these bylaws governing place of meetings, notice of meeting, quorum and voting requirements of the board of directors, apply to committees and their members as well. The creation of a committee and appointment of members to it must be approved by the board of directors.</w:t>
      </w:r>
    </w:p>
    <w:p>
      <w:pPr>
        <w:spacing w:after="0" w:line="17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 Loan Committee</w:t>
      </w:r>
      <w:r>
        <w:rPr>
          <w:rFonts w:ascii="Times New Roman" w:cs="Times New Roman" w:eastAsia="Times New Roman" w:hAnsi="Times New Roman"/>
          <w:sz w:val="18"/>
          <w:szCs w:val="18"/>
          <w:color w:val="auto"/>
        </w:rPr>
        <w:t>. There shall be a loan committee composed of not less than 2 directors, appointed by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annually or more often. The loan committee, on behalf of the bank, shall have power to discount and purchase bills, notes and other evidences of debt, to buy and sell bills of exchange, to examine and approve loans and discounts, to exercise authority regarding loans and discounts, and to exercise, when the board of directors is not in session, all other powers of the board of directors that may lawfully be delegated. The loan committee shall keep minutes of its meetings, and such minutes shall be submitted at the next regular meeting of the board of directors at which a quorum is present, and any action taken by the board of directors with respect thereto shall be entered in the minutes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352425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576" w:right="459" w:bottom="1440" w:gutter="0" w:footer="0" w:header="0"/>
        </w:sectPr>
      </w:pPr>
    </w:p>
    <w:bookmarkStart w:id="140" w:name="page141"/>
    <w:bookmarkEnd w:id="140"/>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2. Investment Committee</w:t>
      </w:r>
      <w:r>
        <w:rPr>
          <w:rFonts w:ascii="Times New Roman" w:cs="Times New Roman" w:eastAsia="Times New Roman" w:hAnsi="Times New Roman"/>
          <w:sz w:val="18"/>
          <w:szCs w:val="18"/>
          <w:color w:val="auto"/>
        </w:rPr>
        <w:t>. There shall be an investment committee composed of not less than 2 directors, appointed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annually or more often. The investment committee, on behalf of the bank, shall have the power to ensure adherence to the investment policy, to recommend amendments thereto, to purchase and sell securities, to exercise authority regarding investments and to exercise, when the board of directors is not in session, all other powers of the board of directors regarding investment securities that may be lawfully delegated. The investment committee shall keep minutes of its meetings, and such minutes shall be submitted at the next regular meeting of the board of directors at which a quorum is present, and any action taken by the board of directors with respect thereto shall be entered in the minutes of the board of directors.</w:t>
      </w:r>
    </w:p>
    <w:p>
      <w:pPr>
        <w:spacing w:after="0" w:line="182"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3. Examining Committee</w:t>
      </w:r>
      <w:r>
        <w:rPr>
          <w:rFonts w:ascii="Times New Roman" w:cs="Times New Roman" w:eastAsia="Times New Roman" w:hAnsi="Times New Roman"/>
          <w:sz w:val="18"/>
          <w:szCs w:val="18"/>
          <w:color w:val="auto"/>
        </w:rPr>
        <w:t>. There shall be an examining committee composed of not less than 2 directors, exclusive of any active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appointed by the board of directors annually or more often. The duty of that committee shall be to examine at least once during each calendar year and within 15 months of the last examination the affairs of the association or cause suitable examinations to be made by auditors responsible only to the board of directors and to report the result of such examination in writing to the board of directors at the next regular meeting thereafter. Such report shall state whether the association is in a sound condition, and whether adequate internal controls and procedures are being maintained and shall recommend to the board of directors such changes in the manner of conducting the affairs of the association as shall be deemed advisable.</w:t>
      </w:r>
    </w:p>
    <w:p>
      <w:pPr>
        <w:spacing w:after="0" w:line="18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provisions of the first paragraph of this section 3, the responsibility and authority of the Examining Committee may, if authorized by law, be given over to a duly constituted audit committee of the association's parent corporation by a resolution duly adopted by the board of directors.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Section 4. Trust Audit Committee. </w:t>
      </w:r>
      <w:r>
        <w:rPr>
          <w:rFonts w:ascii="Times New Roman" w:cs="Times New Roman" w:eastAsia="Times New Roman" w:hAnsi="Times New Roman"/>
          <w:sz w:val="18"/>
          <w:szCs w:val="18"/>
          <w:color w:val="auto"/>
        </w:rPr>
        <w:t>There shall be a trust audit committee in conformance with Section 1 of Article V.</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5. Other Committees</w:t>
      </w:r>
      <w:r>
        <w:rPr>
          <w:rFonts w:ascii="Times New Roman" w:cs="Times New Roman" w:eastAsia="Times New Roman" w:hAnsi="Times New Roman"/>
          <w:sz w:val="18"/>
          <w:szCs w:val="18"/>
          <w:color w:val="auto"/>
        </w:rPr>
        <w:t>. The board of directors may appoint, from time to time, from its own members, compensation, special litigation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committees of one or more persons, for such purposes and with such powers as the board of directors may determine.</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However, a committee may not:</w:t>
      </w:r>
    </w:p>
    <w:p>
      <w:pPr>
        <w:spacing w:after="0" w:line="225" w:lineRule="exact"/>
        <w:rPr>
          <w:sz w:val="20"/>
          <w:szCs w:val="20"/>
          <w:color w:val="auto"/>
        </w:rPr>
      </w:pPr>
    </w:p>
    <w:p>
      <w:pPr>
        <w:ind w:left="1280" w:hanging="636"/>
        <w:spacing w:after="0"/>
        <w:tabs>
          <w:tab w:leader="none" w:pos="1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distributions of assets or dividends;</w:t>
      </w:r>
    </w:p>
    <w:p>
      <w:pPr>
        <w:spacing w:after="0" w:line="27"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action required to be approved by shareholders;</w:t>
      </w:r>
    </w:p>
    <w:p>
      <w:pPr>
        <w:spacing w:after="0" w:line="9"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 vacancies on the board of directors or any of its committees;</w:t>
      </w:r>
    </w:p>
    <w:p>
      <w:pPr>
        <w:spacing w:after="0" w:line="9" w:lineRule="exact"/>
        <w:rPr>
          <w:sz w:val="20"/>
          <w:szCs w:val="20"/>
          <w:color w:val="auto"/>
        </w:rPr>
      </w:pPr>
    </w:p>
    <w:p>
      <w:pPr>
        <w:ind w:left="1280" w:hanging="636"/>
        <w:spacing w:after="0"/>
        <w:tabs>
          <w:tab w:leader="none" w:pos="12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articles of association;</w:t>
      </w:r>
    </w:p>
    <w:p>
      <w:pPr>
        <w:spacing w:after="0" w:line="9"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amend or repeal bylaws; or</w:t>
      </w:r>
    </w:p>
    <w:p>
      <w:pPr>
        <w:spacing w:after="0" w:line="9" w:lineRule="exact"/>
        <w:rPr>
          <w:sz w:val="20"/>
          <w:szCs w:val="20"/>
          <w:color w:val="auto"/>
        </w:rPr>
      </w:pPr>
    </w:p>
    <w:p>
      <w:pPr>
        <w:ind w:left="1300" w:right="80" w:hanging="656"/>
        <w:spacing w:after="0" w:line="260"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approve issuance or sale or contract for sale of shares, or determine the designation and relative rights, preferences and limitations of a class or series of shares.</w:t>
      </w:r>
    </w:p>
    <w:p>
      <w:pPr>
        <w:spacing w:after="0" w:line="177"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 Committee Members' Fees</w:t>
      </w:r>
      <w:r>
        <w:rPr>
          <w:rFonts w:ascii="Times New Roman" w:cs="Times New Roman" w:eastAsia="Times New Roman" w:hAnsi="Times New Roman"/>
          <w:sz w:val="18"/>
          <w:szCs w:val="18"/>
          <w:color w:val="auto"/>
        </w:rPr>
        <w:t>. Committee members may receive a fee for their services as committee members and traveling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out-of-pocket expenses incurred in attending any meeting of a committee of which they are a member. The fee may be a fixed sum to be paid for attending each meeting or a fixed sum to be paid quarterly, or semiannually, irrespective of the number of meetings attended or not attended. The amount of the fee and the basis on which it shall be paid shall be determined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349250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40" w:top="576" w:right="479" w:bottom="1440" w:gutter="0" w:footer="0" w:header="0"/>
        </w:sectPr>
      </w:pPr>
    </w:p>
    <w:bookmarkStart w:id="141" w:name="page142"/>
    <w:bookmarkEnd w:id="141"/>
    <w:p>
      <w:pPr>
        <w:ind w:left="496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u w:val="single" w:color="auto"/>
          <w:color w:val="auto"/>
        </w:rPr>
        <w:t>Officers and Employees</w:t>
      </w:r>
    </w:p>
    <w:p>
      <w:pPr>
        <w:spacing w:after="0" w:line="20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 Officers. </w:t>
      </w:r>
      <w:r>
        <w:rPr>
          <w:rFonts w:ascii="Times New Roman" w:cs="Times New Roman" w:eastAsia="Times New Roman" w:hAnsi="Times New Roman"/>
          <w:sz w:val="18"/>
          <w:szCs w:val="18"/>
          <w:color w:val="auto"/>
        </w:rPr>
        <w:t>The board of directors shall annually, at the Annual Reorganization Meeting of the board of directors following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the shareholders, appoint or elect a Chairperson of the Board, a Chief Executive Officer and a President, and one or more Vice Presidents, a Corporate Secretary, a Treasurer, a General Auditor, and such other officers as it may determine. At the Annual Reorganization Meeting, the board of directors shall also elect or reelect all of the officers of the association to hold office until the next Annual Reorganization Meeting. In the interim between Annual Reorganization Meetings, the board of directors may also elect or appoint a Chief Executive Officer, a President or such additional officers to the rank of Vice President, including (without limitation as to title or number) one or more Administrative Vice Presidents, Group Vice Presidents, Senior Vice Presidents and Executive Vice Presidents, and any other officer positions as they deem necessary and appropriate. The Chief Executive Officer of M&amp;T Bank, the head of the Human Resources Department of M&amp;T Bank, and any one executive Vice Chairman of M&amp;T Bank, acting jointly, may appoint one or more officers to the rank of Executive Vice President or Senior Vice President. The head of the Human Resources Department of M&amp;T Bank or his or her designee or designees, may appoint other officers up to the rank of Group Vice President, including (without limitation as to title or number) one or more Administrative Vice Presidents, Vice Presidents, Assistant Vice Presidents, Assistant Secretaries, Assistant Treasurers and Assistant Auditors, and any other officer positions as they deem necessary and appropriate. Each such person elected or appointed by the board of directors, the Chief Executive Officer of M&amp;T Bank, the head of the Human Resources Department of M&amp;T Bank, and an executive Vice Chairman of M&amp;T Bank, acting jointly, or the head of the Human Resources Department of M&amp;T Bank or his or her designee or designees, in between Annual Reorganization Meetings shall hold office until the next Annual Reorganization Meeting unless otherwise determined by the board of directors or such authorized officers.</w:t>
      </w:r>
    </w:p>
    <w:p>
      <w:pPr>
        <w:spacing w:after="0" w:line="19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7"/>
          <w:szCs w:val="17"/>
          <w:b w:val="1"/>
          <w:bCs w:val="1"/>
          <w:color w:val="auto"/>
        </w:rPr>
        <w:t>Section 2. Chairperson of the Board</w:t>
      </w:r>
      <w:r>
        <w:rPr>
          <w:rFonts w:ascii="Times New Roman" w:cs="Times New Roman" w:eastAsia="Times New Roman" w:hAnsi="Times New Roman"/>
          <w:sz w:val="17"/>
          <w:szCs w:val="17"/>
          <w:color w:val="auto"/>
        </w:rPr>
        <w:t>. The board of directors shall appoint one of its members to be the chairperson of the board to serve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its pleasure. Such person shall preside at all meetings of the board of directors. The chairperson of the board shall supervise the carrying out of the policies adopted or approved by the board of directors; shall have general executive powers, as well as the specific powers conferred by these bylaws; and shall also have and may exercise such further powers and duties as from time to time may be conferred upon or assigned by the board of directors.</w:t>
      </w:r>
    </w:p>
    <w:p>
      <w:pPr>
        <w:spacing w:after="0" w:line="16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7"/>
          <w:szCs w:val="17"/>
          <w:b w:val="1"/>
          <w:bCs w:val="1"/>
          <w:color w:val="auto"/>
        </w:rPr>
        <w:t>Section 3. President</w:t>
      </w:r>
      <w:r>
        <w:rPr>
          <w:rFonts w:ascii="Times New Roman" w:cs="Times New Roman" w:eastAsia="Times New Roman" w:hAnsi="Times New Roman"/>
          <w:sz w:val="17"/>
          <w:szCs w:val="17"/>
          <w:color w:val="auto"/>
        </w:rPr>
        <w:t>. The board of directors shall appoint one of its members to be the president of the association. In the absence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chairperson, the president shall preside at any meeting of the board of directors. The president shall have general executive powers and shall have and may exercise any and all other powers and duties pertaining by law, regulation, or practice to the office of president, or imposed by these bylaws. The president shall also have and may exercise such further powers and duties as from time to time may be conferred or assigned by the board of directors.</w:t>
      </w:r>
    </w:p>
    <w:p>
      <w:pPr>
        <w:spacing w:after="0" w:line="161"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4. Vice President</w:t>
      </w:r>
      <w:r>
        <w:rPr>
          <w:rFonts w:ascii="Times New Roman" w:cs="Times New Roman" w:eastAsia="Times New Roman" w:hAnsi="Times New Roman"/>
          <w:sz w:val="18"/>
          <w:szCs w:val="18"/>
          <w:color w:val="auto"/>
        </w:rPr>
        <w:t>. The board of directors may appoint one or more vice presidents. Each vice president shall have such powers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duties as may be assigned by the board of directors. One vice president shall be designated by the board of directors, in the absence of the president, to perform all the duties of the president.</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 Secretary</w:t>
      </w:r>
      <w:r>
        <w:rPr>
          <w:rFonts w:ascii="Times New Roman" w:cs="Times New Roman" w:eastAsia="Times New Roman" w:hAnsi="Times New Roman"/>
          <w:sz w:val="18"/>
          <w:szCs w:val="18"/>
          <w:color w:val="auto"/>
        </w:rPr>
        <w:t>. The board of directors shall appoint a secretary, treasurer, or other designated officer who shall be secretary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and of the association and who shall keep accurate minutes of all meetings. The secretary shall attend to the giving of all notices required by these bylaws; shall be custodian of the corporate seal, records, documents and papers of the association; shall provide for the keeping of proper records of all transactions of the association; shall have and may exercise any and all other powers and duties pertaining by law, regulation or practice to the office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350520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440" w:top="576" w:right="4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treasurer, or imposed by these bylaws; and shall also perform such other duties as may be assigned from time to time, by the board of directors.</w:t>
      </w:r>
    </w:p>
    <w:p>
      <w:pPr>
        <w:spacing w:after="0" w:line="221" w:lineRule="exact"/>
        <w:rPr>
          <w:sz w:val="20"/>
          <w:szCs w:val="20"/>
          <w:color w:val="auto"/>
        </w:rPr>
      </w:pPr>
    </w:p>
    <w:p>
      <w:pPr>
        <w:ind w:left="120"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6. Other Officers</w:t>
      </w:r>
      <w:r>
        <w:rPr>
          <w:rFonts w:ascii="Times New Roman" w:cs="Times New Roman" w:eastAsia="Times New Roman" w:hAnsi="Times New Roman"/>
          <w:sz w:val="18"/>
          <w:szCs w:val="18"/>
          <w:color w:val="auto"/>
        </w:rPr>
        <w:t>. The board of directors may appoint one or more assistant vice presidents, one or more trust officers,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assistant secretaries, one or more assistant treasurers, one or more managers and assistant managers of branches and such other officers and attorneys in fact as from time to time may appear to the board of directors to be required or desirable to transact the business of the association. Such officers shall respectively exercise such powers and perform such duties as pertain to their several offices, or as may be conferred upon or assigned to them by the board of directors, the chairperson of the board, or the president. The board of directors may authorize an officer to appoint one or more officers or assistant officers.</w:t>
      </w:r>
    </w:p>
    <w:p>
      <w:pPr>
        <w:spacing w:after="0" w:line="182" w:lineRule="exact"/>
        <w:rPr>
          <w:sz w:val="20"/>
          <w:szCs w:val="20"/>
          <w:color w:val="auto"/>
        </w:rPr>
      </w:pPr>
    </w:p>
    <w:p>
      <w:pPr>
        <w:ind w:left="100" w:right="2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7. Tenure of Office</w:t>
      </w:r>
      <w:r>
        <w:rPr>
          <w:rFonts w:ascii="Times New Roman" w:cs="Times New Roman" w:eastAsia="Times New Roman" w:hAnsi="Times New Roman"/>
          <w:sz w:val="18"/>
          <w:szCs w:val="18"/>
          <w:color w:val="auto"/>
        </w:rPr>
        <w:t>. The president and all other officers shall hold office for the current year for which the board of directors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unless they shall resign, become disqualified, or be removed; and any vacancy occurring in the office of president shall be filled promptly by the board of directors.</w:t>
      </w:r>
    </w:p>
    <w:p>
      <w:pPr>
        <w:spacing w:after="0" w:line="171" w:lineRule="exact"/>
        <w:rPr>
          <w:sz w:val="20"/>
          <w:szCs w:val="20"/>
          <w:color w:val="auto"/>
        </w:rPr>
      </w:pPr>
    </w:p>
    <w:p>
      <w:pPr>
        <w:ind w:left="100"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 Resignation</w:t>
      </w:r>
      <w:r>
        <w:rPr>
          <w:rFonts w:ascii="Times New Roman" w:cs="Times New Roman" w:eastAsia="Times New Roman" w:hAnsi="Times New Roman"/>
          <w:sz w:val="18"/>
          <w:szCs w:val="18"/>
          <w:color w:val="auto"/>
        </w:rPr>
        <w:t>. An officer may resign at any time by delivering notice to the association. A resignation is effective when the notice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unless the notice specifies a later effective date.</w:t>
      </w:r>
    </w:p>
    <w:p>
      <w:pPr>
        <w:spacing w:after="0" w:line="1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Fiduciary Activities</w:t>
      </w:r>
    </w:p>
    <w:p>
      <w:pPr>
        <w:spacing w:after="0" w:line="203" w:lineRule="exact"/>
        <w:rPr>
          <w:sz w:val="20"/>
          <w:szCs w:val="20"/>
          <w:color w:val="auto"/>
        </w:rPr>
      </w:pPr>
    </w:p>
    <w:p>
      <w:pPr>
        <w:ind w:left="1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 Trust Audit Committee. </w:t>
      </w:r>
      <w:r>
        <w:rPr>
          <w:rFonts w:ascii="Times New Roman" w:cs="Times New Roman" w:eastAsia="Times New Roman" w:hAnsi="Times New Roman"/>
          <w:sz w:val="18"/>
          <w:szCs w:val="18"/>
          <w:color w:val="auto"/>
        </w:rPr>
        <w:t>There shall be a Trust Audit Committee composed of not less than 2 directors, appointed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which shall, at least once during each calendar year make suitable audits of the association’s fiduciary activities or cause suitable audits to be made by auditors responsible only to the board, and at such time shall ascertain whether fiduciary powers have been administered according to law, Part 9 of the Regulations of the Comptroller of the Currency, and sound fiduciary principles. Such committee: (1) must not include any officers of the bank or an affiliate who participate significantly in the administration of the bank’s fiduciary activities; and (2) must consist of a majority of members who are not also members of any committee to which the board of directors has delegated power to manage and control the fiduciary activities of the bank.</w:t>
      </w:r>
    </w:p>
    <w:p>
      <w:pPr>
        <w:spacing w:after="0" w:line="186" w:lineRule="exact"/>
        <w:rPr>
          <w:sz w:val="20"/>
          <w:szCs w:val="20"/>
          <w:color w:val="auto"/>
        </w:rPr>
      </w:pPr>
    </w:p>
    <w:p>
      <w:pPr>
        <w:ind w:left="100" w:right="1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provisions of the first paragraph of this section 1, the responsibility and authority of the Trust Audit Committee may, if authorized by law, be given over to a duly constituted audit committee of the association’s parent corporation by a resolution duly adopted by the board of directors.</w:t>
      </w:r>
    </w:p>
    <w:p>
      <w:pPr>
        <w:spacing w:after="0" w:line="172" w:lineRule="exact"/>
        <w:rPr>
          <w:sz w:val="20"/>
          <w:szCs w:val="20"/>
          <w:color w:val="auto"/>
        </w:rPr>
      </w:pPr>
    </w:p>
    <w:p>
      <w:pPr>
        <w:ind w:left="100" w:right="10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 Fiduciary Files. </w:t>
      </w:r>
      <w:r>
        <w:rPr>
          <w:rFonts w:ascii="Times New Roman" w:cs="Times New Roman" w:eastAsia="Times New Roman" w:hAnsi="Times New Roman"/>
          <w:sz w:val="18"/>
          <w:szCs w:val="18"/>
          <w:color w:val="auto"/>
        </w:rPr>
        <w:t>There shall be maintained by the association all fiduciary records necessary to assure that its fiduciary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responsibilities have been properly undertaken and discharged.</w:t>
      </w:r>
    </w:p>
    <w:p>
      <w:pPr>
        <w:spacing w:after="0" w:line="155" w:lineRule="exact"/>
        <w:rPr>
          <w:sz w:val="20"/>
          <w:szCs w:val="20"/>
          <w:color w:val="auto"/>
        </w:rPr>
      </w:pPr>
    </w:p>
    <w:p>
      <w:pPr>
        <w:ind w:left="100" w:right="3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 Trust Investments. </w:t>
      </w:r>
      <w:r>
        <w:rPr>
          <w:rFonts w:ascii="Times New Roman" w:cs="Times New Roman" w:eastAsia="Times New Roman" w:hAnsi="Times New Roman"/>
          <w:sz w:val="18"/>
          <w:szCs w:val="18"/>
          <w:color w:val="auto"/>
        </w:rPr>
        <w:t>Funds held in a fiduciary capacity shall be invested according to the instrument establishing the fiduciary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 and applicable law. Where such instrument does not specify the character and class of investments to be made, but does vest in the association investment discretion, funds held pursuant to such instrument shall be invested in investments in which corporate fiduciaries may invest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143" w:name="page144"/>
    <w:bookmarkEnd w:id="14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Stock and Stock Certificates</w:t>
      </w:r>
    </w:p>
    <w:p>
      <w:pPr>
        <w:spacing w:after="0" w:line="20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 Transfers</w:t>
      </w:r>
      <w:r>
        <w:rPr>
          <w:rFonts w:ascii="Times New Roman" w:cs="Times New Roman" w:eastAsia="Times New Roman" w:hAnsi="Times New Roman"/>
          <w:sz w:val="18"/>
          <w:szCs w:val="18"/>
          <w:color w:val="auto"/>
        </w:rPr>
        <w:t>. Shares of stock shall be transferable on the books of the association, and a transfer book shall be kept in which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of stock shall be recorded. Every person becoming a shareholder by such transfer shall in proportion to such shareholder's shares, succeed to all rights of the prior holder of such shares. The board of directors may impose conditions upon the transfer of the stock reasonably calculated to simplify the work of the association with respect to stock transfers, voting at shareholder meetings and related matters and to protect it against fraudulent transfers.</w:t>
      </w:r>
    </w:p>
    <w:p>
      <w:pPr>
        <w:spacing w:after="0" w:line="179"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2. Stock Certificates</w:t>
      </w:r>
      <w:r>
        <w:rPr>
          <w:rFonts w:ascii="Times New Roman" w:cs="Times New Roman" w:eastAsia="Times New Roman" w:hAnsi="Times New Roman"/>
          <w:sz w:val="18"/>
          <w:szCs w:val="18"/>
          <w:color w:val="auto"/>
        </w:rPr>
        <w:t>. Certificates of stock shall bear the signature of the president (which may be engraved, printed or impressed)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signed manually or by facsimile process by the secretary, assistant secretary, treasurer, assistant treasurer, or any other officer appointed by the board of directors for that purpose, to be known as an authorized officer, and the seal of the association shall be engraved thereon. Each certificate shall recite on its face that the stock represented thereby is transferable only upon the books of the association properly endorsed.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board of directors may adopt or use procedures for replacing lost, stolen, or destroyed stock certificates as permitted by law.</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association may establish a procedure through which the beneficial owner of shares that are registered in the name of a nominee may be recognized by the association as the shareholder. The procedure may set forth:</w:t>
      </w:r>
    </w:p>
    <w:p>
      <w:pPr>
        <w:spacing w:after="0" w:line="162" w:lineRule="exact"/>
        <w:rPr>
          <w:sz w:val="20"/>
          <w:szCs w:val="20"/>
          <w:color w:val="auto"/>
        </w:rPr>
      </w:pPr>
    </w:p>
    <w:p>
      <w:pPr>
        <w:ind w:left="1280" w:hanging="643"/>
        <w:spacing w:after="0"/>
        <w:tabs>
          <w:tab w:leader="none" w:pos="12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types of nominees to which it applies;</w:t>
      </w:r>
    </w:p>
    <w:p>
      <w:pPr>
        <w:spacing w:after="0" w:line="27"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or privileges that the association recognizes in a beneficial owner;</w:t>
      </w:r>
    </w:p>
    <w:p>
      <w:pPr>
        <w:spacing w:after="0" w:line="9"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nominee may request the association to recognize the beneficial owner as the shareholder;</w:t>
      </w:r>
    </w:p>
    <w:p>
      <w:pPr>
        <w:spacing w:after="0" w:line="9"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that must be provided when the procedure is selected;</w:t>
      </w:r>
    </w:p>
    <w:p>
      <w:pPr>
        <w:spacing w:after="0" w:line="9"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the association will continue to recognize the beneficial owner as the shareholder;</w:t>
      </w:r>
    </w:p>
    <w:p>
      <w:pPr>
        <w:spacing w:after="0" w:line="9"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aspects of the rights and duties created.</w:t>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u w:val="single" w:color="auto"/>
          <w:color w:val="auto"/>
        </w:rPr>
        <w:t>Corporate Seal</w:t>
      </w:r>
    </w:p>
    <w:p>
      <w:pPr>
        <w:spacing w:after="0" w:line="203"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 Seal</w:t>
      </w:r>
      <w:r>
        <w:rPr>
          <w:rFonts w:ascii="Times New Roman" w:cs="Times New Roman" w:eastAsia="Times New Roman" w:hAnsi="Times New Roman"/>
          <w:sz w:val="18"/>
          <w:szCs w:val="18"/>
          <w:color w:val="auto"/>
        </w:rPr>
        <w:t>. The seal of the association shall be in such form as may be determined from time to time by the board of directors.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the treasurer, the secretary or any assistant treasurer or assistant secretary, or other officer thereunto designated by the board of directors shall have authority to affix the corporate seal to any document requiring such seal and to attest the same. The seal on any corporate obligation for the payment of money may be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212090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20" w:top="576" w:right="479" w:bottom="1440" w:gutter="0" w:footer="0" w:header="0"/>
        </w:sectPr>
      </w:pPr>
    </w:p>
    <w:bookmarkStart w:id="144" w:name="page145"/>
    <w:bookmarkEnd w:id="1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1. Fiscal Year</w:t>
      </w:r>
      <w:r>
        <w:rPr>
          <w:rFonts w:ascii="Times New Roman" w:cs="Times New Roman" w:eastAsia="Times New Roman" w:hAnsi="Times New Roman"/>
          <w:sz w:val="18"/>
          <w:szCs w:val="18"/>
          <w:color w:val="auto"/>
        </w:rPr>
        <w:t>. The fiscal year of the association shall be the calendar year.</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2. Execution of Instruments</w:t>
      </w:r>
      <w:r>
        <w:rPr>
          <w:rFonts w:ascii="Times New Roman" w:cs="Times New Roman" w:eastAsia="Times New Roman" w:hAnsi="Times New Roman"/>
          <w:sz w:val="18"/>
          <w:szCs w:val="18"/>
          <w:color w:val="auto"/>
        </w:rPr>
        <w:t>. All agreements, indentures, mortgages, deeds, conveyances, transfers, certificates, declarations, receipts,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discharges, releases, satisfactions, settlements, petitions, schedules, accounts, affidavits, bonds, undertakings, proxies and other instruments or documents may be signed, executed, acknowledged, verified, delivered or accepted on behalf of the association by the chairperson of the board, or the president, or any vice president, or the secretary, or the treasurer, or, if in connection with the exercise of fiduciary powers of the association, by any of those offices or by any trust officer. Any such instruments may also be executed, acknowledged, verified, delivered or accepted on behalf of the association in such other manner and by such other officers as the board of directors may from time to time direct. The provisions of this section 2 are supplementary to any other provision of these bylaws.</w:t>
      </w:r>
    </w:p>
    <w:p>
      <w:pPr>
        <w:spacing w:after="0" w:line="183"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 Records</w:t>
      </w:r>
      <w:r>
        <w:rPr>
          <w:rFonts w:ascii="Times New Roman" w:cs="Times New Roman" w:eastAsia="Times New Roman" w:hAnsi="Times New Roman"/>
          <w:sz w:val="18"/>
          <w:szCs w:val="18"/>
          <w:color w:val="auto"/>
        </w:rPr>
        <w:t>. The articles of association, the bylaws and the proceedings of all meetings of the shareholders, the board of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committees of the board of directors shall be recorded in appropriate minute books provided for that purpose. The minutes of each meeting shall be signed by the secretary, treasurer or other officer appointed to act as secretary of the meeting.</w:t>
      </w:r>
    </w:p>
    <w:p>
      <w:pPr>
        <w:spacing w:after="0" w:line="171" w:lineRule="exact"/>
        <w:rPr>
          <w:sz w:val="20"/>
          <w:szCs w:val="20"/>
          <w:color w:val="auto"/>
        </w:rPr>
      </w:pPr>
    </w:p>
    <w:p>
      <w:pPr>
        <w:jc w:val="both"/>
        <w:ind w:right="2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 Corporate Governance Procedures. </w:t>
      </w:r>
      <w:r>
        <w:rPr>
          <w:rFonts w:ascii="Times New Roman" w:cs="Times New Roman" w:eastAsia="Times New Roman" w:hAnsi="Times New Roman"/>
          <w:sz w:val="18"/>
          <w:szCs w:val="18"/>
          <w:color w:val="auto"/>
        </w:rPr>
        <w:t>To the extent not inconsistent with federal banking statutes and regulations, or safe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sound banking practices, the association may follow the Delaware General Corporation Law, Del. Code Ann. tit. 8 (1991, as amended 1994, and as amended thereafter) with respect to matters of corporate governance procedures.</w:t>
      </w:r>
    </w:p>
    <w:p>
      <w:pPr>
        <w:spacing w:after="0" w:line="171" w:lineRule="exact"/>
        <w:rPr>
          <w:sz w:val="20"/>
          <w:szCs w:val="20"/>
          <w:color w:val="auto"/>
        </w:rPr>
      </w:pPr>
    </w:p>
    <w:p>
      <w:pPr>
        <w:jc w:val="both"/>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Indemnification. </w:t>
      </w:r>
      <w:r>
        <w:rPr>
          <w:rFonts w:ascii="Times New Roman" w:cs="Times New Roman" w:eastAsia="Times New Roman" w:hAnsi="Times New Roman"/>
          <w:sz w:val="18"/>
          <w:szCs w:val="18"/>
          <w:color w:val="auto"/>
        </w:rPr>
        <w:t>For purposes of this Section 5 of Article VIII, the term “institution-affiliated party” shall mean any institution-affiliated party of the association as such term is defined in 12 U.S.C. 1813(u).</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Any institution-affiliated party (or his or her heirs, executors or administrators) may be indemnified or reimbursed by the association for reasonable expenses actually incurred in connection with any threatened, pending or completed actions or proceedings and appeals therein, whether civil, criminal, governmental, administrative or investigative, in accordance with and to the fullest extent permitted by law, as such law now or hereafter exists; provided, however, that when an administrative proceeding or action instituted by a federal banking agency results in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then the association shall require the repayment of all legal fees and expenses advanced pursuant to the next succeeding paragraph and may not indemnify such institution-affiliated parties (or their heirs, executors or administrators) for expenses, including expenses for legal fees, penalties or other payments incurred. The association shall provide indemnification in connection with an action or proceeding (or part thereof) initiated by an institution-affiliated party (or by his or her heirs, executors or administrators) only if such action or proceeding (or part thereof) was authorized by the board of directors.</w:t>
      </w:r>
    </w:p>
    <w:p>
      <w:pPr>
        <w:spacing w:after="0" w:line="192" w:lineRule="exact"/>
        <w:rPr>
          <w:sz w:val="20"/>
          <w:szCs w:val="20"/>
          <w:color w:val="auto"/>
        </w:rPr>
      </w:pPr>
    </w:p>
    <w:p>
      <w:pPr>
        <w:ind w:left="20" w:right="160" w:firstLine="648"/>
        <w:spacing w:after="0" w:line="261" w:lineRule="auto"/>
        <w:rPr>
          <w:sz w:val="20"/>
          <w:szCs w:val="20"/>
          <w:color w:val="auto"/>
        </w:rPr>
      </w:pPr>
      <w:r>
        <w:rPr>
          <w:rFonts w:ascii="Times New Roman" w:cs="Times New Roman" w:eastAsia="Times New Roman" w:hAnsi="Times New Roman"/>
          <w:sz w:val="18"/>
          <w:szCs w:val="18"/>
          <w:color w:val="auto"/>
        </w:rPr>
        <w:t>Expenses incurred by an institution-affiliated party (or by his or her heirs, executors or administrators) in connection with any action or proceeding under 12 U.S.C. 164 or 1818 may be paid by the association in advance of the final disposition of such action or proceeding upon (a) a determination by the board of directors acting by a quorum consisting of directors who are not parties to such action or proceeding that the institution-affiliated party (or his or her heirs, executors or administrators) has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348615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420" w:top="792" w:right="499" w:bottom="1440" w:gutter="0" w:footer="0" w:header="0"/>
        </w:sectPr>
      </w:pPr>
    </w:p>
    <w:bookmarkStart w:id="145" w:name="page146"/>
    <w:bookmarkEnd w:id="145"/>
    <w:p>
      <w:pPr>
        <w:spacing w:after="0" w:line="252" w:lineRule="auto"/>
        <w:rPr>
          <w:sz w:val="20"/>
          <w:szCs w:val="20"/>
          <w:color w:val="auto"/>
        </w:rPr>
      </w:pPr>
      <w:r>
        <w:rPr>
          <w:rFonts w:ascii="Times New Roman" w:cs="Times New Roman" w:eastAsia="Times New Roman" w:hAnsi="Times New Roman"/>
          <w:sz w:val="18"/>
          <w:szCs w:val="18"/>
          <w:color w:val="auto"/>
        </w:rPr>
        <w:t>reasonable basis for prevailing on the merits, (b) a determination that the indemnified individual (or his or her heirs, executors or administrators) will have the financial capacity to reimburse the bank in the event he or she does not prevail, (c) a determination that the payment of expenses and fees by the association will not adversely affect the safety and soundness of the association, and (d) receipt of an undertaking by or on behalf of such institution-affiliated party (or by his or her heirs, executors or administrators) to repay such advancement in the event of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In all other instances, expenses incurred by an institution-affiliated party (or by his or her heirs, executors or administrators) in connection with any action or proceeding as to which indemnification may be given under these articles of association may be paid by the association in advance of the final disposition of such action or proceeding upon (a) receipt of an undertaking by or on behalf of such institution-affiliated party (or by or on behalf of his or her heirs, executors or administrators) to repay such advancement in the event that such institution- affiliated party (or his or her heirs, executors or administrators) is ultimately found not to be entitled to indemnification as authorized by these bylaws and (b) approval by the board of directors acting by a quorum consisting of directors who are not parties to such action or proceeding or, if such a quorum is not obtainable, then approval by stockholders. To the extent permitted by law, the board of directors or, if applicable, the stockholders, shall not be required to find that the institution-affiliated party has met the applicable standard of conduct provided by law for indemnification in connection with such action or proceeding.</w:t>
      </w:r>
    </w:p>
    <w:p>
      <w:pPr>
        <w:spacing w:after="0" w:line="197" w:lineRule="exact"/>
        <w:rPr>
          <w:sz w:val="20"/>
          <w:szCs w:val="20"/>
          <w:color w:val="auto"/>
        </w:rPr>
      </w:pPr>
    </w:p>
    <w:p>
      <w:pPr>
        <w:ind w:left="120" w:right="120" w:firstLine="648"/>
        <w:spacing w:after="0" w:line="258" w:lineRule="auto"/>
        <w:rPr>
          <w:sz w:val="20"/>
          <w:szCs w:val="20"/>
          <w:color w:val="auto"/>
        </w:rPr>
      </w:pPr>
      <w:r>
        <w:rPr>
          <w:rFonts w:ascii="Times New Roman" w:cs="Times New Roman" w:eastAsia="Times New Roman" w:hAnsi="Times New Roman"/>
          <w:sz w:val="18"/>
          <w:szCs w:val="18"/>
          <w:color w:val="auto"/>
        </w:rPr>
        <w:t>In the event that a majority of the members of the board of directors are named as respondents in an administrative proceeding or civil action and request indemnification, the remaining members of the board may authorize independent legal counsel to review the indemnification request and provide the remaining members of the board with a written opinion of counsel as to whether the conditions delineated in the first four paragraphs of this Section 5 of Article VIII have been met. If independent legal counsel opines that said conditions have been met, the remaining members of the board of directors may rely on such opinion in authorizing the requested indemnification.</w:t>
      </w:r>
    </w:p>
    <w:p>
      <w:pPr>
        <w:spacing w:after="0" w:line="183" w:lineRule="exact"/>
        <w:rPr>
          <w:sz w:val="20"/>
          <w:szCs w:val="20"/>
          <w:color w:val="auto"/>
        </w:rPr>
      </w:pPr>
    </w:p>
    <w:p>
      <w:pPr>
        <w:ind w:left="120" w:right="180"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all of the members of the board of directors are named as respondents in an administrative proceeding or civil action and request indemnification, the board shall authorize independent legal counsel to review the indemnification request and provide the board with a written opinion of counsel as to whether the conditions delineated in the first four paragraphs of this Section 5 of Article VIII have been met. If legal counsel opines that said conditions have been met, the board of directors may rely on such opinion in authorizing the requested indemnification.</w:t>
      </w:r>
    </w:p>
    <w:p>
      <w:pPr>
        <w:spacing w:after="0" w:line="180" w:lineRule="exact"/>
        <w:rPr>
          <w:sz w:val="20"/>
          <w:szCs w:val="20"/>
          <w:color w:val="auto"/>
        </w:rPr>
      </w:pPr>
    </w:p>
    <w:p>
      <w:pPr>
        <w:ind w:left="120" w:right="100" w:firstLine="648"/>
        <w:spacing w:after="0" w:line="274" w:lineRule="auto"/>
        <w:rPr>
          <w:sz w:val="20"/>
          <w:szCs w:val="20"/>
          <w:color w:val="auto"/>
        </w:rPr>
      </w:pPr>
      <w:r>
        <w:rPr>
          <w:rFonts w:ascii="Times New Roman" w:cs="Times New Roman" w:eastAsia="Times New Roman" w:hAnsi="Times New Roman"/>
          <w:sz w:val="17"/>
          <w:szCs w:val="17"/>
          <w:color w:val="auto"/>
        </w:rPr>
        <w:t>To the extent permitted under applicable law, the rights of indemnification and to the advancement of expenses provided in these articles of association (a) shall be available with respect to events occurring prior to the adoption of these bylaws, (b) shall continue to exist after any restrictive amendment of these bylaws with respect to events occurring prior to such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association and the institution-affiliated party (or his or her heirs, executors or administrators) for whom such rights are sought were parties to a separate written agreement.</w:t>
      </w:r>
    </w:p>
    <w:p>
      <w:pPr>
        <w:spacing w:after="0" w:line="173" w:lineRule="exact"/>
        <w:rPr>
          <w:sz w:val="20"/>
          <w:szCs w:val="20"/>
          <w:color w:val="auto"/>
        </w:rPr>
      </w:pPr>
    </w:p>
    <w:p>
      <w:pPr>
        <w:ind w:left="120" w:right="220" w:firstLine="648"/>
        <w:spacing w:after="0" w:line="258" w:lineRule="auto"/>
        <w:rPr>
          <w:sz w:val="20"/>
          <w:szCs w:val="20"/>
          <w:color w:val="auto"/>
        </w:rPr>
      </w:pPr>
      <w:r>
        <w:rPr>
          <w:rFonts w:ascii="Times New Roman" w:cs="Times New Roman" w:eastAsia="Times New Roman" w:hAnsi="Times New Roman"/>
          <w:sz w:val="18"/>
          <w:szCs w:val="18"/>
          <w:color w:val="auto"/>
        </w:rPr>
        <w:t>The rights of indemnification and to the advancement of expenses provided in these bylaws shall not, to the extent permitted under applicable law, be deemed exclusive of any other rights to which any such institution-affiliated party (or his or her heirs, executors or administrators) may now or hereafter be otherwise entitled whether contained in the association’s articles of association, these bylaws, a resolution of stockholders, a resolution of the board of directors, or an agreement providing such indemnification, the creation of such other rights being hereby expressly authorized. Without limiting the generality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46" w:name="page147"/>
    <w:bookmarkEnd w:id="146"/>
    <w:p>
      <w:pPr>
        <w:spacing w:after="0" w:line="261" w:lineRule="auto"/>
        <w:rPr>
          <w:sz w:val="20"/>
          <w:szCs w:val="20"/>
          <w:color w:val="auto"/>
        </w:rPr>
      </w:pPr>
      <w:r>
        <w:rPr>
          <w:rFonts w:ascii="Times New Roman" w:cs="Times New Roman" w:eastAsia="Times New Roman" w:hAnsi="Times New Roman"/>
          <w:sz w:val="18"/>
          <w:szCs w:val="18"/>
          <w:color w:val="auto"/>
        </w:rPr>
        <w:t>foregoing, the rights of indemnification and to the advancement of expenses provided in these bylaws shall not be deemed exclusive of any rights, pursuant to statute or otherwise, of any such institution-affiliated party (or of his or her heirs, executors or administrators) in any such action or proceeding to have assessed or allowed in his or her favor, against the association or otherwise, his or her costs and expenses incurred therein or in connection therewith or any part thereof.</w:t>
      </w:r>
    </w:p>
    <w:p>
      <w:pPr>
        <w:spacing w:after="0" w:line="180" w:lineRule="exact"/>
        <w:rPr>
          <w:sz w:val="20"/>
          <w:szCs w:val="20"/>
          <w:color w:val="auto"/>
        </w:rPr>
      </w:pPr>
    </w:p>
    <w:p>
      <w:pPr>
        <w:ind w:left="120" w:right="400" w:firstLine="648"/>
        <w:spacing w:after="0" w:line="266" w:lineRule="auto"/>
        <w:rPr>
          <w:sz w:val="20"/>
          <w:szCs w:val="20"/>
          <w:color w:val="auto"/>
        </w:rPr>
      </w:pPr>
      <w:r>
        <w:rPr>
          <w:rFonts w:ascii="Times New Roman" w:cs="Times New Roman" w:eastAsia="Times New Roman" w:hAnsi="Times New Roman"/>
          <w:sz w:val="18"/>
          <w:szCs w:val="18"/>
          <w:color w:val="auto"/>
        </w:rPr>
        <w:t>If this Section 5 of Article VIII or any part hereof shall be held unenforceable in any respect by a court of competent jurisdiction, it shall be deemed modified to the minimum extent necessary to make it enforceable, and the remainder of this Section 5 of Article VIII shall remain fully enforceable.</w:t>
      </w:r>
    </w:p>
    <w:p>
      <w:pPr>
        <w:spacing w:after="0" w:line="176" w:lineRule="exact"/>
        <w:rPr>
          <w:sz w:val="20"/>
          <w:szCs w:val="20"/>
          <w:color w:val="auto"/>
        </w:rPr>
      </w:pPr>
    </w:p>
    <w:p>
      <w:pPr>
        <w:ind w:left="120" w:right="320" w:firstLine="648"/>
        <w:spacing w:after="0" w:line="261" w:lineRule="auto"/>
        <w:rPr>
          <w:sz w:val="20"/>
          <w:szCs w:val="20"/>
          <w:color w:val="auto"/>
        </w:rPr>
      </w:pPr>
      <w:r>
        <w:rPr>
          <w:rFonts w:ascii="Times New Roman" w:cs="Times New Roman" w:eastAsia="Times New Roman" w:hAnsi="Times New Roman"/>
          <w:sz w:val="18"/>
          <w:szCs w:val="18"/>
          <w:color w:val="auto"/>
        </w:rPr>
        <w:t>The association may, upon affirmative vote of a majority of its board of directors, purchase insurance to indemnify its institution-affiliated parties to the extent that such indemnification is allowed in these bylaws; provided, however, that no such insurance shall include coverage for a final order assessing civil money penalties against such persons by a bank regulatory agency. Such insurance may, but need not, be for the benefit of all institution- affiliated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47" w:name="page148"/>
    <w:bookmarkEnd w:id="14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Inspection and Amendments</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 Inspection</w:t>
      </w:r>
      <w:r>
        <w:rPr>
          <w:rFonts w:ascii="Times New Roman" w:cs="Times New Roman" w:eastAsia="Times New Roman" w:hAnsi="Times New Roman"/>
          <w:sz w:val="18"/>
          <w:szCs w:val="18"/>
          <w:color w:val="auto"/>
        </w:rPr>
        <w:t>. A copy of the bylaws of the association, with all amendments, shall at all times be kept in a convenient place at the 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of the association, and shall be open for inspection to all shareholders during banking hours.</w:t>
      </w:r>
    </w:p>
    <w:p>
      <w:pPr>
        <w:spacing w:after="0" w:line="15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2. Amendments</w:t>
      </w:r>
      <w:r>
        <w:rPr>
          <w:rFonts w:ascii="Times New Roman" w:cs="Times New Roman" w:eastAsia="Times New Roman" w:hAnsi="Times New Roman"/>
          <w:sz w:val="18"/>
          <w:szCs w:val="18"/>
          <w:color w:val="auto"/>
        </w:rPr>
        <w:t>. The bylaws of the association may be amended, altered or repealed, at any regular meeting of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vote of a majority of the total number of the directors except as provided below, and provided that the following language accompany any such change.</w:t>
      </w:r>
    </w:p>
    <w:p>
      <w:pPr>
        <w:spacing w:after="0" w:line="175" w:lineRule="exact"/>
        <w:rPr>
          <w:sz w:val="20"/>
          <w:szCs w:val="20"/>
          <w:color w:val="auto"/>
        </w:rPr>
      </w:pPr>
    </w:p>
    <w:p>
      <w:pPr>
        <w:ind w:left="640"/>
        <w:spacing w:after="0"/>
        <w:tabs>
          <w:tab w:leader="none" w:pos="1280" w:val="left"/>
          <w:tab w:leader="none" w:pos="716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 certify that: (1) I am the duly constituted (secretary or treasurer) of</w:t>
      </w:r>
      <w:r>
        <w:rPr>
          <w:sz w:val="20"/>
          <w:szCs w:val="20"/>
          <w:color w:val="auto"/>
        </w:rPr>
        <w:tab/>
      </w:r>
      <w:r>
        <w:rPr>
          <w:rFonts w:ascii="Times New Roman" w:cs="Times New Roman" w:eastAsia="Times New Roman" w:hAnsi="Times New Roman"/>
          <w:sz w:val="17"/>
          <w:szCs w:val="17"/>
          <w:color w:val="auto"/>
        </w:rPr>
        <w:t>and secretary of its board of directors, and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-7620</wp:posOffset>
            </wp:positionV>
            <wp:extent cx="314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314325" cy="8255"/>
                    </a:xfrm>
                    <a:prstGeom prst="rect">
                      <a:avLst/>
                    </a:prstGeom>
                    <a:noFill/>
                  </pic:spPr>
                </pic:pic>
              </a:graphicData>
            </a:graphic>
          </wp:anchor>
        </w:drawing>
        <w:drawing>
          <wp:anchor simplePos="0" relativeHeight="251657728" behindDoc="1" locked="0" layoutInCell="0" allowOverlap="1">
            <wp:simplePos x="0" y="0"/>
            <wp:positionH relativeFrom="column">
              <wp:posOffset>3924935</wp:posOffset>
            </wp:positionH>
            <wp:positionV relativeFrom="paragraph">
              <wp:posOffset>-7620</wp:posOffset>
            </wp:positionV>
            <wp:extent cx="6286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officer am the official custodian of its records; (2) the foregoing bylaws are the bylaws of the association, and all of them are now lawfully in force and effect.</w:t>
      </w:r>
    </w:p>
    <w:p>
      <w:pPr>
        <w:spacing w:after="0" w:line="181" w:lineRule="exact"/>
        <w:rPr>
          <w:sz w:val="20"/>
          <w:szCs w:val="20"/>
          <w:color w:val="auto"/>
        </w:rPr>
      </w:pPr>
    </w:p>
    <w:p>
      <w:pPr>
        <w:ind w:left="640"/>
        <w:spacing w:after="0"/>
        <w:tabs>
          <w:tab w:leader="none" w:pos="4900" w:val="left"/>
          <w:tab w:leader="none" w:pos="5900" w:val="left"/>
        </w:tabs>
        <w:rPr>
          <w:sz w:val="20"/>
          <w:szCs w:val="20"/>
          <w:color w:val="auto"/>
        </w:rPr>
      </w:pPr>
      <w:r>
        <w:rPr>
          <w:rFonts w:ascii="Times New Roman" w:cs="Times New Roman" w:eastAsia="Times New Roman" w:hAnsi="Times New Roman"/>
          <w:sz w:val="18"/>
          <w:szCs w:val="18"/>
          <w:color w:val="auto"/>
        </w:rPr>
        <w:t>I have hereunto affixed my official signature on this</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-7620</wp:posOffset>
            </wp:positionV>
            <wp:extent cx="314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314325" cy="825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-7620</wp:posOffset>
            </wp:positionV>
            <wp:extent cx="314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31432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291465</wp:posOffset>
            </wp:positionV>
            <wp:extent cx="255460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(Secretary or Treasurer)</w:t>
      </w:r>
    </w:p>
    <w:p>
      <w:pPr>
        <w:spacing w:after="0" w:line="22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association's shareholders may amend or repeal the bylaws even though the bylaws also may be amended or repealed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337185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20" w:top="576" w:right="47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EXHIBIT 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321(b) Consent</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Pursuant to Section 321(b) of the Trust Indenture Act of 1939, as amended, Wilmington Trust, National Association hereby consents that reports of examinations by Federal, State, Territorial or District authorities may be furnished by such authorities to the Securities and Exchange Commission upon requests therefor.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7380" w:type="dxa"/>
            <w:vAlign w:val="bottom"/>
            <w:gridSpan w:val="3"/>
          </w:tcPr>
          <w:p>
            <w:pPr>
              <w:ind w:left="2340"/>
              <w:spacing w:after="0"/>
              <w:rPr>
                <w:sz w:val="20"/>
                <w:szCs w:val="20"/>
                <w:color w:val="auto"/>
              </w:rPr>
            </w:pPr>
            <w:r>
              <w:rPr>
                <w:rFonts w:ascii="Times New Roman" w:cs="Times New Roman" w:eastAsia="Times New Roman" w:hAnsi="Times New Roman"/>
                <w:sz w:val="18"/>
                <w:szCs w:val="18"/>
                <w:b w:val="1"/>
                <w:bCs w:val="1"/>
                <w:color w:val="auto"/>
              </w:rPr>
              <w:t>WILMINGTON TRUST, NATIONAL ASSOCIATION</w:t>
            </w:r>
          </w:p>
        </w:tc>
      </w:tr>
      <w:tr>
        <w:trPr>
          <w:trHeight w:val="621"/>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Dated: May 23, 2022</w:t>
            </w:r>
          </w:p>
        </w:tc>
        <w:tc>
          <w:tcPr>
            <w:tcW w:w="30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Quinton M. DePompolo</w:t>
            </w:r>
          </w:p>
        </w:tc>
      </w:tr>
      <w:tr>
        <w:trPr>
          <w:trHeight w:val="218"/>
        </w:trPr>
        <w:tc>
          <w:tcPr>
            <w:tcW w:w="3860" w:type="dxa"/>
            <w:vAlign w:val="bottom"/>
          </w:tcPr>
          <w:p>
            <w:pPr>
              <w:spacing w:after="0"/>
              <w:rPr>
                <w:sz w:val="18"/>
                <w:szCs w:val="18"/>
                <w:color w:val="auto"/>
              </w:rPr>
            </w:pPr>
          </w:p>
        </w:tc>
        <w:tc>
          <w:tcPr>
            <w:tcW w:w="30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Name:</w:t>
            </w:r>
          </w:p>
        </w:tc>
        <w:tc>
          <w:tcPr>
            <w:tcW w:w="1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Quinton M. DePompolo</w:t>
            </w:r>
          </w:p>
        </w:tc>
        <w:tc>
          <w:tcPr>
            <w:tcW w:w="242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30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Assistant Vice President</w:t>
            </w:r>
          </w:p>
        </w:tc>
      </w:tr>
      <w:tr>
        <w:trPr>
          <w:trHeight w:val="351"/>
        </w:trPr>
        <w:tc>
          <w:tcPr>
            <w:tcW w:w="38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EXHIBIT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 E P O R T O F C O N D I T I O 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WILMINGTON TRUST, NATIONAL ASSOCIATION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the close of business on December 31, 2021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ASSETS</w:t>
            </w:r>
          </w:p>
        </w:tc>
        <w:tc>
          <w:tcPr>
            <w:tcW w:w="39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b w:val="1"/>
                <w:bCs w:val="1"/>
                <w:color w:val="auto"/>
              </w:rPr>
              <w:t>Thousands of Dollars</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11,805,778</w:t>
            </w:r>
          </w:p>
        </w:tc>
      </w:tr>
      <w:tr>
        <w:trPr>
          <w:trHeight w:val="216"/>
        </w:trPr>
        <w:tc>
          <w:tcPr>
            <w:tcW w:w="73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Securities:</w:t>
            </w:r>
          </w:p>
        </w:tc>
        <w:tc>
          <w:tcPr>
            <w:tcW w:w="39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5,946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 to resell:</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3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Loans and leases held for sale:</w:t>
            </w:r>
          </w:p>
        </w:tc>
        <w:tc>
          <w:tcPr>
            <w:tcW w:w="39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Loans and leases net of unearned income, allowance: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85,022</w:t>
            </w:r>
          </w:p>
        </w:tc>
      </w:tr>
      <w:tr>
        <w:trPr>
          <w:trHeight w:val="216"/>
        </w:trPr>
        <w:tc>
          <w:tcPr>
            <w:tcW w:w="73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Premises and fixed asset…</w:t>
            </w:r>
          </w:p>
        </w:tc>
        <w:tc>
          <w:tcPr>
            <w:tcW w:w="39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26,542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73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 and associated companies:</w:t>
            </w:r>
          </w:p>
        </w:tc>
        <w:tc>
          <w:tcPr>
            <w:tcW w:w="39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Direct and indirect investments in real estate ventures: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3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9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66,919</w:t>
            </w:r>
          </w:p>
        </w:tc>
      </w:tr>
      <w:tr>
        <w:trPr>
          <w:trHeight w:val="216"/>
        </w:trPr>
        <w:tc>
          <w:tcPr>
            <w:tcW w:w="73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9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11,990,636</w:t>
            </w:r>
          </w:p>
        </w:tc>
      </w:tr>
      <w:tr>
        <w:trPr>
          <w:trHeight w:val="148"/>
        </w:trPr>
        <w:tc>
          <w:tcPr>
            <w:tcW w:w="732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7320" w:type="dxa"/>
            <w:vAlign w:val="bottom"/>
            <w:shd w:val="clear" w:color="auto" w:fill="C0C0C0"/>
          </w:tcPr>
          <w:p>
            <w:pPr>
              <w:spacing w:after="0"/>
              <w:rPr>
                <w:sz w:val="12"/>
                <w:szCs w:val="12"/>
                <w:color w:val="auto"/>
              </w:rPr>
            </w:pPr>
          </w:p>
        </w:tc>
        <w:tc>
          <w:tcPr>
            <w:tcW w:w="3920" w:type="dxa"/>
            <w:vAlign w:val="bottom"/>
            <w:shd w:val="clear" w:color="auto" w:fill="C0C0C0"/>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946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b w:val="1"/>
                <w:bCs w:val="1"/>
                <w:color w:val="auto"/>
              </w:rPr>
              <w:t>Thousands of Dollars</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11,117,354</w:t>
            </w:r>
          </w:p>
        </w:tc>
      </w:tr>
      <w:tr>
        <w:trPr>
          <w:trHeight w:val="216"/>
        </w:trPr>
        <w:tc>
          <w:tcPr>
            <w:tcW w:w="75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tc>
        <w:tc>
          <w:tcPr>
            <w:tcW w:w="3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5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94,033</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11,211,387</w:t>
            </w:r>
          </w:p>
        </w:tc>
      </w:tr>
      <w:tr>
        <w:trPr>
          <w:trHeight w:val="148"/>
        </w:trPr>
        <w:tc>
          <w:tcPr>
            <w:tcW w:w="7540" w:type="dxa"/>
            <w:vAlign w:val="bottom"/>
            <w:shd w:val="clear" w:color="auto" w:fill="C0C0C0"/>
          </w:tcPr>
          <w:p>
            <w:pPr>
              <w:spacing w:after="0"/>
              <w:rPr>
                <w:sz w:val="12"/>
                <w:szCs w:val="12"/>
                <w:color w:val="auto"/>
              </w:rPr>
            </w:pPr>
          </w:p>
        </w:tc>
        <w:tc>
          <w:tcPr>
            <w:tcW w:w="3700" w:type="dxa"/>
            <w:vAlign w:val="bottom"/>
            <w:shd w:val="clear" w:color="auto" w:fill="C0C0C0"/>
          </w:tcPr>
          <w:p>
            <w:pPr>
              <w:spacing w:after="0"/>
              <w:rPr>
                <w:sz w:val="12"/>
                <w:szCs w:val="12"/>
                <w:color w:val="auto"/>
              </w:rPr>
            </w:pPr>
          </w:p>
        </w:tc>
      </w:tr>
      <w:tr>
        <w:trPr>
          <w:trHeight w:val="148"/>
        </w:trPr>
        <w:tc>
          <w:tcPr>
            <w:tcW w:w="754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49"/>
        </w:trPr>
        <w:tc>
          <w:tcPr>
            <w:tcW w:w="7540" w:type="dxa"/>
            <w:vAlign w:val="bottom"/>
            <w:shd w:val="clear" w:color="auto" w:fill="C0C0C0"/>
          </w:tcPr>
          <w:p>
            <w:pPr>
              <w:spacing w:after="0"/>
              <w:rPr>
                <w:sz w:val="12"/>
                <w:szCs w:val="12"/>
                <w:color w:val="auto"/>
              </w:rPr>
            </w:pPr>
          </w:p>
        </w:tc>
        <w:tc>
          <w:tcPr>
            <w:tcW w:w="3700" w:type="dxa"/>
            <w:vAlign w:val="bottom"/>
            <w:shd w:val="clear" w:color="auto" w:fill="C0C0C0"/>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939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2317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CAPITAL</w:t>
            </w:r>
          </w:p>
        </w:tc>
        <w:tc>
          <w:tcPr>
            <w:tcW w:w="21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b w:val="1"/>
                <w:bCs w:val="1"/>
                <w:color w:val="auto"/>
              </w:rPr>
              <w:t>Thousands of Dollars</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91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Surplus</w:t>
            </w:r>
          </w:p>
        </w:tc>
        <w:tc>
          <w:tcPr>
            <w:tcW w:w="21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523,768</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254,601</w:t>
            </w:r>
          </w:p>
        </w:tc>
      </w:tr>
      <w:tr>
        <w:trPr>
          <w:trHeight w:val="216"/>
        </w:trPr>
        <w:tc>
          <w:tcPr>
            <w:tcW w:w="91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1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Capital</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779,249</w:t>
            </w:r>
          </w:p>
        </w:tc>
      </w:tr>
      <w:tr>
        <w:trPr>
          <w:trHeight w:val="216"/>
        </w:trPr>
        <w:tc>
          <w:tcPr>
            <w:tcW w:w="91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Capital</w:t>
            </w:r>
          </w:p>
        </w:tc>
        <w:tc>
          <w:tcPr>
            <w:tcW w:w="21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11,990,636</w:t>
            </w:r>
          </w:p>
        </w:tc>
      </w:tr>
      <w:tr>
        <w:trPr>
          <w:trHeight w:val="1080"/>
        </w:trPr>
        <w:tc>
          <w:tcPr>
            <w:tcW w:w="9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50" w:name="page151"/>
    <w:bookmarkEnd w:id="150"/>
    <w:p>
      <w:pPr>
        <w:ind w:left="10360"/>
        <w:spacing w:after="0"/>
        <w:rPr>
          <w:sz w:val="20"/>
          <w:szCs w:val="20"/>
          <w:color w:val="auto"/>
        </w:rPr>
      </w:pPr>
      <w:r>
        <w:rPr>
          <w:rFonts w:ascii="Times New Roman" w:cs="Times New Roman" w:eastAsia="Times New Roman" w:hAnsi="Times New Roman"/>
          <w:sz w:val="18"/>
          <w:szCs w:val="18"/>
          <w:b w:val="1"/>
          <w:bCs w:val="1"/>
          <w:u w:val="single" w:color="auto"/>
          <w:color w:val="auto"/>
        </w:rPr>
        <w:t>Exhibit 107</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369"/>
        </w:trPr>
        <w:tc>
          <w:tcPr>
            <w:tcW w:w="1400" w:type="dxa"/>
            <w:vAlign w:val="bottom"/>
            <w:tcBorders>
              <w:top w:val="single" w:sz="8" w:color="auto"/>
              <w:left w:val="single" w:sz="8" w:color="auto"/>
              <w:right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1100" w:type="dxa"/>
            <w:vAlign w:val="bottom"/>
            <w:tcBorders>
              <w:top w:val="single" w:sz="8" w:color="auto"/>
              <w:right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Filing Fee</w:t>
            </w: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8"/>
              </w:rPr>
              <w:t>Fee</w:t>
            </w:r>
          </w:p>
        </w:tc>
        <w:tc>
          <w:tcPr>
            <w:tcW w:w="7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Proposed</w:t>
            </w:r>
          </w:p>
        </w:tc>
        <w:tc>
          <w:tcPr>
            <w:tcW w:w="78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90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4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Carry</w:t>
            </w:r>
          </w:p>
        </w:tc>
        <w:tc>
          <w:tcPr>
            <w:tcW w:w="6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Carry</w:t>
            </w:r>
          </w:p>
        </w:tc>
        <w:tc>
          <w:tcPr>
            <w:tcW w:w="70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Connection</w:t>
            </w: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Security</w:t>
            </w: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Calculation</w:t>
            </w:r>
          </w:p>
        </w:tc>
        <w:tc>
          <w:tcPr>
            <w:tcW w:w="7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Amount</w:t>
            </w:r>
          </w:p>
        </w:tc>
        <w:tc>
          <w:tcPr>
            <w:tcW w:w="80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Maximum</w:t>
            </w:r>
          </w:p>
        </w:tc>
        <w:tc>
          <w:tcPr>
            <w:tcW w:w="780" w:type="dxa"/>
            <w:vAlign w:val="bottom"/>
            <w:tcBorders>
              <w:right w:val="single" w:sz="8" w:color="auto"/>
            </w:tcBorders>
            <w:vMerge w:val="continue"/>
          </w:tcPr>
          <w:p>
            <w:pPr>
              <w:spacing w:after="0"/>
              <w:rPr>
                <w:sz w:val="12"/>
                <w:szCs w:val="12"/>
                <w:color w:val="auto"/>
              </w:rPr>
            </w:pPr>
          </w:p>
        </w:tc>
        <w:tc>
          <w:tcPr>
            <w:tcW w:w="4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8"/>
              </w:rPr>
              <w:t>Fee</w:t>
            </w:r>
          </w:p>
        </w:tc>
        <w:tc>
          <w:tcPr>
            <w:tcW w:w="9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Amount of</w:t>
            </w:r>
          </w:p>
        </w:tc>
        <w:tc>
          <w:tcPr>
            <w:tcW w:w="6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90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with Unsold</w:t>
            </w:r>
          </w:p>
        </w:tc>
        <w:tc>
          <w:tcPr>
            <w:tcW w:w="0" w:type="dxa"/>
            <w:vAlign w:val="bottom"/>
          </w:tcPr>
          <w:p>
            <w:pPr>
              <w:spacing w:after="0"/>
              <w:rPr>
                <w:sz w:val="1"/>
                <w:szCs w:val="1"/>
                <w:color w:val="auto"/>
              </w:rPr>
            </w:pPr>
          </w:p>
        </w:tc>
      </w:tr>
      <w:tr>
        <w:trPr>
          <w:trHeight w:val="149"/>
        </w:trPr>
        <w:tc>
          <w:tcPr>
            <w:tcW w:w="14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Security</w:t>
            </w:r>
          </w:p>
        </w:tc>
        <w:tc>
          <w:tcPr>
            <w:tcW w:w="110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or Carry</w:t>
            </w:r>
          </w:p>
        </w:tc>
        <w:tc>
          <w:tcPr>
            <w:tcW w:w="78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99"/>
              </w:rPr>
              <w:t>Offering</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Aggregate</w:t>
            </w:r>
          </w:p>
        </w:tc>
        <w:tc>
          <w:tcPr>
            <w:tcW w:w="44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6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0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Initial</w:t>
            </w:r>
          </w:p>
        </w:tc>
        <w:tc>
          <w:tcPr>
            <w:tcW w:w="90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Securities to</w:t>
            </w: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98"/>
              </w:rPr>
              <w:t>Class</w:t>
            </w:r>
          </w:p>
        </w:tc>
        <w:tc>
          <w:tcPr>
            <w:tcW w:w="144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Registered</w:t>
            </w:r>
          </w:p>
        </w:tc>
        <w:tc>
          <w:tcPr>
            <w:tcW w:w="80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Price Per</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Offering</w:t>
            </w:r>
          </w:p>
        </w:tc>
        <w:tc>
          <w:tcPr>
            <w:tcW w:w="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Rate</w:t>
            </w:r>
          </w:p>
        </w:tc>
        <w:tc>
          <w:tcPr>
            <w:tcW w:w="90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Registration</w:t>
            </w:r>
          </w:p>
        </w:tc>
        <w:tc>
          <w:tcPr>
            <w:tcW w:w="6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Form</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File</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Effective</w:t>
            </w:r>
          </w:p>
        </w:tc>
        <w:tc>
          <w:tcPr>
            <w:tcW w:w="90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be Carried</w:t>
            </w:r>
          </w:p>
        </w:tc>
        <w:tc>
          <w:tcPr>
            <w:tcW w:w="0" w:type="dxa"/>
            <w:vAlign w:val="bottom"/>
          </w:tcPr>
          <w:p>
            <w:pPr>
              <w:spacing w:after="0"/>
              <w:rPr>
                <w:sz w:val="1"/>
                <w:szCs w:val="1"/>
                <w:color w:val="auto"/>
              </w:rPr>
            </w:pPr>
          </w:p>
        </w:tc>
      </w:tr>
      <w:tr>
        <w:trPr>
          <w:trHeight w:val="193"/>
        </w:trPr>
        <w:tc>
          <w:tcPr>
            <w:tcW w:w="140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Type</w:t>
            </w:r>
          </w:p>
        </w:tc>
        <w:tc>
          <w:tcPr>
            <w:tcW w:w="110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8"/>
              </w:rPr>
              <w:t>Title</w:t>
            </w:r>
          </w:p>
        </w:tc>
        <w:tc>
          <w:tcPr>
            <w:tcW w:w="144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Rule (1)</w:t>
            </w:r>
          </w:p>
        </w:tc>
        <w:tc>
          <w:tcPr>
            <w:tcW w:w="78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(2)</w:t>
            </w:r>
          </w:p>
        </w:tc>
        <w:tc>
          <w:tcPr>
            <w:tcW w:w="80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8"/>
              </w:rPr>
              <w:t>Unit (2)</w:t>
            </w:r>
          </w:p>
        </w:tc>
        <w:tc>
          <w:tcPr>
            <w:tcW w:w="78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Price (2)</w:t>
            </w:r>
          </w:p>
        </w:tc>
        <w:tc>
          <w:tcPr>
            <w:tcW w:w="44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7"/>
              </w:rPr>
              <w:t>(1)</w:t>
            </w:r>
          </w:p>
        </w:tc>
        <w:tc>
          <w:tcPr>
            <w:tcW w:w="90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Fee (1)</w:t>
            </w:r>
          </w:p>
        </w:tc>
        <w:tc>
          <w:tcPr>
            <w:tcW w:w="68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7"/>
              </w:rPr>
              <w:t>Type</w:t>
            </w:r>
          </w:p>
        </w:tc>
        <w:tc>
          <w:tcPr>
            <w:tcW w:w="68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Number</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Date</w:t>
            </w:r>
          </w:p>
        </w:tc>
        <w:tc>
          <w:tcPr>
            <w:tcW w:w="90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Forward</w:t>
            </w:r>
          </w:p>
        </w:tc>
        <w:tc>
          <w:tcPr>
            <w:tcW w:w="0" w:type="dxa"/>
            <w:vAlign w:val="bottom"/>
          </w:tcPr>
          <w:p>
            <w:pPr>
              <w:spacing w:after="0"/>
              <w:rPr>
                <w:sz w:val="1"/>
                <w:szCs w:val="1"/>
                <w:color w:val="auto"/>
              </w:rPr>
            </w:pPr>
          </w:p>
        </w:tc>
      </w:tr>
      <w:tr>
        <w:trPr>
          <w:trHeight w:val="398"/>
        </w:trPr>
        <w:tc>
          <w:tcPr>
            <w:tcW w:w="1400" w:type="dxa"/>
            <w:vAlign w:val="bottom"/>
            <w:tcBorders>
              <w:left w:val="single" w:sz="8" w:color="auto"/>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center"/>
              <w:ind w:right="248"/>
              <w:spacing w:after="0"/>
              <w:rPr>
                <w:sz w:val="20"/>
                <w:szCs w:val="20"/>
                <w:color w:val="auto"/>
              </w:rPr>
            </w:pPr>
            <w:r>
              <w:rPr>
                <w:rFonts w:ascii="Times New Roman" w:cs="Times New Roman" w:eastAsia="Times New Roman" w:hAnsi="Times New Roman"/>
                <w:sz w:val="14"/>
                <w:szCs w:val="14"/>
                <w:color w:val="auto"/>
              </w:rPr>
              <w:t>Newly Registered Securities</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Fees to Be</w:t>
            </w:r>
          </w:p>
        </w:tc>
        <w:tc>
          <w:tcPr>
            <w:tcW w:w="6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Equity</w:t>
            </w:r>
          </w:p>
        </w:tc>
        <w:tc>
          <w:tcPr>
            <w:tcW w:w="11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Common Stock</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Rule 456(b) and</w:t>
            </w:r>
          </w:p>
        </w:tc>
        <w:tc>
          <w:tcPr>
            <w:tcW w:w="7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Paid</w:t>
            </w:r>
          </w:p>
        </w:tc>
        <w:tc>
          <w:tcPr>
            <w:tcW w:w="6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Rule 457(r)</w:t>
            </w:r>
          </w:p>
        </w:tc>
        <w:tc>
          <w:tcPr>
            <w:tcW w:w="7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00" w:type="dxa"/>
            <w:vAlign w:val="bottom"/>
            <w:tcBorders>
              <w:left w:val="single" w:sz="8" w:color="auto"/>
              <w:right w:val="single" w:sz="8" w:color="auto"/>
            </w:tcBorders>
            <w:vMerge w:val="continue"/>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400" w:type="dxa"/>
            <w:vAlign w:val="bottom"/>
            <w:tcBorders>
              <w:left w:val="single" w:sz="8" w:color="auto"/>
              <w:right w:val="single" w:sz="8" w:color="auto"/>
            </w:tcBorders>
          </w:tcPr>
          <w:p>
            <w:pPr>
              <w:spacing w:after="0"/>
              <w:rPr>
                <w:sz w:val="13"/>
                <w:szCs w:val="13"/>
                <w:color w:val="auto"/>
              </w:rPr>
            </w:pPr>
          </w:p>
        </w:tc>
        <w:tc>
          <w:tcPr>
            <w:tcW w:w="6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Equity</w:t>
            </w:r>
          </w:p>
        </w:tc>
        <w:tc>
          <w:tcPr>
            <w:tcW w:w="11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Preferred Stock</w:t>
            </w:r>
          </w:p>
        </w:tc>
        <w:tc>
          <w:tcPr>
            <w:tcW w:w="144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rPr>
              <w:t>Rule 456(b) and</w:t>
            </w:r>
          </w:p>
        </w:tc>
        <w:tc>
          <w:tcPr>
            <w:tcW w:w="7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400" w:type="dxa"/>
            <w:vAlign w:val="bottom"/>
            <w:tcBorders>
              <w:left w:val="single" w:sz="8" w:color="auto"/>
              <w:right w:val="single" w:sz="8" w:color="auto"/>
            </w:tcBorders>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Rule 457(r)</w:t>
            </w:r>
          </w:p>
        </w:tc>
        <w:tc>
          <w:tcPr>
            <w:tcW w:w="7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00" w:type="dxa"/>
            <w:vAlign w:val="bottom"/>
            <w:tcBorders>
              <w:left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400" w:type="dxa"/>
            <w:vAlign w:val="bottom"/>
            <w:tcBorders>
              <w:left w:val="single" w:sz="8" w:color="auto"/>
              <w:right w:val="single" w:sz="8" w:color="auto"/>
            </w:tcBorders>
          </w:tcPr>
          <w:p>
            <w:pPr>
              <w:spacing w:after="0"/>
              <w:rPr>
                <w:sz w:val="13"/>
                <w:szCs w:val="13"/>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Debt</w:t>
            </w:r>
          </w:p>
        </w:tc>
        <w:tc>
          <w:tcPr>
            <w:tcW w:w="1100" w:type="dxa"/>
            <w:vAlign w:val="bottom"/>
            <w:tcBorders>
              <w:righ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Debt Securities</w:t>
            </w:r>
          </w:p>
        </w:tc>
        <w:tc>
          <w:tcPr>
            <w:tcW w:w="144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rPr>
              <w:t>Rule 456(b) and</w:t>
            </w:r>
          </w:p>
        </w:tc>
        <w:tc>
          <w:tcPr>
            <w:tcW w:w="7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400" w:type="dxa"/>
            <w:vAlign w:val="bottom"/>
            <w:tcBorders>
              <w:left w:val="single" w:sz="8" w:color="auto"/>
              <w:right w:val="single" w:sz="8" w:color="auto"/>
            </w:tcBorders>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Rule 457(r)</w:t>
            </w:r>
          </w:p>
        </w:tc>
        <w:tc>
          <w:tcPr>
            <w:tcW w:w="7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00" w:type="dxa"/>
            <w:vAlign w:val="bottom"/>
            <w:tcBorders>
              <w:left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400" w:type="dxa"/>
            <w:vAlign w:val="bottom"/>
            <w:tcBorders>
              <w:left w:val="single" w:sz="8" w:color="auto"/>
              <w:right w:val="single" w:sz="8" w:color="auto"/>
            </w:tcBorders>
          </w:tcPr>
          <w:p>
            <w:pPr>
              <w:spacing w:after="0"/>
              <w:rPr>
                <w:sz w:val="13"/>
                <w:szCs w:val="13"/>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Debt</w:t>
            </w:r>
          </w:p>
        </w:tc>
        <w:tc>
          <w:tcPr>
            <w:tcW w:w="1100" w:type="dxa"/>
            <w:vAlign w:val="bottom"/>
            <w:tcBorders>
              <w:right w:val="single" w:sz="8" w:color="auto"/>
            </w:tcBorders>
          </w:tcPr>
          <w:p>
            <w:pPr>
              <w:jc w:val="center"/>
              <w:ind w:left="28"/>
              <w:spacing w:after="0" w:line="151" w:lineRule="exact"/>
              <w:rPr>
                <w:sz w:val="20"/>
                <w:szCs w:val="20"/>
                <w:color w:val="auto"/>
              </w:rPr>
            </w:pPr>
            <w:r>
              <w:rPr>
                <w:rFonts w:ascii="Times New Roman" w:cs="Times New Roman" w:eastAsia="Times New Roman" w:hAnsi="Times New Roman"/>
                <w:sz w:val="14"/>
                <w:szCs w:val="14"/>
                <w:color w:val="auto"/>
              </w:rPr>
              <w:t>Guarantees of</w:t>
            </w:r>
          </w:p>
        </w:tc>
        <w:tc>
          <w:tcPr>
            <w:tcW w:w="144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rPr>
              <w:t>Rule 456(b) and</w:t>
            </w:r>
          </w:p>
        </w:tc>
        <w:tc>
          <w:tcPr>
            <w:tcW w:w="7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400" w:type="dxa"/>
            <w:vAlign w:val="bottom"/>
            <w:tcBorders>
              <w:left w:val="single" w:sz="8" w:color="auto"/>
              <w:right w:val="single" w:sz="8" w:color="auto"/>
            </w:tcBorders>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Debt Securities</w:t>
            </w:r>
          </w:p>
        </w:tc>
        <w:tc>
          <w:tcPr>
            <w:tcW w:w="14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Rule 457(r) (3)</w:t>
            </w:r>
          </w:p>
        </w:tc>
        <w:tc>
          <w:tcPr>
            <w:tcW w:w="7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00" w:type="dxa"/>
            <w:vAlign w:val="bottom"/>
            <w:tcBorders>
              <w:left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400" w:type="dxa"/>
            <w:vAlign w:val="bottom"/>
            <w:tcBorders>
              <w:left w:val="single" w:sz="8" w:color="auto"/>
              <w:right w:val="single" w:sz="8" w:color="auto"/>
            </w:tcBorders>
          </w:tcPr>
          <w:p>
            <w:pPr>
              <w:spacing w:after="0"/>
              <w:rPr>
                <w:sz w:val="13"/>
                <w:szCs w:val="13"/>
                <w:color w:val="auto"/>
              </w:rPr>
            </w:pPr>
          </w:p>
        </w:tc>
        <w:tc>
          <w:tcPr>
            <w:tcW w:w="6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Borders>
              <w:right w:val="single" w:sz="8" w:color="auto"/>
            </w:tcBorders>
          </w:tcPr>
          <w:p>
            <w:pPr>
              <w:jc w:val="center"/>
              <w:ind w:left="8"/>
              <w:spacing w:after="0" w:line="151" w:lineRule="exact"/>
              <w:rPr>
                <w:sz w:val="20"/>
                <w:szCs w:val="20"/>
                <w:color w:val="auto"/>
              </w:rPr>
            </w:pPr>
            <w:r>
              <w:rPr>
                <w:rFonts w:ascii="Times New Roman" w:cs="Times New Roman" w:eastAsia="Times New Roman" w:hAnsi="Times New Roman"/>
                <w:sz w:val="14"/>
                <w:szCs w:val="14"/>
                <w:color w:val="auto"/>
              </w:rPr>
              <w:t>Depositary</w:t>
            </w:r>
          </w:p>
        </w:tc>
        <w:tc>
          <w:tcPr>
            <w:tcW w:w="144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rPr>
              <w:t>Rule 456(b) and</w:t>
            </w:r>
          </w:p>
        </w:tc>
        <w:tc>
          <w:tcPr>
            <w:tcW w:w="7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400" w:type="dxa"/>
            <w:vAlign w:val="bottom"/>
            <w:tcBorders>
              <w:left w:val="single" w:sz="8" w:color="auto"/>
              <w:right w:val="single" w:sz="8" w:color="auto"/>
            </w:tcBorders>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Shares</w:t>
            </w:r>
          </w:p>
        </w:tc>
        <w:tc>
          <w:tcPr>
            <w:tcW w:w="14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Rule 457(r)</w:t>
            </w:r>
          </w:p>
        </w:tc>
        <w:tc>
          <w:tcPr>
            <w:tcW w:w="7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00" w:type="dxa"/>
            <w:vAlign w:val="bottom"/>
            <w:tcBorders>
              <w:left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400" w:type="dxa"/>
            <w:vAlign w:val="bottom"/>
            <w:tcBorders>
              <w:left w:val="single" w:sz="8" w:color="auto"/>
              <w:right w:val="single" w:sz="8" w:color="auto"/>
            </w:tcBorders>
          </w:tcPr>
          <w:p>
            <w:pPr>
              <w:spacing w:after="0"/>
              <w:rPr>
                <w:sz w:val="13"/>
                <w:szCs w:val="13"/>
                <w:color w:val="auto"/>
              </w:rPr>
            </w:pPr>
          </w:p>
        </w:tc>
        <w:tc>
          <w:tcPr>
            <w:tcW w:w="6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Borders>
              <w:righ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Warrants</w:t>
            </w:r>
          </w:p>
        </w:tc>
        <w:tc>
          <w:tcPr>
            <w:tcW w:w="144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rPr>
              <w:t>Rule 456(b) and</w:t>
            </w:r>
          </w:p>
        </w:tc>
        <w:tc>
          <w:tcPr>
            <w:tcW w:w="7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400" w:type="dxa"/>
            <w:vAlign w:val="bottom"/>
            <w:tcBorders>
              <w:left w:val="single" w:sz="8" w:color="auto"/>
              <w:right w:val="single" w:sz="8" w:color="auto"/>
            </w:tcBorders>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Rule 457(r)</w:t>
            </w:r>
          </w:p>
        </w:tc>
        <w:tc>
          <w:tcPr>
            <w:tcW w:w="7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00" w:type="dxa"/>
            <w:vAlign w:val="bottom"/>
            <w:tcBorders>
              <w:left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400" w:type="dxa"/>
            <w:vAlign w:val="bottom"/>
            <w:tcBorders>
              <w:left w:val="single" w:sz="8" w:color="auto"/>
              <w:right w:val="single" w:sz="8" w:color="auto"/>
            </w:tcBorders>
          </w:tcPr>
          <w:p>
            <w:pPr>
              <w:spacing w:after="0"/>
              <w:rPr>
                <w:sz w:val="13"/>
                <w:szCs w:val="13"/>
                <w:color w:val="auto"/>
              </w:rPr>
            </w:pPr>
          </w:p>
        </w:tc>
        <w:tc>
          <w:tcPr>
            <w:tcW w:w="6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Borders>
              <w:right w:val="single" w:sz="8" w:color="auto"/>
            </w:tcBorders>
          </w:tcPr>
          <w:p>
            <w:pPr>
              <w:jc w:val="center"/>
              <w:ind w:left="28"/>
              <w:spacing w:after="0" w:line="151" w:lineRule="exact"/>
              <w:rPr>
                <w:sz w:val="20"/>
                <w:szCs w:val="20"/>
                <w:color w:val="auto"/>
              </w:rPr>
            </w:pPr>
            <w:r>
              <w:rPr>
                <w:rFonts w:ascii="Times New Roman" w:cs="Times New Roman" w:eastAsia="Times New Roman" w:hAnsi="Times New Roman"/>
                <w:sz w:val="14"/>
                <w:szCs w:val="14"/>
                <w:color w:val="auto"/>
              </w:rPr>
              <w:t>Purchase</w:t>
            </w:r>
          </w:p>
        </w:tc>
        <w:tc>
          <w:tcPr>
            <w:tcW w:w="144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rPr>
              <w:t>Rule 456(b) and</w:t>
            </w:r>
          </w:p>
        </w:tc>
        <w:tc>
          <w:tcPr>
            <w:tcW w:w="7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400" w:type="dxa"/>
            <w:vAlign w:val="bottom"/>
            <w:tcBorders>
              <w:left w:val="single" w:sz="8" w:color="auto"/>
              <w:right w:val="single" w:sz="8" w:color="auto"/>
            </w:tcBorders>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Contracts</w:t>
            </w:r>
          </w:p>
        </w:tc>
        <w:tc>
          <w:tcPr>
            <w:tcW w:w="14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Rule 457(r)</w:t>
            </w:r>
          </w:p>
        </w:tc>
        <w:tc>
          <w:tcPr>
            <w:tcW w:w="7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00" w:type="dxa"/>
            <w:vAlign w:val="bottom"/>
            <w:tcBorders>
              <w:left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400" w:type="dxa"/>
            <w:vAlign w:val="bottom"/>
            <w:tcBorders>
              <w:left w:val="single" w:sz="8" w:color="auto"/>
              <w:right w:val="single" w:sz="8" w:color="auto"/>
            </w:tcBorders>
          </w:tcPr>
          <w:p>
            <w:pPr>
              <w:spacing w:after="0"/>
              <w:rPr>
                <w:sz w:val="13"/>
                <w:szCs w:val="13"/>
                <w:color w:val="auto"/>
              </w:rPr>
            </w:pPr>
          </w:p>
        </w:tc>
        <w:tc>
          <w:tcPr>
            <w:tcW w:w="6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8"/>
              </w:rPr>
              <w:t>Units</w:t>
            </w:r>
          </w:p>
        </w:tc>
        <w:tc>
          <w:tcPr>
            <w:tcW w:w="144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rPr>
              <w:t>Rule 456(b) and</w:t>
            </w:r>
          </w:p>
        </w:tc>
        <w:tc>
          <w:tcPr>
            <w:tcW w:w="7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400" w:type="dxa"/>
            <w:vAlign w:val="bottom"/>
            <w:tcBorders>
              <w:left w:val="single" w:sz="8" w:color="auto"/>
              <w:right w:val="single" w:sz="8" w:color="auto"/>
            </w:tcBorders>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Rule 457(r)</w:t>
            </w:r>
          </w:p>
        </w:tc>
        <w:tc>
          <w:tcPr>
            <w:tcW w:w="7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Fees</w:t>
            </w:r>
          </w:p>
        </w:tc>
        <w:tc>
          <w:tcPr>
            <w:tcW w:w="6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N/A</w:t>
            </w:r>
          </w:p>
        </w:tc>
        <w:tc>
          <w:tcPr>
            <w:tcW w:w="1100" w:type="dxa"/>
            <w:vAlign w:val="bottom"/>
            <w:tcBorders>
              <w:righ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N/A</w:t>
            </w:r>
          </w:p>
        </w:tc>
        <w:tc>
          <w:tcPr>
            <w:tcW w:w="14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N/A</w:t>
            </w:r>
          </w:p>
        </w:tc>
        <w:tc>
          <w:tcPr>
            <w:tcW w:w="7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N/A</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4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N/A</w:t>
            </w:r>
          </w:p>
        </w:tc>
        <w:tc>
          <w:tcPr>
            <w:tcW w:w="9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N/A</w:t>
            </w:r>
          </w:p>
        </w:tc>
        <w:tc>
          <w:tcPr>
            <w:tcW w:w="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0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66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44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Paid</w:t>
            </w:r>
          </w:p>
        </w:tc>
        <w:tc>
          <w:tcPr>
            <w:tcW w:w="6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400" w:type="dxa"/>
            <w:vAlign w:val="bottom"/>
            <w:tcBorders>
              <w:left w:val="single" w:sz="8" w:color="auto"/>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center"/>
              <w:ind w:right="228"/>
              <w:spacing w:after="0"/>
              <w:rPr>
                <w:sz w:val="20"/>
                <w:szCs w:val="20"/>
                <w:color w:val="auto"/>
              </w:rPr>
            </w:pPr>
            <w:r>
              <w:rPr>
                <w:rFonts w:ascii="Times New Roman" w:cs="Times New Roman" w:eastAsia="Times New Roman" w:hAnsi="Times New Roman"/>
                <w:sz w:val="14"/>
                <w:szCs w:val="14"/>
                <w:color w:val="auto"/>
              </w:rPr>
              <w:t>Carry Forward Securities</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6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N/A</w:t>
            </w:r>
          </w:p>
        </w:tc>
        <w:tc>
          <w:tcPr>
            <w:tcW w:w="1100" w:type="dxa"/>
            <w:vAlign w:val="bottom"/>
            <w:tcBorders>
              <w:righ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N/A</w:t>
            </w:r>
          </w:p>
        </w:tc>
        <w:tc>
          <w:tcPr>
            <w:tcW w:w="14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N/A</w:t>
            </w:r>
          </w:p>
        </w:tc>
        <w:tc>
          <w:tcPr>
            <w:tcW w:w="7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4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N/A</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9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66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6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Total Offering Amounts</w:t>
            </w:r>
          </w:p>
        </w:tc>
        <w:tc>
          <w:tcPr>
            <w:tcW w:w="14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4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N/A</w:t>
            </w:r>
          </w:p>
        </w:tc>
        <w:tc>
          <w:tcPr>
            <w:tcW w:w="6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Total Fees Previously Paid</w:t>
            </w:r>
          </w:p>
        </w:tc>
        <w:tc>
          <w:tcPr>
            <w:tcW w:w="14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N/A</w:t>
            </w:r>
          </w:p>
        </w:tc>
        <w:tc>
          <w:tcPr>
            <w:tcW w:w="6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Total Fee Offsets</w:t>
            </w:r>
          </w:p>
        </w:tc>
        <w:tc>
          <w:tcPr>
            <w:tcW w:w="14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N/A</w:t>
            </w:r>
          </w:p>
        </w:tc>
        <w:tc>
          <w:tcPr>
            <w:tcW w:w="6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Net Fee Due</w:t>
            </w:r>
          </w:p>
        </w:tc>
        <w:tc>
          <w:tcPr>
            <w:tcW w:w="14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N/A</w:t>
            </w:r>
          </w:p>
        </w:tc>
        <w:tc>
          <w:tcPr>
            <w:tcW w:w="6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0" w:right="380" w:firstLine="9"/>
        <w:spacing w:after="0" w:line="289" w:lineRule="auto"/>
        <w:tabs>
          <w:tab w:leader="none" w:pos="33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Rules 456(b) and 457(r) under the Securities Act of 1933, as amended, Reynolds Consumer Products Inc. (“RCP”) is deferring payment of all of the registration fee. Registration fees will be paid subsequently on a “pay as you go” basis. RCP will calculate the registration fee applicable to an offer of securities pursuant to this Registration Statement based on the fee payment rate in effect on the date of such fee payment.</w:t>
      </w:r>
    </w:p>
    <w:p>
      <w:pPr>
        <w:spacing w:after="0" w:line="157" w:lineRule="exact"/>
        <w:rPr>
          <w:rFonts w:ascii="Times New Roman" w:cs="Times New Roman" w:eastAsia="Times New Roman" w:hAnsi="Times New Roman"/>
          <w:sz w:val="17"/>
          <w:szCs w:val="17"/>
          <w:color w:val="auto"/>
        </w:rPr>
      </w:pPr>
    </w:p>
    <w:p>
      <w:pPr>
        <w:ind w:left="80" w:right="200" w:firstLine="9"/>
        <w:spacing w:after="0" w:line="266"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and number or amount of the securities of each identified class is being registered as may from time to time be issued at indeterminate prices, including securities that may be issued upon exercise, conversion, settlement or exchange of, any securities offered hereunder.</w:t>
      </w:r>
    </w:p>
    <w:p>
      <w:pPr>
        <w:spacing w:after="0" w:line="175" w:lineRule="exact"/>
        <w:rPr>
          <w:rFonts w:ascii="Times New Roman" w:cs="Times New Roman" w:eastAsia="Times New Roman" w:hAnsi="Times New Roman"/>
          <w:sz w:val="18"/>
          <w:szCs w:val="18"/>
          <w:color w:val="auto"/>
        </w:rPr>
      </w:pPr>
    </w:p>
    <w:p>
      <w:pPr>
        <w:ind w:left="80" w:right="460" w:firstLine="9"/>
        <w:spacing w:after="0" w:line="282"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separate consideration will be received for the guarantees of securities being registered. In accordance with Rule 457(n), no registration fee is payable with respect to such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60"/>
      </w:cols>
      <w:pgMar w:left="320" w:top="11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1)"/>
      <w:numFmt w:val="lowerLetter"/>
      <w:start w:val="1"/>
    </w:lvl>
    <w:lvl w:ilvl="1">
      <w:lvlJc w:val="left"/>
      <w:lvlText w:val="(%2)"/>
      <w:numFmt w:val="lowerRoman"/>
      <w:start w:val="1"/>
    </w:lvl>
  </w:abstractNum>
  <w:abstractNum w:abstractNumId="17">
    <w:nsid w:val="749ABB43"/>
    <w:multiLevelType w:val="hybridMultilevel"/>
    <w:lvl w:ilvl="0">
      <w:lvlJc w:val="left"/>
      <w:lvlText w:val="(%1)"/>
      <w:numFmt w:val="decimal"/>
      <w:start w:val="2"/>
    </w:lvl>
    <w:lvl w:ilvl="1">
      <w:lvlJc w:val="left"/>
      <w:lvlText w:val="(%2)"/>
      <w:numFmt w:val="lowerRoman"/>
      <w:start w:val="1"/>
    </w:lvl>
  </w:abstractNum>
  <w:abstractNum w:abstractNumId="18">
    <w:nsid w:val="3DC240FB"/>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9">
    <w:nsid w:val="1BA026F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0">
    <w:nsid w:val="79A1DEAA"/>
    <w:multiLevelType w:val="hybridMultilevel"/>
    <w:lvl w:ilvl="0">
      <w:lvlJc w:val="left"/>
      <w:lvlText w:val="**"/>
      <w:numFmt w:val="bullet"/>
      <w:start w:val="1"/>
    </w:lvl>
    <w:lvl w:ilvl="1">
      <w:lvlJc w:val="left"/>
      <w:lvlText w:val="%2"/>
      <w:numFmt w:val="decimal"/>
      <w:start w:val="107"/>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6"/>
    </w:lvl>
  </w:abstractNum>
  <w:abstractNum w:abstractNumId="23">
    <w:nsid w:val="70C6A529"/>
    <w:multiLevelType w:val="hybridMultilevel"/>
    <w:lvl w:ilvl="0">
      <w:lvlJc w:val="left"/>
      <w:lvlText w:val="(%1)"/>
      <w:numFmt w:val="lowerLetter"/>
      <w:start w:val="2"/>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1)"/>
      <w:numFmt w:val="decimal"/>
      <w:start w:val="12"/>
    </w:lvl>
  </w:abstractNum>
  <w:abstractNum w:abstractNumId="29">
    <w:nsid w:val="275AC794"/>
    <w:multiLevelType w:val="hybridMultilevel"/>
    <w:lvl w:ilvl="0">
      <w:lvlJc w:val="left"/>
      <w:lvlText w:val="(%1)"/>
      <w:numFmt w:val="decimal"/>
      <w:start w:val="18"/>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1)"/>
      <w:numFmt w:val="decimal"/>
      <w:start w:val="3"/>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1)"/>
      <w:numFmt w:val="decimal"/>
      <w:start w:val="2"/>
    </w:lvl>
  </w:abstractNum>
  <w:abstractNum w:abstractNumId="35">
    <w:nsid w:val="354FE9F9"/>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36">
    <w:nsid w:val="15B5AF5C"/>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37">
    <w:nsid w:val="741226BB"/>
    <w:multiLevelType w:val="hybridMultilevel"/>
    <w:lvl w:ilvl="0">
      <w:lvlJc w:val="left"/>
      <w:lvlText w:val="(%1)"/>
      <w:numFmt w:val="decimal"/>
      <w:start w:val="2"/>
    </w:lvl>
  </w:abstractNum>
  <w:abstractNum w:abstractNumId="38">
    <w:nsid w:val="D34B6A8"/>
    <w:multiLevelType w:val="hybridMultilevel"/>
    <w:lvl w:ilvl="0">
      <w:lvlJc w:val="left"/>
      <w:lvlText w:val="(%1)"/>
      <w:numFmt w:val="decimal"/>
      <w:start w:val="1"/>
    </w:lvl>
  </w:abstractNum>
  <w:abstractNum w:abstractNumId="39">
    <w:nsid w:val="10233C99"/>
    <w:multiLevelType w:val="hybridMultilevel"/>
    <w:lvl w:ilvl="0">
      <w:lvlJc w:val="left"/>
      <w:lvlText w:val="(%1)"/>
      <w:numFmt w:val="decimal"/>
      <w:start w:val="3"/>
    </w:lvl>
    <w:lvl w:ilvl="1">
      <w:lvlJc w:val="left"/>
      <w:lvlText w:val="(%2)"/>
      <w:numFmt w:val="upperLetter"/>
      <w:start w:val="1"/>
    </w:lvl>
  </w:abstractNum>
  <w:abstractNum w:abstractNumId="40">
    <w:nsid w:val="3F6AB60F"/>
    <w:multiLevelType w:val="hybridMultilevel"/>
    <w:lvl w:ilvl="0">
      <w:lvlJc w:val="left"/>
      <w:lvlText w:val="(%1)"/>
      <w:numFmt w:val="decimal"/>
      <w:start w:val="1"/>
    </w:lvl>
    <w:lvl w:ilvl="1">
      <w:lvlJc w:val="left"/>
      <w:lvlText w:val="(%2)"/>
      <w:numFmt w:val="upperLetter"/>
      <w:start w:val="1"/>
    </w:lvl>
  </w:abstractNum>
  <w:abstractNum w:abstractNumId="41">
    <w:nsid w:val="61574095"/>
    <w:multiLevelType w:val="hybridMultilevel"/>
    <w:lvl w:ilvl="0">
      <w:lvlJc w:val="left"/>
      <w:lvlText w:val="%1"/>
      <w:numFmt w:val="decimal"/>
      <w:start w:val="1"/>
    </w:lvl>
    <w:lvl w:ilvl="1">
      <w:lvlJc w:val="left"/>
      <w:lvlText w:val="(%2)"/>
      <w:numFmt w:val="upperLetter"/>
      <w:start w:val="3"/>
    </w:lvl>
  </w:abstractNum>
  <w:abstractNum w:abstractNumId="42">
    <w:nsid w:val="7E0C57B1"/>
    <w:multiLevelType w:val="hybridMultilevel"/>
    <w:lvl w:ilvl="0">
      <w:lvlJc w:val="left"/>
      <w:lvlText w:val="(%1)"/>
      <w:numFmt w:val="decimal"/>
      <w:start w:val="2"/>
    </w:lvl>
    <w:lvl w:ilvl="1">
      <w:lvlJc w:val="left"/>
      <w:lvlText w:val="%2"/>
      <w:numFmt w:val="upperLetter"/>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1)"/>
      <w:numFmt w:val="decimal"/>
      <w:start w:val="2"/>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decimal"/>
      <w:start w:val="1"/>
    </w:lvl>
    <w:lvl w:ilvl="1">
      <w:lvlJc w:val="left"/>
      <w:lvlText w:val="(%2)"/>
      <w:numFmt w:val="upperLetter"/>
      <w:start w:val="1"/>
    </w:lvl>
  </w:abstractNum>
  <w:abstractNum w:abstractNumId="48">
    <w:nsid w:val="25A70BF7"/>
    <w:multiLevelType w:val="hybridMultilevel"/>
    <w:lvl w:ilvl="0">
      <w:lvlJc w:val="left"/>
      <w:lvlText w:val="(%1)"/>
      <w:numFmt w:val="decimal"/>
      <w:start w:val="3"/>
    </w:lvl>
    <w:lvl w:ilvl="1">
      <w:lvlJc w:val="left"/>
      <w:lvlText w:val="(%2)"/>
      <w:numFmt w:val="upperLetter"/>
      <w:start w:val="1"/>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decimal"/>
      <w:start w:val="8"/>
    </w:lvl>
  </w:abstractNum>
  <w:abstractNum w:abstractNumId="51">
    <w:nsid w:val="1F48EAA1"/>
    <w:multiLevelType w:val="hybridMultilevel"/>
    <w:lvl w:ilvl="0">
      <w:lvlJc w:val="left"/>
      <w:lvlText w:val="(%1)"/>
      <w:numFmt w:val="decimal"/>
      <w:start w:val="14"/>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1)"/>
      <w:numFmt w:val="decimal"/>
      <w:start w:val="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decimal"/>
      <w:start w:val="10"/>
    </w:lvl>
  </w:abstractNum>
  <w:abstractNum w:abstractNumId="58">
    <w:nsid w:val="98A3148"/>
    <w:multiLevelType w:val="hybridMultilevel"/>
    <w:lvl w:ilvl="0">
      <w:lvlJc w:val="left"/>
      <w:lvlText w:val="(%1)"/>
      <w:numFmt w:val="decimal"/>
      <w:start w:val="1"/>
    </w:lvl>
  </w:abstractNum>
  <w:abstractNum w:abstractNumId="59">
    <w:nsid w:val="799D0247"/>
    <w:multiLevelType w:val="hybridMultilevel"/>
    <w:lvl w:ilvl="0">
      <w:lvlJc w:val="left"/>
      <w:lvlText w:val="(%1)"/>
      <w:numFmt w:val="decimal"/>
      <w:start w:val="3"/>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1)"/>
      <w:numFmt w:val="decimal"/>
      <w:start w:val="3"/>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decimal"/>
      <w:start w:val="3"/>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lowerLetter"/>
      <w:start w:val="1"/>
    </w:lvl>
  </w:abstractNum>
  <w:abstractNum w:abstractNumId="66">
    <w:nsid w:val="540A471C"/>
    <w:multiLevelType w:val="hybridMultilevel"/>
    <w:lvl w:ilvl="0">
      <w:lvlJc w:val="left"/>
      <w:lvlText w:val="(%1)"/>
      <w:numFmt w:val="lowerRoman"/>
      <w:start w:val="3"/>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1."/>
      <w:numFmt w:val="decimal"/>
      <w:start w:val="4"/>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1"/>
      <w:numFmt w:val="bullet"/>
      <w:start w:val="1"/>
    </w:lvl>
  </w:abstractNum>
  <w:abstractNum w:abstractNumId="71">
    <w:nsid w:val="11447B73"/>
    <w:multiLevelType w:val="hybridMultilevel"/>
    <w:lvl w:ilvl="0">
      <w:lvlJc w:val="left"/>
      <w:lvlText w:val="(%1)"/>
      <w:numFmt w:val="lowerLetter"/>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1)"/>
      <w:numFmt w:val="decimal"/>
      <w:start w:val="1"/>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decimal"/>
      <w:start w:val="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5"/>
    </w:lvl>
  </w:abstractNum>
  <w:abstractNum w:abstractNumId="79">
    <w:nsid w:val="60B6DF70"/>
    <w:multiLevelType w:val="hybridMultilevel"/>
    <w:lvl w:ilvl="0">
      <w:lvlJc w:val="left"/>
      <w:lvlText w:val="(%1)"/>
      <w:numFmt w:val="decimal"/>
      <w:start w:val="6"/>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jpe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jpe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jpe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51" Type="http://schemas.openxmlformats.org/officeDocument/2006/relationships/hyperlink" Target="http://www.sec.gov/Archives/edgar/data/0001786431/000119312520024304/d874780dex31.htm" TargetMode="External"/><Relationship Id="rId52" Type="http://schemas.openxmlformats.org/officeDocument/2006/relationships/hyperlink" Target="http://www.sec.gov/Archives/edgar/data/0001786431/000119312520024304/d87478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2022-05-23T06:51:33Z</dcterms:created>
  <dcterms:modified xsi:type="dcterms:W3CDTF">2022-05-23T06:51:33Z</dcterms:modified>
</cp:coreProperties>
</file>