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confidentially submitted to the Securities and Exchange Commission on October 2, 2019</w:t>
      </w:r>
    </w:p>
    <w:p>
      <w:pPr>
        <w:spacing w:after="0" w:line="4" w:lineRule="exact"/>
        <w:rPr>
          <w:sz w:val="24"/>
          <w:szCs w:val="24"/>
          <w:color w:val="auto"/>
        </w:rPr>
      </w:pPr>
    </w:p>
    <w:p>
      <w:pPr>
        <w:ind w:left="9480" w:right="440" w:hanging="8756"/>
        <w:spacing w:after="0" w:line="271" w:lineRule="auto"/>
        <w:rPr>
          <w:sz w:val="20"/>
          <w:szCs w:val="20"/>
          <w:color w:val="auto"/>
        </w:rPr>
      </w:pPr>
      <w:r>
        <w:rPr>
          <w:rFonts w:ascii="Arial" w:cs="Arial" w:eastAsia="Arial" w:hAnsi="Arial"/>
          <w:sz w:val="13"/>
          <w:szCs w:val="13"/>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55880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i w:val="1"/>
          <w:iCs w:val="1"/>
          <w:color w:val="auto"/>
        </w:rPr>
        <w:t>UNDER</w:t>
      </w:r>
    </w:p>
    <w:p>
      <w:pPr>
        <w:jc w:val="center"/>
        <w:ind w:right="-17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REYNOLDS CONSUMER PRODUCTS INC.</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3"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90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2673</w:t>
            </w:r>
          </w:p>
        </w:tc>
        <w:tc>
          <w:tcPr>
            <w:tcW w:w="2400" w:type="dxa"/>
            <w:vAlign w:val="bottom"/>
          </w:tcPr>
          <w:p>
            <w:pPr>
              <w:jc w:val="center"/>
              <w:ind w:left="908"/>
              <w:spacing w:after="0"/>
              <w:rPr>
                <w:sz w:val="20"/>
                <w:szCs w:val="20"/>
                <w:color w:val="auto"/>
              </w:rPr>
            </w:pPr>
            <w:r>
              <w:rPr>
                <w:rFonts w:ascii="Arial" w:cs="Arial" w:eastAsia="Arial" w:hAnsi="Arial"/>
                <w:sz w:val="14"/>
                <w:szCs w:val="14"/>
                <w:b w:val="1"/>
                <w:bCs w:val="1"/>
                <w:color w:val="auto"/>
                <w:w w:val="93"/>
              </w:rPr>
              <w:t>45-3464426</w:t>
            </w:r>
          </w:p>
        </w:tc>
      </w:tr>
      <w:tr>
        <w:trPr>
          <w:trHeight w:val="149"/>
        </w:trPr>
        <w:tc>
          <w:tcPr>
            <w:tcW w:w="290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888"/>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00" w:type="dxa"/>
            <w:vAlign w:val="bottom"/>
          </w:tcPr>
          <w:p>
            <w:pPr>
              <w:jc w:val="center"/>
              <w:ind w:left="8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1900 W. Field Court</w:t>
      </w:r>
    </w:p>
    <w:p>
      <w:pPr>
        <w:jc w:val="center"/>
        <w:ind w:right="-179"/>
        <w:spacing w:after="0" w:line="226" w:lineRule="auto"/>
        <w:rPr>
          <w:sz w:val="20"/>
          <w:szCs w:val="20"/>
          <w:color w:val="auto"/>
        </w:rPr>
      </w:pPr>
      <w:r>
        <w:rPr>
          <w:rFonts w:ascii="Arial" w:cs="Arial" w:eastAsia="Arial" w:hAnsi="Arial"/>
          <w:sz w:val="14"/>
          <w:szCs w:val="14"/>
          <w:b w:val="1"/>
          <w:bCs w:val="1"/>
          <w:color w:val="auto"/>
        </w:rPr>
        <w:t>Lake Forest, Illinois 60045</w:t>
      </w:r>
    </w:p>
    <w:p>
      <w:pPr>
        <w:jc w:val="center"/>
        <w:ind w:right="-179"/>
        <w:spacing w:after="0" w:line="222" w:lineRule="auto"/>
        <w:rPr>
          <w:sz w:val="20"/>
          <w:szCs w:val="20"/>
          <w:color w:val="auto"/>
        </w:rPr>
      </w:pPr>
      <w:r>
        <w:rPr>
          <w:rFonts w:ascii="Arial" w:cs="Arial" w:eastAsia="Arial" w:hAnsi="Arial"/>
          <w:sz w:val="14"/>
          <w:szCs w:val="14"/>
          <w:b w:val="1"/>
          <w:bCs w:val="1"/>
          <w:color w:val="auto"/>
        </w:rPr>
        <w:t>Telephone: (800) 879-5067</w:t>
      </w:r>
    </w:p>
    <w:p>
      <w:pPr>
        <w:jc w:val="center"/>
        <w:ind w:right="-179"/>
        <w:spacing w:after="0" w:line="221" w:lineRule="auto"/>
        <w:rPr>
          <w:sz w:val="20"/>
          <w:szCs w:val="20"/>
          <w:color w:val="auto"/>
        </w:rPr>
      </w:pPr>
      <w:r>
        <w:rPr>
          <w:rFonts w:ascii="Arial" w:cs="Arial" w:eastAsia="Arial" w:hAnsi="Arial"/>
          <w:sz w:val="14"/>
          <w:szCs w:val="14"/>
          <w:b w:val="1"/>
          <w:bCs w:val="1"/>
          <w:color w:val="auto"/>
        </w:rPr>
        <w:t>Facsimile: (847) 482-7742</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David Watson</w:t>
      </w:r>
    </w:p>
    <w:p>
      <w:pPr>
        <w:jc w:val="center"/>
        <w:ind w:right="-179"/>
        <w:spacing w:after="0" w:line="226" w:lineRule="auto"/>
        <w:rPr>
          <w:sz w:val="20"/>
          <w:szCs w:val="20"/>
          <w:color w:val="auto"/>
        </w:rPr>
      </w:pPr>
      <w:r>
        <w:rPr>
          <w:rFonts w:ascii="Arial" w:cs="Arial" w:eastAsia="Arial" w:hAnsi="Arial"/>
          <w:sz w:val="14"/>
          <w:szCs w:val="14"/>
          <w:b w:val="1"/>
          <w:bCs w:val="1"/>
          <w:color w:val="auto"/>
        </w:rPr>
        <w:t>General Counsel</w:t>
      </w:r>
    </w:p>
    <w:p>
      <w:pPr>
        <w:jc w:val="center"/>
        <w:ind w:right="-179"/>
        <w:spacing w:after="0" w:line="222" w:lineRule="auto"/>
        <w:rPr>
          <w:sz w:val="20"/>
          <w:szCs w:val="20"/>
          <w:color w:val="auto"/>
        </w:rPr>
      </w:pPr>
      <w:r>
        <w:rPr>
          <w:rFonts w:ascii="Arial" w:cs="Arial" w:eastAsia="Arial" w:hAnsi="Arial"/>
          <w:sz w:val="14"/>
          <w:szCs w:val="14"/>
          <w:b w:val="1"/>
          <w:bCs w:val="1"/>
          <w:color w:val="auto"/>
        </w:rPr>
        <w:t>1900 W. Field Court</w:t>
      </w:r>
    </w:p>
    <w:p>
      <w:pPr>
        <w:jc w:val="center"/>
        <w:ind w:right="-179"/>
        <w:spacing w:after="0" w:line="221" w:lineRule="auto"/>
        <w:rPr>
          <w:sz w:val="20"/>
          <w:szCs w:val="20"/>
          <w:color w:val="auto"/>
        </w:rPr>
      </w:pPr>
      <w:r>
        <w:rPr>
          <w:rFonts w:ascii="Arial" w:cs="Arial" w:eastAsia="Arial" w:hAnsi="Arial"/>
          <w:sz w:val="14"/>
          <w:szCs w:val="14"/>
          <w:b w:val="1"/>
          <w:bCs w:val="1"/>
          <w:color w:val="auto"/>
        </w:rPr>
        <w:t>Lake Forest, Illinois 60045</w:t>
      </w:r>
    </w:p>
    <w:p>
      <w:pPr>
        <w:jc w:val="center"/>
        <w:ind w:right="-179"/>
        <w:spacing w:after="0" w:line="222" w:lineRule="auto"/>
        <w:rPr>
          <w:sz w:val="20"/>
          <w:szCs w:val="20"/>
          <w:color w:val="auto"/>
        </w:rPr>
      </w:pPr>
      <w:r>
        <w:rPr>
          <w:rFonts w:ascii="Arial" w:cs="Arial" w:eastAsia="Arial" w:hAnsi="Arial"/>
          <w:sz w:val="14"/>
          <w:szCs w:val="14"/>
          <w:b w:val="1"/>
          <w:bCs w:val="1"/>
          <w:color w:val="auto"/>
        </w:rPr>
        <w:t>Telephone: (800) 879-5067</w:t>
      </w:r>
    </w:p>
    <w:p>
      <w:pPr>
        <w:jc w:val="center"/>
        <w:ind w:right="-179"/>
        <w:spacing w:after="0" w:line="221" w:lineRule="auto"/>
        <w:rPr>
          <w:sz w:val="20"/>
          <w:szCs w:val="20"/>
          <w:color w:val="auto"/>
        </w:rPr>
      </w:pPr>
      <w:r>
        <w:rPr>
          <w:rFonts w:ascii="Arial" w:cs="Arial" w:eastAsia="Arial" w:hAnsi="Arial"/>
          <w:sz w:val="14"/>
          <w:szCs w:val="14"/>
          <w:b w:val="1"/>
          <w:bCs w:val="1"/>
          <w:color w:val="auto"/>
        </w:rPr>
        <w:t>Facsimile: (847) 482-7742</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4"/>
          <w:szCs w:val="24"/>
          <w:color w:val="auto"/>
        </w:rPr>
      </w:pPr>
    </w:p>
    <w:tbl>
      <w:tblPr>
        <w:tblLayout w:type="fixed"/>
        <w:tblInd w:w="214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490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52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Michael Kaplan, Esq.</w:t>
            </w:r>
          </w:p>
        </w:tc>
        <w:tc>
          <w:tcPr>
            <w:tcW w:w="4900" w:type="dxa"/>
            <w:vAlign w:val="bottom"/>
          </w:tcPr>
          <w:p>
            <w:pPr>
              <w:jc w:val="center"/>
              <w:ind w:left="2868"/>
              <w:spacing w:after="0"/>
              <w:rPr>
                <w:sz w:val="20"/>
                <w:szCs w:val="20"/>
                <w:color w:val="auto"/>
              </w:rPr>
            </w:pPr>
            <w:r>
              <w:rPr>
                <w:rFonts w:ascii="Arial" w:cs="Arial" w:eastAsia="Arial" w:hAnsi="Arial"/>
                <w:sz w:val="14"/>
                <w:szCs w:val="14"/>
                <w:b w:val="1"/>
                <w:bCs w:val="1"/>
                <w:color w:val="auto"/>
                <w:w w:val="94"/>
              </w:rPr>
              <w:t>Craig F. Arcella, Esq.</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Byron B. Rooney, Esq.</w:t>
            </w:r>
          </w:p>
        </w:tc>
        <w:tc>
          <w:tcPr>
            <w:tcW w:w="49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2"/>
              </w:rPr>
              <w:t>Joseph D. Zavaglia, Esq.</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4900" w:type="dxa"/>
            <w:vAlign w:val="bottom"/>
          </w:tcPr>
          <w:p>
            <w:pPr>
              <w:jc w:val="center"/>
              <w:ind w:left="2888"/>
              <w:spacing w:after="0" w:line="149" w:lineRule="exact"/>
              <w:rPr>
                <w:sz w:val="20"/>
                <w:szCs w:val="20"/>
                <w:color w:val="auto"/>
              </w:rPr>
            </w:pPr>
            <w:r>
              <w:rPr>
                <w:rFonts w:ascii="Arial" w:cs="Arial" w:eastAsia="Arial" w:hAnsi="Arial"/>
                <w:sz w:val="14"/>
                <w:szCs w:val="14"/>
                <w:b w:val="1"/>
                <w:bCs w:val="1"/>
                <w:color w:val="auto"/>
                <w:w w:val="97"/>
              </w:rPr>
              <w:t>Cravath, Swaine &amp; Moore LLP</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1"/>
              </w:rPr>
              <w:t>450 Lexington Avenue</w:t>
            </w:r>
          </w:p>
        </w:tc>
        <w:tc>
          <w:tcPr>
            <w:tcW w:w="49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4"/>
              </w:rPr>
              <w:t>Worldwide Plaza</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49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2"/>
              </w:rPr>
              <w:t>825 Eighth Avenue</w:t>
            </w:r>
          </w:p>
        </w:tc>
      </w:tr>
      <w:tr>
        <w:trPr>
          <w:trHeight w:val="149"/>
        </w:trPr>
        <w:tc>
          <w:tcPr>
            <w:tcW w:w="25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1"/>
              </w:rPr>
              <w:t>(212) 450-4000</w:t>
            </w:r>
          </w:p>
        </w:tc>
        <w:tc>
          <w:tcPr>
            <w:tcW w:w="4900" w:type="dxa"/>
            <w:vAlign w:val="bottom"/>
          </w:tcPr>
          <w:p>
            <w:pPr>
              <w:jc w:val="center"/>
              <w:ind w:left="2868"/>
              <w:spacing w:after="0" w:line="149" w:lineRule="exact"/>
              <w:rPr>
                <w:sz w:val="20"/>
                <w:szCs w:val="20"/>
                <w:color w:val="auto"/>
              </w:rPr>
            </w:pPr>
            <w:r>
              <w:rPr>
                <w:rFonts w:ascii="Arial" w:cs="Arial" w:eastAsia="Arial" w:hAnsi="Arial"/>
                <w:sz w:val="14"/>
                <w:szCs w:val="14"/>
                <w:b w:val="1"/>
                <w:bCs w:val="1"/>
                <w:color w:val="auto"/>
                <w:w w:val="94"/>
              </w:rPr>
              <w:t>New York, New York 10019</w:t>
            </w:r>
          </w:p>
        </w:tc>
      </w:tr>
      <w:tr>
        <w:trPr>
          <w:trHeight w:val="186"/>
        </w:trPr>
        <w:tc>
          <w:tcPr>
            <w:tcW w:w="2520" w:type="dxa"/>
            <w:vAlign w:val="bottom"/>
          </w:tcPr>
          <w:p>
            <w:pPr>
              <w:spacing w:after="0"/>
              <w:rPr>
                <w:sz w:val="16"/>
                <w:szCs w:val="16"/>
                <w:color w:val="auto"/>
              </w:rPr>
            </w:pPr>
          </w:p>
        </w:tc>
        <w:tc>
          <w:tcPr>
            <w:tcW w:w="4900" w:type="dxa"/>
            <w:vAlign w:val="bottom"/>
          </w:tcPr>
          <w:p>
            <w:pPr>
              <w:jc w:val="center"/>
              <w:ind w:left="2888"/>
              <w:spacing w:after="0"/>
              <w:rPr>
                <w:sz w:val="20"/>
                <w:szCs w:val="20"/>
                <w:color w:val="auto"/>
              </w:rPr>
            </w:pPr>
            <w:r>
              <w:rPr>
                <w:rFonts w:ascii="Arial" w:cs="Arial" w:eastAsia="Arial" w:hAnsi="Arial"/>
                <w:sz w:val="14"/>
                <w:szCs w:val="14"/>
                <w:b w:val="1"/>
                <w:bCs w:val="1"/>
                <w:color w:val="auto"/>
                <w:w w:val="93"/>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67945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1"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46" w:lineRule="exact"/>
        <w:rPr>
          <w:sz w:val="24"/>
          <w:szCs w:val="24"/>
          <w:color w:val="auto"/>
        </w:rPr>
      </w:pPr>
    </w:p>
    <w:p>
      <w:pPr>
        <w:ind w:left="200" w:right="360" w:firstLine="44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20" w:firstLine="44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6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6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40" w:firstLine="44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2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2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80" w:type="dxa"/>
            <w:vAlign w:val="bottom"/>
          </w:tcPr>
          <w:p>
            <w:pPr>
              <w:ind w:left="352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left="200" w:right="60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83820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125"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652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520" w:type="dxa"/>
            <w:vAlign w:val="bottom"/>
            <w:tcBorders>
              <w:right w:val="single" w:sz="8" w:color="auto"/>
            </w:tcBorders>
            <w:vMerge w:val="restart"/>
          </w:tcPr>
          <w:p>
            <w:pPr>
              <w:jc w:val="center"/>
              <w:ind w:right="1188"/>
              <w:spacing w:after="0"/>
              <w:rPr>
                <w:sz w:val="20"/>
                <w:szCs w:val="20"/>
                <w:color w:val="auto"/>
              </w:rPr>
            </w:pPr>
            <w:r>
              <w:rPr>
                <w:rFonts w:ascii="Arial" w:cs="Arial" w:eastAsia="Arial" w:hAnsi="Arial"/>
                <w:sz w:val="14"/>
                <w:szCs w:val="14"/>
                <w:b w:val="1"/>
                <w:bCs w:val="1"/>
                <w:color w:val="auto"/>
                <w:w w:val="94"/>
              </w:rPr>
              <w:t>Title Of Each Class Of</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52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520" w:type="dxa"/>
            <w:vAlign w:val="bottom"/>
            <w:tcBorders>
              <w:right w:val="single" w:sz="8" w:color="auto"/>
            </w:tcBorders>
          </w:tcPr>
          <w:p>
            <w:pPr>
              <w:jc w:val="center"/>
              <w:ind w:right="1188"/>
              <w:spacing w:after="0" w:line="158" w:lineRule="exact"/>
              <w:rPr>
                <w:sz w:val="20"/>
                <w:szCs w:val="20"/>
                <w:color w:val="auto"/>
              </w:rPr>
            </w:pPr>
            <w:r>
              <w:rPr>
                <w:rFonts w:ascii="Arial" w:cs="Arial" w:eastAsia="Arial" w:hAnsi="Arial"/>
                <w:sz w:val="14"/>
                <w:szCs w:val="14"/>
                <w:b w:val="1"/>
                <w:bCs w:val="1"/>
                <w:color w:val="auto"/>
                <w:w w:val="89"/>
              </w:rPr>
              <w:t>Securities To Be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520" w:type="dxa"/>
            <w:vAlign w:val="bottom"/>
            <w:tcBorders>
              <w:bottom w:val="single" w:sz="8" w:color="auto"/>
              <w:right w:val="single" w:sz="8" w:color="auto"/>
            </w:tcBorders>
          </w:tcPr>
          <w:p>
            <w:pPr>
              <w:jc w:val="center"/>
              <w:ind w:right="1188"/>
              <w:spacing w:after="0"/>
              <w:rPr>
                <w:sz w:val="20"/>
                <w:szCs w:val="20"/>
                <w:color w:val="auto"/>
              </w:rPr>
            </w:pPr>
            <w:r>
              <w:rPr>
                <w:rFonts w:ascii="Arial" w:cs="Arial" w:eastAsia="Arial" w:hAnsi="Arial"/>
                <w:sz w:val="14"/>
                <w:szCs w:val="14"/>
                <w:b w:val="1"/>
                <w:bCs w:val="1"/>
                <w:color w:val="auto"/>
                <w:w w:val="91"/>
              </w:rPr>
              <w:t>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740" w:type="dxa"/>
            <w:vAlign w:val="bottom"/>
            <w:tcBorders>
              <w:bottom w:val="single" w:sz="8" w:color="auto"/>
              <w:right w:val="single" w:sz="8" w:color="auto"/>
            </w:tcBorders>
            <w:gridSpan w:val="3"/>
          </w:tcPr>
          <w:p>
            <w:pPr>
              <w:spacing w:after="0" w:line="142" w:lineRule="exact"/>
              <w:rPr>
                <w:sz w:val="20"/>
                <w:szCs w:val="20"/>
                <w:color w:val="auto"/>
              </w:rPr>
            </w:pPr>
            <w:r>
              <w:rPr>
                <w:rFonts w:ascii="Arial" w:cs="Arial" w:eastAsia="Arial" w:hAnsi="Arial"/>
                <w:sz w:val="14"/>
                <w:szCs w:val="14"/>
                <w:color w:val="auto"/>
              </w:rPr>
              <w:t>Common stock, par value $0.001 per share</w:t>
            </w:r>
            <w:r>
              <w:rPr>
                <w:rFonts w:ascii="Arial" w:cs="Arial" w:eastAsia="Arial" w:hAnsi="Arial"/>
                <w:sz w:val="12"/>
                <w:szCs w:val="12"/>
                <w:color w:val="auto"/>
              </w:rPr>
              <w:t>(1)</w:t>
            </w:r>
          </w:p>
        </w:tc>
        <w:tc>
          <w:tcPr>
            <w:tcW w:w="1640" w:type="dxa"/>
            <w:vAlign w:val="bottom"/>
            <w:tcBorders>
              <w:bottom w:val="single" w:sz="8" w:color="auto"/>
              <w:right w:val="single" w:sz="8" w:color="auto"/>
            </w:tcBorders>
          </w:tcPr>
          <w:p>
            <w:pPr>
              <w:jc w:val="right"/>
              <w:ind w:right="910"/>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8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color w:val="auto"/>
              </w:rPr>
              <w:t>(1)</w:t>
            </w:r>
          </w:p>
        </w:tc>
        <w:tc>
          <w:tcPr>
            <w:tcW w:w="940" w:type="dxa"/>
            <w:vAlign w:val="bottom"/>
            <w:tcBorders>
              <w:top w:val="single" w:sz="8" w:color="auto"/>
            </w:tcBorders>
          </w:tcPr>
          <w:p>
            <w:pPr>
              <w:ind w:left="140"/>
              <w:spacing w:after="0" w:line="136" w:lineRule="exact"/>
              <w:rPr>
                <w:sz w:val="20"/>
                <w:szCs w:val="20"/>
                <w:color w:val="auto"/>
              </w:rPr>
            </w:pPr>
            <w:r>
              <w:rPr>
                <w:rFonts w:ascii="Arial" w:cs="Arial" w:eastAsia="Arial" w:hAnsi="Arial"/>
                <w:sz w:val="14"/>
                <w:szCs w:val="14"/>
                <w:color w:val="auto"/>
              </w:rPr>
              <w:t>Includes</w:t>
            </w:r>
          </w:p>
        </w:tc>
        <w:tc>
          <w:tcPr>
            <w:tcW w:w="6520" w:type="dxa"/>
            <w:vAlign w:val="bottom"/>
            <w:tcBorders>
              <w:top w:val="single" w:sz="8" w:color="auto"/>
            </w:tcBorders>
          </w:tcPr>
          <w:p>
            <w:pPr>
              <w:ind w:left="340"/>
              <w:spacing w:after="0" w:line="136" w:lineRule="exact"/>
              <w:rPr>
                <w:sz w:val="20"/>
                <w:szCs w:val="20"/>
                <w:color w:val="auto"/>
              </w:rPr>
            </w:pPr>
            <w:r>
              <w:rPr>
                <w:rFonts w:ascii="Arial" w:cs="Arial" w:eastAsia="Arial" w:hAnsi="Arial"/>
                <w:sz w:val="14"/>
                <w:szCs w:val="14"/>
                <w:color w:val="auto"/>
              </w:rPr>
              <w:t>shares which the underwriters have the right to purchase to cover over-allotments.</w:t>
            </w:r>
          </w:p>
        </w:tc>
        <w:tc>
          <w:tcPr>
            <w:tcW w:w="16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ind w:left="200" w:right="420" w:firstLine="44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92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09"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EB0029"/>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EB0029"/>
              </w:rPr>
              <w:t>, 2019</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172085</wp:posOffset>
            </wp:positionV>
            <wp:extent cx="171513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51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780"/>
        <w:spacing w:after="0"/>
        <w:rPr>
          <w:sz w:val="20"/>
          <w:szCs w:val="20"/>
          <w:color w:val="auto"/>
        </w:rPr>
      </w:pPr>
      <w:r>
        <w:rPr>
          <w:rFonts w:ascii="Arial" w:cs="Arial" w:eastAsia="Arial" w:hAnsi="Arial"/>
          <w:sz w:val="32"/>
          <w:szCs w:val="32"/>
          <w:b w:val="1"/>
          <w:bCs w:val="1"/>
          <w:color w:val="auto"/>
        </w:rPr>
        <w:t>Shares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Reynolds Consumer Products Inc.</w:t>
      </w: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is the initial public offering of shares of common stock of Reynolds Consumer Products Inc. Prior to this offering, there has been no public</w:t>
      </w:r>
    </w:p>
    <w:p>
      <w:pPr>
        <w:spacing w:after="0" w:line="46"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market for our common stock. We anticipate that the initial public offering price will be between $ and $ per share. We intend to apply to list our common stock on under the symbol “REYN.”</w:t>
      </w:r>
    </w:p>
    <w:p>
      <w:pPr>
        <w:spacing w:after="0" w:line="184" w:lineRule="exact"/>
        <w:rPr>
          <w:sz w:val="20"/>
          <w:szCs w:val="20"/>
          <w:color w:val="auto"/>
        </w:rPr>
      </w:pPr>
    </w:p>
    <w:p>
      <w:pPr>
        <w:ind w:left="200" w:right="540" w:firstLine="441"/>
        <w:spacing w:after="0" w:line="291" w:lineRule="auto"/>
        <w:rPr>
          <w:sz w:val="20"/>
          <w:szCs w:val="20"/>
          <w:color w:val="auto"/>
        </w:rPr>
      </w:pPr>
      <w:r>
        <w:rPr>
          <w:rFonts w:ascii="Arial" w:cs="Arial" w:eastAsia="Arial" w:hAnsi="Arial"/>
          <w:sz w:val="16"/>
          <w:szCs w:val="16"/>
          <w:color w:val="auto"/>
        </w:rPr>
        <w:t>Immediately prior to the closing of this offering, Packaging Finance Limited (“PFL”) will be our only stockholder. Upon the closing of this offering, PFL will own a majority of the voting power of our common stock. As a result, upon closing of this offering, we will be a “controlled</w:t>
      </w:r>
    </w:p>
    <w:p>
      <w:pPr>
        <w:ind w:left="200"/>
        <w:spacing w:after="0"/>
        <w:tabs>
          <w:tab w:leader="none" w:pos="5200" w:val="left"/>
        </w:tabs>
        <w:rPr>
          <w:sz w:val="20"/>
          <w:szCs w:val="20"/>
          <w:color w:val="auto"/>
        </w:rPr>
      </w:pPr>
      <w:r>
        <w:rPr>
          <w:rFonts w:ascii="Arial" w:cs="Arial" w:eastAsia="Arial" w:hAnsi="Arial"/>
          <w:sz w:val="18"/>
          <w:szCs w:val="18"/>
          <w:color w:val="auto"/>
        </w:rPr>
        <w:t>company” as defined under the corporate governance rules of</w:t>
      </w:r>
      <w:r>
        <w:rPr>
          <w:sz w:val="20"/>
          <w:szCs w:val="20"/>
          <w:color w:val="auto"/>
        </w:rPr>
        <w:tab/>
      </w:r>
      <w:r>
        <w:rPr>
          <w:rFonts w:ascii="Arial" w:cs="Arial" w:eastAsia="Arial" w:hAnsi="Arial"/>
          <w:sz w:val="16"/>
          <w:szCs w:val="16"/>
          <w:color w:val="auto"/>
        </w:rPr>
        <w:t>. See “Principal Stockholders.”</w:t>
      </w:r>
    </w:p>
    <w:p>
      <w:pPr>
        <w:sectPr>
          <w:pgSz w:w="11900" w:h="16838" w:orient="portrait"/>
          <w:cols w:equalWidth="0" w:num="1">
            <w:col w:w="11220"/>
          </w:cols>
          <w:pgMar w:left="240" w:top="459" w:right="439" w:bottom="1440" w:gutter="0" w:footer="0" w:header="0"/>
        </w:sectPr>
      </w:pPr>
    </w:p>
    <w:p>
      <w:pPr>
        <w:spacing w:after="0" w:line="21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We have granted the underwriters a 30-day option to purchase up to offering price, less the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187960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of common stock from us at the initial public</w:t>
      </w:r>
    </w:p>
    <w:p>
      <w:pPr>
        <w:spacing w:after="0" w:line="517" w:lineRule="exact"/>
        <w:rPr>
          <w:sz w:val="20"/>
          <w:szCs w:val="20"/>
          <w:color w:val="auto"/>
        </w:rPr>
      </w:pPr>
    </w:p>
    <w:p>
      <w:pPr>
        <w:sectPr>
          <w:pgSz w:w="11900" w:h="16838" w:orient="portrait"/>
          <w:cols w:equalWidth="0" w:num="2">
            <w:col w:w="5520" w:space="640"/>
            <w:col w:w="5060"/>
          </w:cols>
          <w:pgMar w:left="240" w:top="459" w:right="439" w:bottom="1440" w:gutter="0" w:footer="0" w:header="0"/>
          <w:type w:val="continuous"/>
        </w:sectPr>
      </w:pPr>
    </w:p>
    <w:p>
      <w:pPr>
        <w:spacing w:after="0" w:line="298" w:lineRule="exact"/>
        <w:rPr>
          <w:sz w:val="20"/>
          <w:szCs w:val="20"/>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2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22.</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Price to</w:t>
            </w: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Underwriting Discounts</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Proceeds before</w:t>
            </w:r>
          </w:p>
        </w:tc>
      </w:tr>
      <w:tr>
        <w:trPr>
          <w:trHeight w:val="171"/>
        </w:trPr>
        <w:tc>
          <w:tcPr>
            <w:tcW w:w="4340" w:type="dxa"/>
            <w:vAlign w:val="bottom"/>
          </w:tcPr>
          <w:p>
            <w:pPr>
              <w:spacing w:after="0"/>
              <w:rPr>
                <w:sz w:val="14"/>
                <w:szCs w:val="14"/>
                <w:color w:val="auto"/>
              </w:rPr>
            </w:pPr>
          </w:p>
        </w:tc>
        <w:tc>
          <w:tcPr>
            <w:tcW w:w="15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Public</w:t>
            </w:r>
          </w:p>
        </w:tc>
        <w:tc>
          <w:tcPr>
            <w:tcW w:w="2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and Commissions</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0"/>
              </w:rPr>
              <w:t>expenses, to us</w:t>
            </w:r>
            <w:r>
              <w:rPr>
                <w:rFonts w:ascii="Arial" w:cs="Arial" w:eastAsia="Arial" w:hAnsi="Arial"/>
                <w:sz w:val="12"/>
                <w:szCs w:val="12"/>
                <w:b w:val="1"/>
                <w:bCs w:val="1"/>
                <w:color w:val="auto"/>
                <w:w w:val="90"/>
              </w:rPr>
              <w:t>(1)</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5"/>
          <w:szCs w:val="15"/>
          <w:color w:val="auto"/>
        </w:rPr>
      </w:pPr>
      <w:r>
        <w:rPr>
          <w:rFonts w:ascii="Arial" w:cs="Arial" w:eastAsia="Arial" w:hAnsi="Arial"/>
          <w:sz w:val="18"/>
          <w:szCs w:val="18"/>
          <w:color w:val="auto"/>
        </w:rPr>
        <w:t>See “Underwriting” for a description of all compensation payable to the underwriters.</w:t>
      </w:r>
    </w:p>
    <w:p>
      <w:pPr>
        <w:spacing w:after="0" w:line="225"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The underwriters expect to deliver the shares on or about</w:t>
            </w:r>
          </w:p>
        </w:tc>
        <w:tc>
          <w:tcPr>
            <w:tcW w:w="96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jc w:val="center"/>
        <w:ind w:right="1520"/>
        <w:spacing w:after="0"/>
        <w:rPr>
          <w:sz w:val="20"/>
          <w:szCs w:val="20"/>
          <w:color w:val="auto"/>
        </w:rPr>
      </w:pPr>
      <w:r>
        <w:rPr>
          <w:rFonts w:ascii="Arial" w:cs="Arial" w:eastAsia="Arial" w:hAnsi="Arial"/>
          <w:sz w:val="26"/>
          <w:szCs w:val="2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J.P. Morgan</w:t>
      </w:r>
    </w:p>
    <w:p>
      <w:pPr>
        <w:spacing w:after="0" w:line="200" w:lineRule="exact"/>
        <w:rPr>
          <w:sz w:val="20"/>
          <w:szCs w:val="20"/>
          <w:color w:val="auto"/>
        </w:rPr>
      </w:pPr>
    </w:p>
    <w:p>
      <w:pPr>
        <w:sectPr>
          <w:pgSz w:w="11900" w:h="16838" w:orient="portrait"/>
          <w:cols w:equalWidth="0" w:num="3">
            <w:col w:w="3360" w:space="720"/>
            <w:col w:w="4920" w:space="720"/>
            <w:col w:w="1500"/>
          </w:cols>
          <w:pgMar w:left="240" w:top="459" w:right="439" w:bottom="1440" w:gutter="0" w:footer="0" w:header="0"/>
          <w:type w:val="continuous"/>
        </w:sectPr>
      </w:pPr>
    </w:p>
    <w:p>
      <w:pPr>
        <w:spacing w:after="0" w:line="82"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2019</w:t>
      </w:r>
    </w:p>
    <w:p>
      <w:pPr>
        <w:sectPr>
          <w:pgSz w:w="11900" w:h="16838" w:orient="portrait"/>
          <w:cols w:equalWidth="0" w:num="2">
            <w:col w:w="6360" w:space="720"/>
            <w:col w:w="414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246380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4740" w:type="dxa"/>
            <w:vAlign w:val="bottom"/>
            <w:gridSpan w:val="1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380" w:type="dxa"/>
            <w:vAlign w:val="bottom"/>
          </w:tcPr>
          <w:p>
            <w:pPr>
              <w:spacing w:after="0"/>
              <w:rPr>
                <w:sz w:val="14"/>
                <w:szCs w:val="14"/>
                <w:color w:val="auto"/>
              </w:rPr>
            </w:pPr>
          </w:p>
        </w:tc>
        <w:tc>
          <w:tcPr>
            <w:tcW w:w="5020" w:type="dxa"/>
            <w:vAlign w:val="bottom"/>
            <w:gridSpan w:val="15"/>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Business</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4740" w:type="dxa"/>
            <w:vAlign w:val="bottom"/>
            <w:gridSpan w:val="1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3"/>
                <w:szCs w:val="13"/>
                <w:color w:val="auto"/>
              </w:rPr>
            </w:pPr>
          </w:p>
        </w:tc>
        <w:tc>
          <w:tcPr>
            <w:tcW w:w="5020" w:type="dxa"/>
            <w:vAlign w:val="bottom"/>
            <w:gridSpan w:val="1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740" w:type="dxa"/>
            <w:vAlign w:val="bottom"/>
            <w:gridSpan w:val="12"/>
            <w:shd w:val="clear" w:color="auto" w:fill="0000EE"/>
          </w:tcPr>
          <w:p>
            <w:pPr>
              <w:spacing w:after="0"/>
              <w:rPr>
                <w:sz w:val="2"/>
                <w:szCs w:val="2"/>
                <w:color w:val="auto"/>
              </w:rPr>
            </w:pPr>
          </w:p>
        </w:tc>
        <w:tc>
          <w:tcPr>
            <w:tcW w:w="4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0" w:type="dxa"/>
            <w:vAlign w:val="bottom"/>
            <w:gridSpan w:val="3"/>
          </w:tcPr>
          <w:p>
            <w:pPr>
              <w:spacing w:after="0" w:line="20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3840" w:type="dxa"/>
            <w:vAlign w:val="bottom"/>
            <w:gridSpan w:val="9"/>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380" w:type="dxa"/>
            <w:vAlign w:val="bottom"/>
          </w:tcPr>
          <w:p>
            <w:pPr>
              <w:spacing w:after="0"/>
              <w:rPr>
                <w:sz w:val="17"/>
                <w:szCs w:val="17"/>
                <w:color w:val="auto"/>
              </w:rPr>
            </w:pPr>
          </w:p>
        </w:tc>
        <w:tc>
          <w:tcPr>
            <w:tcW w:w="5020" w:type="dxa"/>
            <w:vAlign w:val="bottom"/>
            <w:gridSpan w:val="15"/>
          </w:tcPr>
          <w:p>
            <w:pPr>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Management</w:t>
              </w:r>
            </w:hyperlink>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1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Special Note Regarding Forward-Looking Statements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w w:val="85"/>
              </w:rPr>
            </w:pPr>
            <w:hyperlink w:anchor="page50">
              <w:r>
                <w:rPr>
                  <w:rFonts w:ascii="Arial" w:cs="Arial" w:eastAsia="Arial" w:hAnsi="Arial"/>
                  <w:sz w:val="18"/>
                  <w:szCs w:val="18"/>
                  <w:color w:val="0000EE"/>
                  <w:w w:val="85"/>
                </w:rPr>
                <w:t>Use of Proceeds</w:t>
              </w:r>
            </w:hyperlink>
          </w:p>
        </w:tc>
        <w:tc>
          <w:tcPr>
            <w:tcW w:w="2700" w:type="dxa"/>
            <w:vAlign w:val="bottom"/>
            <w:gridSpan w:val="5"/>
          </w:tcPr>
          <w:p>
            <w:pPr>
              <w:spacing w:after="0"/>
              <w:rPr>
                <w:sz w:val="17"/>
                <w:szCs w:val="17"/>
                <w:color w:val="auto"/>
              </w:rPr>
            </w:pPr>
          </w:p>
        </w:tc>
        <w:tc>
          <w:tcPr>
            <w:tcW w:w="880" w:type="dxa"/>
            <w:vAlign w:val="bottom"/>
            <w:gridSpan w:val="2"/>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Dividend Policy</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4"/>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Capitalization</w:t>
              </w:r>
            </w:hyperlink>
          </w:p>
        </w:tc>
        <w:tc>
          <w:tcPr>
            <w:tcW w:w="160" w:type="dxa"/>
            <w:vAlign w:val="bottom"/>
          </w:tcPr>
          <w:p>
            <w:pPr>
              <w:spacing w:after="0"/>
              <w:rPr>
                <w:sz w:val="17"/>
                <w:szCs w:val="17"/>
                <w:color w:val="auto"/>
              </w:rPr>
            </w:pPr>
          </w:p>
        </w:tc>
        <w:tc>
          <w:tcPr>
            <w:tcW w:w="3580" w:type="dxa"/>
            <w:vAlign w:val="bottom"/>
            <w:gridSpan w:val="7"/>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Dilution</w:t>
              </w:r>
            </w:hyperlink>
          </w:p>
        </w:tc>
        <w:tc>
          <w:tcPr>
            <w:tcW w:w="3740" w:type="dxa"/>
            <w:vAlign w:val="bottom"/>
            <w:gridSpan w:val="8"/>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w w:val="99"/>
              </w:rPr>
            </w:pPr>
            <w:hyperlink w:anchor="page145">
              <w:r>
                <w:rPr>
                  <w:rFonts w:ascii="Arial" w:cs="Arial" w:eastAsia="Arial" w:hAnsi="Arial"/>
                  <w:sz w:val="18"/>
                  <w:szCs w:val="18"/>
                  <w:color w:val="0000EE"/>
                  <w:w w:val="99"/>
                </w:rPr>
                <w:t>Material U.S. Federal Tax Considerations for Non-U.S. Holders</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1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Selected Historical Combined Financial Data</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380" w:type="dxa"/>
            <w:vAlign w:val="bottom"/>
          </w:tcPr>
          <w:p>
            <w:pPr>
              <w:spacing w:after="0"/>
              <w:rPr>
                <w:sz w:val="17"/>
                <w:szCs w:val="17"/>
                <w:color w:val="auto"/>
              </w:rPr>
            </w:pPr>
          </w:p>
        </w:tc>
        <w:tc>
          <w:tcPr>
            <w:tcW w:w="5020" w:type="dxa"/>
            <w:vAlign w:val="bottom"/>
            <w:gridSpan w:val="15"/>
          </w:tcPr>
          <w:p>
            <w:pPr>
              <w:ind w:left="18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of Common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1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Unaudited Pro Forma Combined Financial Data</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Management’s Discussion and Analysis of Financial Condition</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50">
              <w:r>
                <w:rPr>
                  <w:rFonts w:ascii="Arial" w:cs="Arial" w:eastAsia="Arial" w:hAnsi="Arial"/>
                  <w:sz w:val="18"/>
                  <w:szCs w:val="18"/>
                  <w:color w:val="0000EE"/>
                  <w:w w:val="94"/>
                </w:rPr>
                <w:t>Underwriting</w:t>
              </w:r>
            </w:hyperlink>
          </w:p>
        </w:tc>
        <w:tc>
          <w:tcPr>
            <w:tcW w:w="40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and Results of Operations</w:t>
              </w:r>
            </w:hyperlink>
          </w:p>
        </w:tc>
        <w:tc>
          <w:tcPr>
            <w:tcW w:w="2700" w:type="dxa"/>
            <w:vAlign w:val="bottom"/>
            <w:gridSpan w:val="5"/>
          </w:tcPr>
          <w:p>
            <w:pPr>
              <w:spacing w:after="0"/>
              <w:rPr>
                <w:sz w:val="18"/>
                <w:szCs w:val="18"/>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56">
              <w:r>
                <w:rPr>
                  <w:rFonts w:ascii="Arial" w:cs="Arial" w:eastAsia="Arial" w:hAnsi="Arial"/>
                  <w:sz w:val="18"/>
                  <w:szCs w:val="18"/>
                  <w:color w:val="0000EE"/>
                  <w:w w:val="91"/>
                </w:rPr>
                <w:t>Legal Matters</w:t>
              </w:r>
            </w:hyperlink>
          </w:p>
        </w:tc>
        <w:tc>
          <w:tcPr>
            <w:tcW w:w="4000" w:type="dxa"/>
            <w:vAlign w:val="bottom"/>
            <w:gridSpan w:val="9"/>
          </w:tcPr>
          <w:p>
            <w:pPr>
              <w:spacing w:after="0"/>
              <w:rPr>
                <w:sz w:val="18"/>
                <w:szCs w:val="18"/>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76" w:lineRule="exact"/>
              <w:rPr>
                <w:rFonts w:ascii="Arial" w:cs="Arial" w:eastAsia="Arial" w:hAnsi="Arial"/>
                <w:sz w:val="18"/>
                <w:szCs w:val="18"/>
                <w:color w:val="0000EE"/>
                <w:w w:val="88"/>
              </w:rPr>
            </w:pPr>
            <w:hyperlink w:anchor="page156">
              <w:r>
                <w:rPr>
                  <w:rFonts w:ascii="Arial" w:cs="Arial" w:eastAsia="Arial" w:hAnsi="Arial"/>
                  <w:sz w:val="18"/>
                  <w:szCs w:val="18"/>
                  <w:color w:val="0000EE"/>
                  <w:w w:val="88"/>
                </w:rPr>
                <w:t>Experts</w:t>
              </w:r>
            </w:hyperlink>
          </w:p>
        </w:tc>
        <w:tc>
          <w:tcPr>
            <w:tcW w:w="4460" w:type="dxa"/>
            <w:vAlign w:val="bottom"/>
            <w:gridSpan w:val="13"/>
          </w:tcPr>
          <w:p>
            <w:pPr>
              <w:spacing w:after="0"/>
              <w:rPr>
                <w:sz w:val="15"/>
                <w:szCs w:val="15"/>
                <w:color w:val="auto"/>
              </w:rPr>
            </w:pP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Where You Can Find More Information</w:t>
              </w:r>
            </w:hyperlink>
          </w:p>
        </w:tc>
        <w:tc>
          <w:tcPr>
            <w:tcW w:w="20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Index to Combined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this prospectus, “Reynolds Consumer Products,” “RCP,” the “Company,” “we,” “us” and “our” refer to (i) prior to the Corporate Reorganization, as defined below, the Reynolds Consumer Group business consisting of the combination of Reynolds Consumer Products Inc. and the operations, assets and liabilities comprising Reynolds Group Holdings Limited’s Reynolds Consumer Products segment as reflected in the combined financial statements included elsewhere in this prospectus; and (ii) after the Corporate Reorganization, Reynolds Consumer Products Inc. and its consolidated subsidiaries.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6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Share and Other Information</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This prospectus includes industry and market data that we obtained from periodic industry publications, third-party studies and surveys, filings of public companies in our industry and internal company surveys. These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 and Trade Names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We own or have rights to trademarks, service marks and trade names that we use in connection with the operation of our business.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Presentation of Information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References to “fiscal year 2018,” “fiscal year 2017” and “fiscal year 2016” relate to our fiscal years ended December 31, 2018, 2017 and 2016, respectively. With the exception of the adoption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of January 1, 2018, the accounting policies set out in the annual combined financial statements included elsewhere in this prospectus have been consistently applied to all periods presented. We adopted the new revenue recognition standard on a modified retrospective basis for all contracts not completed as of the date of adoption, resulting in a $5 million adjustment to Net Parent deficit. There was no other material financial impact from adopting the new revenue recognition standard. See Note 2—Summary of Significant Accounting Policies in our annual combined financial statements included elsewhere in this prospectus for an explanation of the impact of the adoption of ASC 606.</w:t>
      </w:r>
    </w:p>
    <w:p>
      <w:pPr>
        <w:spacing w:after="0" w:line="18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 them. Unless otherwise indicated, all references to “U.S. dollars,” “dollars,” “U.S. $” and “$” in this prospectus are to the lawful currency of the United States of America.</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U.S. generally accepted accounting principles (“GAAP”).</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87" w:lineRule="exact"/>
        <w:rPr>
          <w:sz w:val="20"/>
          <w:szCs w:val="20"/>
          <w:color w:val="auto"/>
        </w:rPr>
      </w:pPr>
    </w:p>
    <w:p>
      <w:pPr>
        <w:ind w:left="1180" w:right="64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22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Specifically, we make use of the non-GAAP financial measures “Adjusted EBITDA” and “Adjusted Free Cash Flow” in evaluating our past results and future prospects. For the definition of Adjusted EBITDA and a reconciliation to net income, its most directly comparable financial measure presented in accordance with GAAP, see “Prospectus Summary—Summary Historical and Unaudited Pro Forma Combined Financial Data” and “Management’s Discussion and Analysis of Financial Condition and Results of Operations—How We Assess the Performance of Our Business.” For the definition of Adjusted Free Cash Flow and a reconciliation to net cash provided by operating activities, its most directly comparable financial measure presented in accordance with GAAP, see “Prospectus Summary—Summary Historical and Unaudited Pro Forma Combined Financial Data” and “Management’s Discussion and Analysis of Financial Condition and Results of Operations—How We Assess the Performance of Our Business.”</w:t>
      </w:r>
    </w:p>
    <w:p>
      <w:pPr>
        <w:spacing w:after="0" w:line="16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present Adjusted EBITDA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present Adjusted Free Cash Flow because we believe that it provides management and investors a useful measurement of cash generated from operations that is available for mandatory payment obligations and investment opportunities, such as funding acquisitions, paying dividends, repaying debt and repurchasing our common stock.</w:t>
      </w:r>
    </w:p>
    <w:p>
      <w:pPr>
        <w:spacing w:after="0" w:line="181"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Adjusted EBITDA and Adjusted Free Cash Flow have limitations as analytical tools, and you should not consider such measures either in isolation or as substitutes for analyzing our results as reported under GAAP. Some of these limitations include the following:</w:t>
      </w:r>
    </w:p>
    <w:p>
      <w:pPr>
        <w:spacing w:after="0" w:line="52" w:lineRule="exact"/>
        <w:rPr>
          <w:sz w:val="20"/>
          <w:szCs w:val="20"/>
          <w:color w:val="auto"/>
        </w:rPr>
      </w:pPr>
    </w:p>
    <w:p>
      <w:pPr>
        <w:ind w:left="1180" w:right="7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Free Cash Flow and Adjusted EBITDA do not reflect every expenditure, future requirements for capital expenditures or contractual commitments;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Free Cash Flow and Adjusted EBITDA do not reflect changes in our working capital needs;</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w:t>
      </w:r>
    </w:p>
    <w:p>
      <w:pPr>
        <w:spacing w:after="0" w:line="130" w:lineRule="exact"/>
        <w:rPr>
          <w:rFonts w:ascii="Arial" w:cs="Arial" w:eastAsia="Arial" w:hAnsi="Arial"/>
          <w:sz w:val="18"/>
          <w:szCs w:val="18"/>
          <w:color w:val="auto"/>
        </w:rPr>
      </w:pPr>
    </w:p>
    <w:p>
      <w:pPr>
        <w:ind w:left="1180" w:right="80" w:hanging="436"/>
        <w:spacing w:after="0" w:line="308"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51"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indicative, on a recurring basis, of our ongoing operations; and</w:t>
      </w:r>
    </w:p>
    <w:p>
      <w:pPr>
        <w:spacing w:after="0" w:line="75"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Free Cash Flow and Adjusted EBITDA or similarly titled measures differently than we do, limiting their usefulness as comparative measures.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and Adjusted Free Cash Flow only as supplemental information.</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221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6221730"/>
                    </a:xfrm>
                    <a:prstGeom prst="rect">
                      <a:avLst/>
                    </a:prstGeom>
                    <a:noFill/>
                  </pic:spPr>
                </pic:pic>
              </a:graphicData>
            </a:graphic>
          </wp:anchor>
        </w:drawing>
      </w: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40" w:firstLine="426"/>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of the information that you should consider before deciding to invest in our common stock. You should read this entire prospectus carefully, including the “Risk Factors” and the “Management’s Discussion and Analysis of Financial Condition and Results of Operations” sections and our combined financial statements and the notes thereto included elsewhere in this prospectus.</w:t>
      </w:r>
    </w:p>
    <w:p>
      <w:pPr>
        <w:spacing w:after="0" w:line="29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simplify daily life so consumers can enjoy what matters most.</w:t>
      </w:r>
    </w:p>
    <w:p>
      <w:pPr>
        <w:spacing w:after="0" w:line="225"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w:t>
      </w:r>
      <w:r>
        <w:rPr>
          <w:rFonts w:ascii="Arial" w:cs="Arial" w:eastAsia="Arial" w:hAnsi="Arial"/>
          <w:sz w:val="14"/>
          <w:szCs w:val="14"/>
          <w:color w:val="auto"/>
        </w:rPr>
        <w:t>®</w:t>
      </w:r>
      <w:r>
        <w:rPr>
          <w:rFonts w:ascii="Arial" w:cs="Arial" w:eastAsia="Arial" w:hAnsi="Arial"/>
          <w:sz w:val="17"/>
          <w:szCs w:val="17"/>
          <w:color w:val="auto"/>
        </w:rPr>
        <w:t xml:space="preserve"> and Hefty</w:t>
      </w:r>
      <w:r>
        <w:rPr>
          <w:rFonts w:ascii="Arial" w:cs="Arial" w:eastAsia="Arial" w:hAnsi="Arial"/>
          <w:sz w:val="14"/>
          <w:szCs w:val="14"/>
          <w:color w:val="auto"/>
        </w:rPr>
        <w:t>®</w:t>
      </w:r>
      <w:r>
        <w:rPr>
          <w:rFonts w:ascii="Arial" w:cs="Arial" w:eastAsia="Arial" w:hAnsi="Arial"/>
          <w:sz w:val="17"/>
          <w:szCs w:val="17"/>
          <w:color w:val="auto"/>
        </w:rPr>
        <w:t xml:space="preserve">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78" w:lineRule="exact"/>
        <w:rPr>
          <w:sz w:val="20"/>
          <w:szCs w:val="20"/>
          <w:color w:val="auto"/>
        </w:rPr>
      </w:pPr>
    </w:p>
    <w:p>
      <w:pPr>
        <w:ind w:left="380" w:right="20" w:firstLine="426"/>
        <w:spacing w:after="0" w:line="297" w:lineRule="auto"/>
        <w:rPr>
          <w:sz w:val="20"/>
          <w:szCs w:val="20"/>
          <w:color w:val="auto"/>
        </w:rPr>
      </w:pPr>
      <w:r>
        <w:rPr>
          <w:rFonts w:ascii="Arial" w:cs="Arial" w:eastAsia="Arial" w:hAnsi="Arial"/>
          <w:sz w:val="16"/>
          <w:szCs w:val="16"/>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all-commodity volume (“ACV”) in 2018.</w:t>
      </w:r>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FFFFFF"/>
        </w:rPr>
        <w:t>Our leading brand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200" w:lineRule="exact"/>
        <w:rPr>
          <w:sz w:val="20"/>
          <w:szCs w:val="20"/>
          <w:color w:val="auto"/>
        </w:rPr>
      </w:pPr>
    </w:p>
    <w:p>
      <w:pPr>
        <w:spacing w:after="0" w:line="3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050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312" w:lineRule="exact"/>
        <w:rPr>
          <w:sz w:val="20"/>
          <w:szCs w:val="20"/>
          <w:color w:val="auto"/>
        </w:rPr>
      </w:pPr>
    </w:p>
    <w:p>
      <w:pPr>
        <w:ind w:left="380" w:right="280" w:firstLine="426"/>
        <w:spacing w:after="0" w:line="297" w:lineRule="auto"/>
        <w:rPr>
          <w:sz w:val="20"/>
          <w:szCs w:val="20"/>
          <w:color w:val="auto"/>
        </w:rPr>
      </w:pPr>
      <w:r>
        <w:rPr>
          <w:rFonts w:ascii="Arial" w:cs="Arial" w:eastAsia="Arial" w:hAnsi="Arial"/>
          <w:sz w:val="16"/>
          <w:szCs w:val="16"/>
          <w:color w:val="auto"/>
        </w:rPr>
        <w:t>We have strong relationships with a diverse set of customers including leading grocery stores, mass merchants, warehouse clubs, discount chains,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158"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As a category captain level advisor for many of our retail partners, we provide the insights retailers require to grow entire product categories. We provide our customers with category management expertise, including assortment analytics and promotion strategies, which is supported by innovation and consumer-focused insights. We believe that championing our categories helps cement our retailer relationships and will drive growth across all of our product lines. This approach, combined with our leading products, capabilities and service, further differentiates us from our competitors.</w:t>
      </w:r>
    </w:p>
    <w:p>
      <w:pPr>
        <w:spacing w:after="0" w:line="188" w:lineRule="exact"/>
        <w:rPr>
          <w:sz w:val="20"/>
          <w:szCs w:val="20"/>
          <w:color w:val="auto"/>
        </w:rPr>
      </w:pPr>
    </w:p>
    <w:p>
      <w:pPr>
        <w:ind w:left="380" w:right="80" w:firstLine="426"/>
        <w:spacing w:after="0" w:line="272" w:lineRule="auto"/>
        <w:rPr>
          <w:sz w:val="20"/>
          <w:szCs w:val="20"/>
          <w:color w:val="auto"/>
        </w:rPr>
      </w:pPr>
      <w:r>
        <w:rPr>
          <w:rFonts w:ascii="Arial" w:cs="Arial" w:eastAsia="Arial" w:hAnsi="Arial"/>
          <w:sz w:val="17"/>
          <w:szCs w:val="17"/>
          <w:color w:val="auto"/>
        </w:rPr>
        <w:t>While our products have been trusted for generations, we place significant emphasis on constantly improving them. Innovation is a key component of our corporate culture and we aim to continually evolve across our segments through both the introduction of new features on our existing product portfolio and the development of new product solutions. Our objective is to generate 20% of our revenue each year from new products introduced within the prior three years. All of our key product lines include newly developed innovative products such as our Hefty Ultra Strong</w:t>
      </w:r>
      <w:r>
        <w:rPr>
          <w:rFonts w:ascii="Arial" w:cs="Arial" w:eastAsia="Arial" w:hAnsi="Arial"/>
          <w:sz w:val="14"/>
          <w:szCs w:val="14"/>
          <w:color w:val="auto"/>
        </w:rPr>
        <w:t>™</w:t>
      </w:r>
      <w:r>
        <w:rPr>
          <w:rFonts w:ascii="Arial" w:cs="Arial" w:eastAsia="Arial" w:hAnsi="Arial"/>
          <w:sz w:val="17"/>
          <w:szCs w:val="17"/>
          <w:color w:val="auto"/>
        </w:rPr>
        <w:t xml:space="preserve"> trash bags, Reynolds KITCHENS</w:t>
      </w:r>
      <w:r>
        <w:rPr>
          <w:rFonts w:ascii="Arial" w:cs="Arial" w:eastAsia="Arial" w:hAnsi="Arial"/>
          <w:sz w:val="14"/>
          <w:szCs w:val="14"/>
          <w:color w:val="auto"/>
        </w:rPr>
        <w:t>®</w:t>
      </w:r>
      <w:r>
        <w:rPr>
          <w:rFonts w:ascii="Arial" w:cs="Arial" w:eastAsia="Arial" w:hAnsi="Arial"/>
          <w:sz w:val="17"/>
          <w:szCs w:val="17"/>
          <w:color w:val="auto"/>
        </w:rPr>
        <w:t xml:space="preserve"> Slow Cooker Liners, Parchment Pop Up Sheets, 75% Unbleached Compostable Parchment Paper, Hefty branded party cups, store brand party cups and our Presto store brand square-shaped snack bags. We believe our commitment to innovation has driven our growth and is a key reason why consumers continue to choose our products.</w:t>
      </w:r>
    </w:p>
    <w:p>
      <w:pPr>
        <w:spacing w:after="0" w:line="178"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put safety first, treat people with respect and act ethically to operate a business that is sustainable for the long-term. We never compromise our values in the face of market forces and we remain committed to strong rules of governance. We strive to operate with respect for the environment, and we are committed to sustainability across three key areas: our product portfolio, supply chain and communities. We currently deliver sustainable solutions across all of our product lines and are focused on innovation that further develops the eco-friendly profile of our product portfolio.</w:t>
      </w:r>
    </w:p>
    <w:p>
      <w:pPr>
        <w:spacing w:after="0" w:line="188" w:lineRule="exact"/>
        <w:rPr>
          <w:sz w:val="20"/>
          <w:szCs w:val="20"/>
          <w:color w:val="auto"/>
        </w:rPr>
      </w:pPr>
    </w:p>
    <w:p>
      <w:pPr>
        <w:ind w:left="380" w:right="40" w:firstLine="426"/>
        <w:spacing w:after="0" w:line="284" w:lineRule="auto"/>
        <w:rPr>
          <w:sz w:val="20"/>
          <w:szCs w:val="20"/>
          <w:color w:val="auto"/>
        </w:rPr>
      </w:pPr>
      <w:r>
        <w:rPr>
          <w:rFonts w:ascii="Arial" w:cs="Arial" w:eastAsia="Arial" w:hAnsi="Arial"/>
          <w:sz w:val="16"/>
          <w:szCs w:val="16"/>
          <w:color w:val="auto"/>
        </w:rPr>
        <w:t>We have an attractive financial profile with steady, organic revenue growth, robust margins and disciplined capital expenditures. These attributes allow us to generate significant free cash flow. In the year ended December 31, 2018, we generated $3.1 billion in revenue, $176 million in net income and $647 million in Adjusted EBITDA. Since 2014, our income from operations margin and Adjusted EBITDA margin have grown by 364 and 242 basis points to 16% and 21%, respectively, in the year ended December 31, 2018. We have driven margin expansion mainly through our consistent focus on improving operational efficiency, managing costs throughout the cycle and driving innovation. Our revenue, net income and Adjusted EBITDA in the year ended December 31, 2018 reflect compound annual growth rates (“CAGR”) of 2.2%, 110.3% and 5.5%, respectively, since 2014. In the year ended December 31, 2018, we generated $530 million of net cash provided by operating activities, spent</w:t>
      </w:r>
    </w:p>
    <w:p>
      <w:pPr>
        <w:spacing w:after="0" w:line="3" w:lineRule="exact"/>
        <w:rPr>
          <w:sz w:val="20"/>
          <w:szCs w:val="20"/>
          <w:color w:val="auto"/>
        </w:rPr>
      </w:pPr>
    </w:p>
    <w:p>
      <w:pPr>
        <w:ind w:left="380"/>
        <w:spacing w:after="0" w:line="254" w:lineRule="auto"/>
        <w:rPr>
          <w:sz w:val="20"/>
          <w:szCs w:val="20"/>
          <w:color w:val="auto"/>
        </w:rPr>
      </w:pPr>
      <w:r>
        <w:rPr>
          <w:rFonts w:ascii="Arial" w:cs="Arial" w:eastAsia="Arial" w:hAnsi="Arial"/>
          <w:sz w:val="18"/>
          <w:szCs w:val="18"/>
          <w:color w:val="auto"/>
        </w:rPr>
        <w:t>$82 million on capital expenditures and generated $377 million in Adjusted Free Cash Flow. See “—Summary Historical and Unaudited Pro Forma Combined Financial Data” and “Management’s Discussion and Analysis of Financial Condition and Results of Operations—How We Assess the Performance of Our Business” for a reconciliation of Adjusted EBITDA to net income and of Adjusted Free Cash Flow to net cash provided by operating activities.</w:t>
      </w:r>
    </w:p>
    <w:p>
      <w:pPr>
        <w:spacing w:after="0" w:line="29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‘Reyvolution’ Culture</w:t>
      </w:r>
    </w:p>
    <w:p>
      <w:pPr>
        <w:spacing w:after="0" w:line="121" w:lineRule="exact"/>
        <w:rPr>
          <w:sz w:val="20"/>
          <w:szCs w:val="20"/>
          <w:color w:val="auto"/>
        </w:rPr>
      </w:pPr>
    </w:p>
    <w:p>
      <w:pPr>
        <w:ind w:left="380" w:right="300" w:firstLine="426"/>
        <w:spacing w:after="0" w:line="277" w:lineRule="auto"/>
        <w:rPr>
          <w:sz w:val="20"/>
          <w:szCs w:val="20"/>
          <w:color w:val="auto"/>
        </w:rPr>
      </w:pPr>
      <w:r>
        <w:rPr>
          <w:rFonts w:ascii="Arial" w:cs="Arial" w:eastAsia="Arial" w:hAnsi="Arial"/>
          <w:sz w:val="18"/>
          <w:szCs w:val="18"/>
          <w:color w:val="auto"/>
        </w:rPr>
        <w:t>We have a unique corporate culture that aims to continually reinvent and optimize our business. We have formalized our approach into an ethos we refer to as ‘Reyvolution.’ Reyvolution is an all-encompassing way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5989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312" w:lineRule="exact"/>
        <w:rPr>
          <w:sz w:val="20"/>
          <w:szCs w:val="20"/>
          <w:color w:val="auto"/>
        </w:rPr>
      </w:pPr>
    </w:p>
    <w:p>
      <w:pPr>
        <w:ind w:left="380" w:right="40"/>
        <w:spacing w:after="0" w:line="257" w:lineRule="auto"/>
        <w:rPr>
          <w:sz w:val="20"/>
          <w:szCs w:val="20"/>
          <w:color w:val="auto"/>
        </w:rPr>
      </w:pPr>
      <w:r>
        <w:rPr>
          <w:rFonts w:ascii="Arial" w:cs="Arial" w:eastAsia="Arial" w:hAnsi="Arial"/>
          <w:sz w:val="18"/>
          <w:szCs w:val="18"/>
          <w:color w:val="auto"/>
        </w:rPr>
        <w:t>thinking, planning and evaluating our operations to accelerate future growth through product innovation, process automation and cost reduction. Through this disciplined process and mindset, we aim to drive revenue growth, market share increases and margin expansion. We are focused on long-term planning and goal-setting strategies as well as our near term operating results. We believe it is critical to embrace new technology and, through this program, we have made significant investment across our business to accelerate optimization opportunities. Reyvolution is focused on four key areas:</w:t>
      </w:r>
    </w:p>
    <w:p>
      <w:pPr>
        <w:spacing w:after="0" w:line="90"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Growth</w:t>
      </w:r>
      <w:r>
        <w:rPr>
          <w:rFonts w:ascii="Arial" w:cs="Arial" w:eastAsia="Arial" w:hAnsi="Arial"/>
          <w:sz w:val="18"/>
          <w:szCs w:val="18"/>
          <w:color w:val="auto"/>
        </w:rPr>
        <w:t>—support our products and customers through a holistic approach to our categories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Innovation</w:t>
      </w:r>
      <w:r>
        <w:rPr>
          <w:rFonts w:ascii="Arial" w:cs="Arial" w:eastAsia="Arial" w:hAnsi="Arial"/>
          <w:sz w:val="18"/>
          <w:szCs w:val="18"/>
          <w:color w:val="auto"/>
        </w:rPr>
        <w:t>—reinforce our existing product portfolio with new and on-trend products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Cost reduction</w:t>
      </w:r>
      <w:r>
        <w:rPr>
          <w:rFonts w:ascii="Arial" w:cs="Arial" w:eastAsia="Arial" w:hAnsi="Arial"/>
          <w:sz w:val="18"/>
          <w:szCs w:val="18"/>
          <w:color w:val="auto"/>
        </w:rPr>
        <w:t>—optimize our processes to drive increased profitability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Automation</w:t>
      </w:r>
      <w:r>
        <w:rPr>
          <w:rFonts w:ascii="Arial" w:cs="Arial" w:eastAsia="Arial" w:hAnsi="Arial"/>
          <w:sz w:val="18"/>
          <w:szCs w:val="18"/>
          <w:color w:val="auto"/>
        </w:rPr>
        <w:t>—continuously refine our manufacturing base to increase efficiency</w:t>
      </w:r>
    </w:p>
    <w:p>
      <w:pPr>
        <w:spacing w:after="0" w:line="229"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Reyvolution includes a collective, cross-functional effort to drive growth across our business. This systematic program includes collaborative partnerships across our business units, monthly meetings with top executives and rigorous measurement of initiatives and progress against internal benchmarks. The program has yielded significant results both on the top and bottom line. For the two year period ended December 31, 2018, the impact of Reyvolution was approximately $176 million of Adjusted EBITDA benefit. Of the total, $126 million was generated through cost savings across our businesses, with $50 million of Adjusted EBITDA being generated through revenue initiatives. Our Reyvolution strategic initiatives also include internal goals for innovation. Our objective is to generate 20% of our revenue each year from new products introduced within the prior three years. In fiscal year 2018, 21% of our revenue was generated from products that were less than three years old. Reyvolution will continue to impact everything we do on a daily basis.</w:t>
      </w:r>
    </w:p>
    <w:p>
      <w:pPr>
        <w:spacing w:after="0" w:line="2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Segments and Products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pie charts below show the breakdown of our revenue for the fiscal year ended December 31, 2018 by our segments and products.</w:t>
      </w:r>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284"/>
        </w:trPr>
        <w:tc>
          <w:tcPr>
            <w:tcW w:w="524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87"/>
              </w:rPr>
              <w:t>Our segments</w:t>
            </w:r>
          </w:p>
        </w:tc>
        <w:tc>
          <w:tcPr>
            <w:tcW w:w="320" w:type="dxa"/>
            <w:vAlign w:val="bottom"/>
          </w:tcPr>
          <w:p>
            <w:pPr>
              <w:spacing w:after="0"/>
              <w:rPr>
                <w:sz w:val="24"/>
                <w:szCs w:val="24"/>
                <w:color w:val="auto"/>
              </w:rPr>
            </w:pPr>
          </w:p>
        </w:tc>
        <w:tc>
          <w:tcPr>
            <w:tcW w:w="5080" w:type="dxa"/>
            <w:vAlign w:val="bottom"/>
            <w:shd w:val="clear" w:color="auto" w:fill="02237A"/>
          </w:tcPr>
          <w:p>
            <w:pPr>
              <w:jc w:val="center"/>
              <w:ind w:left="30"/>
              <w:spacing w:after="0"/>
              <w:rPr>
                <w:sz w:val="20"/>
                <w:szCs w:val="20"/>
                <w:color w:val="auto"/>
              </w:rPr>
            </w:pPr>
            <w:r>
              <w:rPr>
                <w:rFonts w:ascii="Arial" w:cs="Arial" w:eastAsia="Arial" w:hAnsi="Arial"/>
                <w:sz w:val="18"/>
                <w:szCs w:val="18"/>
                <w:b w:val="1"/>
                <w:bCs w:val="1"/>
                <w:color w:val="FFFFFF"/>
                <w:w w:val="91"/>
              </w:rPr>
              <w:t>Our products</w:t>
            </w:r>
          </w:p>
        </w:tc>
        <w:tc>
          <w:tcPr>
            <w:tcW w:w="0" w:type="dxa"/>
            <w:vAlign w:val="bottom"/>
          </w:tcPr>
          <w:p>
            <w:pPr>
              <w:spacing w:after="0"/>
              <w:rPr>
                <w:sz w:val="1"/>
                <w:szCs w:val="1"/>
                <w:color w:val="auto"/>
              </w:rPr>
            </w:pPr>
          </w:p>
        </w:tc>
      </w:tr>
      <w:tr>
        <w:trPr>
          <w:trHeight w:val="81"/>
        </w:trPr>
        <w:tc>
          <w:tcPr>
            <w:tcW w:w="5240" w:type="dxa"/>
            <w:vAlign w:val="bottom"/>
            <w:shd w:val="clear" w:color="auto" w:fill="02237A"/>
          </w:tcPr>
          <w:p>
            <w:pPr>
              <w:spacing w:after="0"/>
              <w:rPr>
                <w:sz w:val="7"/>
                <w:szCs w:val="7"/>
                <w:color w:val="auto"/>
              </w:rPr>
            </w:pPr>
          </w:p>
        </w:tc>
        <w:tc>
          <w:tcPr>
            <w:tcW w:w="320" w:type="dxa"/>
            <w:vAlign w:val="bottom"/>
            <w:vMerge w:val="restart"/>
          </w:tcPr>
          <w:p>
            <w:pPr>
              <w:spacing w:after="0"/>
              <w:rPr>
                <w:sz w:val="7"/>
                <w:szCs w:val="7"/>
                <w:color w:val="auto"/>
              </w:rPr>
            </w:pPr>
          </w:p>
        </w:tc>
        <w:tc>
          <w:tcPr>
            <w:tcW w:w="5080" w:type="dxa"/>
            <w:vAlign w:val="bottom"/>
            <w:shd w:val="clear" w:color="auto" w:fill="02237A"/>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FY2018 revenue</w:t>
            </w:r>
          </w:p>
        </w:tc>
        <w:tc>
          <w:tcPr>
            <w:tcW w:w="320" w:type="dxa"/>
            <w:vAlign w:val="bottom"/>
            <w:vMerge w:val="continue"/>
          </w:tcPr>
          <w:p>
            <w:pPr>
              <w:spacing w:after="0"/>
              <w:rPr>
                <w:sz w:val="20"/>
                <w:szCs w:val="20"/>
                <w:color w:val="auto"/>
              </w:rPr>
            </w:pPr>
          </w:p>
        </w:tc>
        <w:tc>
          <w:tcPr>
            <w:tcW w:w="50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FY2018 revenue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5603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Segments</w:t>
      </w:r>
    </w:p>
    <w:p>
      <w:pPr>
        <w:spacing w:after="0" w:line="121" w:lineRule="exact"/>
        <w:rPr>
          <w:sz w:val="20"/>
          <w:szCs w:val="20"/>
          <w:color w:val="auto"/>
        </w:rPr>
      </w:pPr>
    </w:p>
    <w:p>
      <w:pPr>
        <w:ind w:left="380" w:right="220" w:firstLine="426"/>
        <w:spacing w:after="0" w:line="277" w:lineRule="auto"/>
        <w:rPr>
          <w:sz w:val="20"/>
          <w:szCs w:val="20"/>
          <w:color w:val="auto"/>
        </w:rPr>
      </w:pPr>
      <w:r>
        <w:rPr>
          <w:rFonts w:ascii="Arial" w:cs="Arial" w:eastAsia="Arial" w:hAnsi="Arial"/>
          <w:sz w:val="18"/>
          <w:szCs w:val="18"/>
          <w:color w:val="auto"/>
        </w:rPr>
        <w:t>We manage our operations in four reportable segments: Reynolds Cooking &amp; Baking, Hefty Waste &amp; Storage, Hefty Tableware and Presto Products.</w:t>
      </w:r>
    </w:p>
    <w:p>
      <w:pPr>
        <w:spacing w:after="0" w:line="76" w:lineRule="exact"/>
        <w:rPr>
          <w:sz w:val="20"/>
          <w:szCs w:val="20"/>
          <w:color w:val="auto"/>
        </w:rPr>
      </w:pPr>
    </w:p>
    <w:p>
      <w:pPr>
        <w:ind w:left="1320" w:hanging="407"/>
        <w:spacing w:after="0"/>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Reynolds Cooking &amp; Baking</w:t>
      </w:r>
      <w:r>
        <w:rPr>
          <w:rFonts w:ascii="Arial" w:cs="Arial" w:eastAsia="Arial" w:hAnsi="Arial"/>
          <w:sz w:val="17"/>
          <w:szCs w:val="17"/>
          <w:color w:val="auto"/>
        </w:rPr>
        <w:t>: Our namesake Reynolds Cooking &amp; Baking segment (“Reynolds Cooking &amp; Baking”) generated</w:t>
      </w:r>
    </w:p>
    <w:p>
      <w:pPr>
        <w:spacing w:after="0" w:line="34" w:lineRule="exact"/>
        <w:rPr>
          <w:rFonts w:ascii="Arial" w:cs="Arial" w:eastAsia="Arial" w:hAnsi="Arial"/>
          <w:sz w:val="17"/>
          <w:szCs w:val="17"/>
          <w:color w:val="auto"/>
        </w:rPr>
      </w:pPr>
    </w:p>
    <w:p>
      <w:pPr>
        <w:ind w:left="1320" w:right="60"/>
        <w:spacing w:after="0" w:line="286" w:lineRule="auto"/>
        <w:rPr>
          <w:rFonts w:ascii="Arial" w:cs="Arial" w:eastAsia="Arial" w:hAnsi="Arial"/>
          <w:sz w:val="17"/>
          <w:szCs w:val="17"/>
          <w:color w:val="auto"/>
        </w:rPr>
      </w:pPr>
      <w:r>
        <w:rPr>
          <w:rFonts w:ascii="Arial" w:cs="Arial" w:eastAsia="Arial" w:hAnsi="Arial"/>
          <w:sz w:val="16"/>
          <w:szCs w:val="16"/>
          <w:color w:val="auto"/>
        </w:rPr>
        <w:t>$1.2 billion in revenue and $234 million in Adjusted EBITDA (a 20% Adjusted EBITDA margin) for the year ended December 31, 2018 and has grown its revenue at a 4.7% CAGR from 2016 to 2018. Through our Reynolds Cooking &amp; Baking segment, we produce branded and store brand foil, disposable aluminum pans, parchment paper, freezer paper, wax paper, plastic wrap, baking cups, oven bags and slow cooker liners. Our branded products are sold under the Reynolds Wrap</w:t>
      </w:r>
      <w:r>
        <w:rPr>
          <w:rFonts w:ascii="Arial" w:cs="Arial" w:eastAsia="Arial" w:hAnsi="Arial"/>
          <w:sz w:val="13"/>
          <w:szCs w:val="13"/>
          <w:color w:val="auto"/>
        </w:rPr>
        <w:t>®</w:t>
      </w:r>
      <w:r>
        <w:rPr>
          <w:rFonts w:ascii="Arial" w:cs="Arial" w:eastAsia="Arial" w:hAnsi="Arial"/>
          <w:sz w:val="16"/>
          <w:szCs w:val="16"/>
          <w:color w:val="auto"/>
        </w:rPr>
        <w:t>, Reynolds KITCHENS and E-Z Foil</w:t>
      </w:r>
      <w:r>
        <w:rPr>
          <w:rFonts w:ascii="Arial" w:cs="Arial" w:eastAsia="Arial" w:hAnsi="Arial"/>
          <w:sz w:val="13"/>
          <w:szCs w:val="13"/>
          <w:color w:val="auto"/>
        </w:rPr>
        <w:t>®</w:t>
      </w:r>
      <w:r>
        <w:rPr>
          <w:rFonts w:ascii="Arial" w:cs="Arial" w:eastAsia="Arial" w:hAnsi="Arial"/>
          <w:sz w:val="16"/>
          <w:szCs w:val="16"/>
          <w:color w:val="auto"/>
        </w:rPr>
        <w:t xml:space="preserve"> brands in the United States and selected international markets, under the ALCAN</w:t>
      </w:r>
      <w:r>
        <w:rPr>
          <w:rFonts w:ascii="Arial" w:cs="Arial" w:eastAsia="Arial" w:hAnsi="Arial"/>
          <w:sz w:val="13"/>
          <w:szCs w:val="13"/>
          <w:color w:val="auto"/>
        </w:rPr>
        <w:t>®</w:t>
      </w:r>
      <w:r>
        <w:rPr>
          <w:rFonts w:ascii="Arial" w:cs="Arial" w:eastAsia="Arial" w:hAnsi="Arial"/>
          <w:sz w:val="16"/>
          <w:szCs w:val="16"/>
          <w:color w:val="auto"/>
        </w:rPr>
        <w:t xml:space="preserve"> brand in Canada and under the Diamond</w:t>
      </w:r>
      <w:r>
        <w:rPr>
          <w:rFonts w:ascii="Arial" w:cs="Arial" w:eastAsia="Arial" w:hAnsi="Arial"/>
          <w:sz w:val="13"/>
          <w:szCs w:val="13"/>
          <w:color w:val="auto"/>
        </w:rPr>
        <w:t>®</w:t>
      </w:r>
      <w:r>
        <w:rPr>
          <w:rFonts w:ascii="Arial" w:cs="Arial" w:eastAsia="Arial" w:hAnsi="Arial"/>
          <w:sz w:val="16"/>
          <w:szCs w:val="16"/>
          <w:color w:val="auto"/>
        </w:rPr>
        <w:t xml:space="preserve"> 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 This sustained leadership provides us with a platform for continued product innovation and expansion into adjacent categories. Reynolds Wrap has been one of the most trusted household brands in the United States since 1947, and Reynolds has aided brand awareness of 98%, according to a 2015 brand awareness study.</w:t>
      </w:r>
    </w:p>
    <w:p>
      <w:pPr>
        <w:spacing w:after="0" w:line="72" w:lineRule="exact"/>
        <w:rPr>
          <w:rFonts w:ascii="Arial" w:cs="Arial" w:eastAsia="Arial" w:hAnsi="Arial"/>
          <w:sz w:val="17"/>
          <w:szCs w:val="17"/>
          <w:color w:val="auto"/>
        </w:rPr>
      </w:pPr>
    </w:p>
    <w:p>
      <w:pPr>
        <w:ind w:left="1320" w:hanging="407"/>
        <w:spacing w:after="0" w:line="29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Hefty Waste &amp; Storage</w:t>
      </w:r>
      <w:r>
        <w:rPr>
          <w:rFonts w:ascii="Arial" w:cs="Arial" w:eastAsia="Arial" w:hAnsi="Arial"/>
          <w:sz w:val="16"/>
          <w:szCs w:val="16"/>
          <w:color w:val="auto"/>
        </w:rPr>
        <w:t>: Our Hefty Waste &amp; Storage segment (“Hefty”) generated $696 million in revenue and $172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EBITDA (a 25% Adjusted EBITDA margin) for the year ended December 31, 2018 and has grown its revenue at a 2.2% CAGR from 2016 to 2018. Through our Hefty segment, we produce both branded and store brand trash and food storage bags. Our products are sold under the Hefty Ultra Strong, Hefty Strong Trash Bags, Hefty Renew and Hefty Slider Bags brands. Hefty is a well-recognized leader in the food storage bag and trash bag categories. We have the #1 market share in U.S. outdoor trash bags. Our robust product portfolio includes a full suite of indoor and outdoor and contractor bags. It also includes sustainable solutions such as blue and clear recycling bags, compostable bags, bags made from recycled materials and the Hefty EnergyBag</w:t>
      </w:r>
      <w:r>
        <w:rPr>
          <w:rFonts w:ascii="Arial" w:cs="Arial" w:eastAsia="Arial" w:hAnsi="Arial"/>
          <w:sz w:val="13"/>
          <w:szCs w:val="13"/>
          <w:color w:val="auto"/>
        </w:rPr>
        <w:t>®</w:t>
      </w:r>
      <w:r>
        <w:rPr>
          <w:rFonts w:ascii="Arial" w:cs="Arial" w:eastAsia="Arial" w:hAnsi="Arial"/>
          <w:sz w:val="16"/>
          <w:szCs w:val="16"/>
          <w:color w:val="auto"/>
        </w:rPr>
        <w:t xml:space="preserve"> Program.</w:t>
      </w:r>
    </w:p>
    <w:p>
      <w:pPr>
        <w:spacing w:after="0" w:line="72" w:lineRule="exact"/>
        <w:rPr>
          <w:rFonts w:ascii="Arial" w:cs="Arial" w:eastAsia="Arial" w:hAnsi="Arial"/>
          <w:sz w:val="16"/>
          <w:szCs w:val="16"/>
          <w:color w:val="auto"/>
        </w:rPr>
      </w:pPr>
    </w:p>
    <w:p>
      <w:pPr>
        <w:ind w:left="1320" w:right="20" w:hanging="407"/>
        <w:spacing w:after="0" w:line="29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Hefty Tableware</w:t>
      </w:r>
      <w:r>
        <w:rPr>
          <w:rFonts w:ascii="Arial" w:cs="Arial" w:eastAsia="Arial" w:hAnsi="Arial"/>
          <w:sz w:val="16"/>
          <w:szCs w:val="16"/>
          <w:color w:val="auto"/>
        </w:rPr>
        <w:t>: Our Hefty Tableware segment (“Tableware”) generated $757 million in revenue and $168 million in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(a 22% Adjusted EBITDA margin) for the year ended December 31, 2018 and has grown its revenue at a 3.3% CAGR from 2016 to 2018. Through our Tableware segment, we sell both branded and store brand disposable and compostable plates, bowls, platters, cups and cutlery. Our Hefty branded products include dishes and party cups. Hefty branded party cups were the #1 party cup in America by market share in 2018.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72" w:lineRule="exact"/>
        <w:rPr>
          <w:rFonts w:ascii="Arial" w:cs="Arial" w:eastAsia="Arial" w:hAnsi="Arial"/>
          <w:sz w:val="16"/>
          <w:szCs w:val="16"/>
          <w:color w:val="auto"/>
        </w:rPr>
      </w:pPr>
    </w:p>
    <w:p>
      <w:pPr>
        <w:ind w:left="1320" w:hanging="407"/>
        <w:spacing w:after="0" w:line="29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Presto Products</w:t>
      </w:r>
      <w:r>
        <w:rPr>
          <w:rFonts w:ascii="Arial" w:cs="Arial" w:eastAsia="Arial" w:hAnsi="Arial"/>
          <w:sz w:val="16"/>
          <w:szCs w:val="16"/>
          <w:color w:val="auto"/>
        </w:rPr>
        <w:t>: Our Presto Products segment (“Presto”) generated $539 million in revenue and $85 million in Adjusted EBITDA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 Adjusted EBITDA margin) for the year ended December 31, 2018 and has grown its revenue at a 2.7% CAGR from 2016 to 2018. Through our Presto segment, we primarily sell store brand products in four main categories: food storage bags, trash bags, reusable storage containers and plastic wrap. Presto is a market leader in food storage bags and differentiates itself by providing access to category management, consumer insights, marketing, merchandising and R&amp;D resources. As a result, through Presto we had a 57% share of the U.S. store brand food storage bag category and a 26% share of the total category in 2018. Our store brand products are national brand equivalent (or better) and we offer consumer-desired features, including compostable bags and</w:t>
      </w:r>
    </w:p>
    <w:p>
      <w:pPr>
        <w:spacing w:after="0" w:line="200" w:lineRule="exact"/>
        <w:rPr>
          <w:sz w:val="20"/>
          <w:szCs w:val="20"/>
          <w:color w:val="auto"/>
        </w:rPr>
      </w:pPr>
    </w:p>
    <w:p>
      <w:pPr>
        <w:spacing w:after="0" w:line="39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98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98500"/>
                    </a:xfrm>
                    <a:prstGeom prst="rect">
                      <a:avLst/>
                    </a:prstGeom>
                    <a:noFill/>
                  </pic:spPr>
                </pic:pic>
              </a:graphicData>
            </a:graphic>
          </wp:anchor>
        </w:drawing>
      </w:r>
    </w:p>
    <w:p>
      <w:pPr>
        <w:spacing w:after="0" w:line="312" w:lineRule="exact"/>
        <w:rPr>
          <w:sz w:val="20"/>
          <w:szCs w:val="20"/>
          <w:color w:val="auto"/>
        </w:rPr>
      </w:pPr>
    </w:p>
    <w:p>
      <w:pPr>
        <w:ind w:left="1340"/>
        <w:spacing w:after="0" w:line="312" w:lineRule="auto"/>
        <w:rPr>
          <w:sz w:val="20"/>
          <w:szCs w:val="20"/>
          <w:color w:val="auto"/>
        </w:rPr>
      </w:pPr>
      <w:r>
        <w:rPr>
          <w:rFonts w:ascii="Arial" w:cs="Arial" w:eastAsia="Arial" w:hAnsi="Arial"/>
          <w:sz w:val="16"/>
          <w:szCs w:val="16"/>
          <w:color w:val="auto"/>
        </w:rPr>
        <w:t>products made with plant-based and recycled materials. Our Presto segment also includes our growing specialty business, which serves other consumer products companies by providing Fresh-Lock</w:t>
      </w:r>
      <w:r>
        <w:rPr>
          <w:rFonts w:ascii="Arial" w:cs="Arial" w:eastAsia="Arial" w:hAnsi="Arial"/>
          <w:sz w:val="13"/>
          <w:szCs w:val="13"/>
          <w:color w:val="auto"/>
        </w:rPr>
        <w:t>®</w:t>
      </w:r>
      <w:r>
        <w:rPr>
          <w:rFonts w:ascii="Arial" w:cs="Arial" w:eastAsia="Arial" w:hAnsi="Arial"/>
          <w:sz w:val="16"/>
          <w:szCs w:val="16"/>
          <w:color w:val="auto"/>
        </w:rPr>
        <w:t xml:space="preserve"> and Slide-Rite</w:t>
      </w:r>
      <w:r>
        <w:rPr>
          <w:rFonts w:ascii="Arial" w:cs="Arial" w:eastAsia="Arial" w:hAnsi="Arial"/>
          <w:sz w:val="13"/>
          <w:szCs w:val="13"/>
          <w:color w:val="auto"/>
        </w:rPr>
        <w:t>®</w:t>
      </w:r>
      <w:r>
        <w:rPr>
          <w:rFonts w:ascii="Arial" w:cs="Arial" w:eastAsia="Arial" w:hAnsi="Arial"/>
          <w:sz w:val="16"/>
          <w:szCs w:val="16"/>
          <w:color w:val="auto"/>
        </w:rPr>
        <w:t xml:space="preserve"> resealable closure systems. We have extended our innovative product technology from our food storage bag products and are growing it through this unique channel.</w:t>
      </w:r>
    </w:p>
    <w:p>
      <w:pPr>
        <w:spacing w:after="0" w:line="200" w:lineRule="exact"/>
        <w:rPr>
          <w:sz w:val="20"/>
          <w:szCs w:val="20"/>
          <w:color w:val="auto"/>
        </w:rPr>
      </w:pPr>
    </w:p>
    <w:p>
      <w:pPr>
        <w:spacing w:after="0" w:line="37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240" w:top="459" w:right="7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56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564630"/>
                    </a:xfrm>
                    <a:prstGeom prst="rect">
                      <a:avLst/>
                    </a:prstGeom>
                    <a:noFill/>
                  </pic:spPr>
                </pic:pic>
              </a:graphicData>
            </a:graphic>
          </wp:anchor>
        </w:drawing>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color w:val="auto"/>
        </w:rPr>
        <w:t>Our portfolio consists of three main product groups: waste &amp; storage products, cooking products and tableware. All of our key product lines include newly developed innovative products. We have the #1 branded market share in product categories that comprised over 65% of our total revenue in fiscal year 2018. We are also a leading store brand supplier in many of the same categories.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FFFFFF"/>
        </w:rPr>
        <w:t>Our key product categories</w:t>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2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1"/>
              </w:rPr>
              <w:t>Waste &amp; storage products</w:t>
            </w: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Cooking products</w:t>
            </w: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Tableware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2780" w:type="dxa"/>
            <w:vAlign w:val="bottom"/>
            <w:tcBorders>
              <w:top w:val="single" w:sz="8" w:color="E5E5E5"/>
            </w:tcBorders>
            <w:shd w:val="clear" w:color="auto" w:fill="E5E5E5"/>
          </w:tcPr>
          <w:p>
            <w:pPr>
              <w:ind w:left="20"/>
              <w:spacing w:after="0" w:line="178" w:lineRule="exact"/>
              <w:rPr>
                <w:sz w:val="20"/>
                <w:szCs w:val="20"/>
                <w:color w:val="auto"/>
              </w:rPr>
            </w:pPr>
            <w:r>
              <w:rPr>
                <w:rFonts w:ascii="Arial" w:cs="Arial" w:eastAsia="Arial" w:hAnsi="Arial"/>
                <w:sz w:val="18"/>
                <w:szCs w:val="18"/>
                <w:b w:val="1"/>
                <w:bCs w:val="1"/>
                <w:color w:val="auto"/>
              </w:rPr>
              <w:t>FY18 revenue</w:t>
            </w:r>
          </w:p>
        </w:tc>
        <w:tc>
          <w:tcPr>
            <w:tcW w:w="100" w:type="dxa"/>
            <w:vAlign w:val="bottom"/>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7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(in millions)</w:t>
            </w:r>
          </w:p>
        </w:tc>
        <w:tc>
          <w:tcPr>
            <w:tcW w:w="2520" w:type="dxa"/>
            <w:vAlign w:val="bottom"/>
            <w:gridSpan w:val="2"/>
          </w:tcPr>
          <w:p>
            <w:pPr>
              <w:jc w:val="right"/>
              <w:ind w:right="793"/>
              <w:spacing w:after="0"/>
              <w:rPr>
                <w:sz w:val="20"/>
                <w:szCs w:val="20"/>
                <w:color w:val="auto"/>
              </w:rPr>
            </w:pPr>
            <w:r>
              <w:rPr>
                <w:rFonts w:ascii="Arial" w:cs="Arial" w:eastAsia="Arial" w:hAnsi="Arial"/>
                <w:sz w:val="18"/>
                <w:szCs w:val="18"/>
                <w:color w:val="auto"/>
              </w:rPr>
              <w:t>$1,226</w:t>
            </w:r>
          </w:p>
        </w:tc>
        <w:tc>
          <w:tcPr>
            <w:tcW w:w="2800" w:type="dxa"/>
            <w:vAlign w:val="bottom"/>
            <w:gridSpan w:val="3"/>
          </w:tcPr>
          <w:p>
            <w:pPr>
              <w:jc w:val="right"/>
              <w:ind w:right="932"/>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2440" w:type="dxa"/>
            <w:vAlign w:val="bottom"/>
          </w:tcPr>
          <w:p>
            <w:pPr>
              <w:jc w:val="right"/>
              <w:ind w:right="932"/>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2780" w:type="dxa"/>
            <w:vAlign w:val="bottom"/>
            <w:tcBorders>
              <w:bottom w:val="single" w:sz="8" w:color="auto"/>
            </w:tcBorders>
            <w:shd w:val="clear" w:color="auto" w:fill="E5E5E5"/>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27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FY16—FY18</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7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CAGR</w:t>
            </w:r>
          </w:p>
        </w:tc>
        <w:tc>
          <w:tcPr>
            <w:tcW w:w="2520" w:type="dxa"/>
            <w:vAlign w:val="bottom"/>
            <w:gridSpan w:val="2"/>
          </w:tcPr>
          <w:p>
            <w:pPr>
              <w:jc w:val="right"/>
              <w:ind w:right="853"/>
              <w:spacing w:after="0"/>
              <w:rPr>
                <w:sz w:val="20"/>
                <w:szCs w:val="20"/>
                <w:color w:val="auto"/>
              </w:rPr>
            </w:pPr>
            <w:r>
              <w:rPr>
                <w:rFonts w:ascii="Arial" w:cs="Arial" w:eastAsia="Arial" w:hAnsi="Arial"/>
                <w:sz w:val="18"/>
                <w:szCs w:val="18"/>
                <w:color w:val="auto"/>
              </w:rPr>
              <w:t>2.5%</w:t>
            </w:r>
          </w:p>
        </w:tc>
        <w:tc>
          <w:tcPr>
            <w:tcW w:w="2800" w:type="dxa"/>
            <w:vAlign w:val="bottom"/>
            <w:gridSpan w:val="3"/>
          </w:tcPr>
          <w:p>
            <w:pPr>
              <w:jc w:val="right"/>
              <w:ind w:right="99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440" w:type="dxa"/>
            <w:vAlign w:val="bottom"/>
          </w:tcPr>
          <w:p>
            <w:pPr>
              <w:jc w:val="right"/>
              <w:ind w:right="93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2780" w:type="dxa"/>
            <w:vAlign w:val="bottom"/>
            <w:tcBorders>
              <w:bottom w:val="single" w:sz="8" w:color="auto"/>
            </w:tcBorders>
            <w:shd w:val="clear" w:color="auto" w:fill="E5E5E5"/>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1"/>
        </w:trPr>
        <w:tc>
          <w:tcPr>
            <w:tcW w:w="180" w:type="dxa"/>
            <w:vAlign w:val="bottom"/>
          </w:tcPr>
          <w:p>
            <w:pPr>
              <w:spacing w:after="0"/>
              <w:rPr>
                <w:sz w:val="24"/>
                <w:szCs w:val="24"/>
                <w:color w:val="auto"/>
              </w:rPr>
            </w:pPr>
          </w:p>
        </w:tc>
        <w:tc>
          <w:tcPr>
            <w:tcW w:w="27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Brands</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2780" w:type="dxa"/>
            <w:vAlign w:val="bottom"/>
            <w:tcBorders>
              <w:bottom w:val="single" w:sz="8" w:color="auto"/>
            </w:tcBorders>
            <w:shd w:val="clear" w:color="auto" w:fill="E5E5E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vMerge w:val="restart"/>
          </w:tcPr>
          <w:p>
            <w:pPr>
              <w:jc w:val="center"/>
              <w:ind w:left="73"/>
              <w:spacing w:after="0"/>
              <w:rPr>
                <w:sz w:val="20"/>
                <w:szCs w:val="20"/>
                <w:color w:val="auto"/>
              </w:rPr>
            </w:pPr>
            <w:r>
              <w:rPr>
                <w:rFonts w:ascii="Arial" w:cs="Arial" w:eastAsia="Arial" w:hAnsi="Arial"/>
                <w:sz w:val="18"/>
                <w:szCs w:val="18"/>
                <w:color w:val="auto"/>
                <w:w w:val="90"/>
              </w:rPr>
              <w:t>Indoor bags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Aluminum foil</w:t>
            </w:r>
          </w:p>
        </w:tc>
        <w:tc>
          <w:tcPr>
            <w:tcW w:w="26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Party cups</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780" w:type="dxa"/>
            <w:vAlign w:val="bottom"/>
            <w:shd w:val="clear" w:color="auto" w:fill="E5E5E5"/>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0"/>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jc w:val="center"/>
              <w:ind w:left="73"/>
              <w:spacing w:after="0"/>
              <w:rPr>
                <w:sz w:val="20"/>
                <w:szCs w:val="20"/>
                <w:color w:val="auto"/>
              </w:rPr>
            </w:pPr>
            <w:r>
              <w:rPr>
                <w:rFonts w:ascii="Arial" w:cs="Arial" w:eastAsia="Arial" w:hAnsi="Arial"/>
                <w:sz w:val="18"/>
                <w:szCs w:val="18"/>
                <w:color w:val="auto"/>
                <w:w w:val="89"/>
              </w:rPr>
              <w:t>Outdoor bags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Aluminum bakeware</w:t>
            </w: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Tableware</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2780" w:type="dxa"/>
            <w:vAlign w:val="bottom"/>
            <w:shd w:val="clear" w:color="auto" w:fill="E5E5E5"/>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5"/>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Parchment paper</w:t>
            </w: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9"/>
              </w:rPr>
              <w:t>Sustainable tableware</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780" w:type="dxa"/>
            <w:vAlign w:val="bottom"/>
            <w:shd w:val="clear" w:color="auto" w:fill="E5E5E5"/>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80" w:type="dxa"/>
            <w:vAlign w:val="bottom"/>
          </w:tcPr>
          <w:p>
            <w:pPr>
              <w:spacing w:after="0"/>
              <w:rPr>
                <w:sz w:val="24"/>
                <w:szCs w:val="24"/>
                <w:color w:val="auto"/>
              </w:rPr>
            </w:pPr>
          </w:p>
        </w:tc>
        <w:tc>
          <w:tcPr>
            <w:tcW w:w="27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Products</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Slow cooker liners</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780" w:type="dxa"/>
            <w:vAlign w:val="bottom"/>
            <w:shd w:val="clear" w:color="auto" w:fill="E5E5E5"/>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vMerge w:val="restart"/>
          </w:tcPr>
          <w:p>
            <w:pPr>
              <w:jc w:val="center"/>
              <w:ind w:left="73"/>
              <w:spacing w:after="0"/>
              <w:rPr>
                <w:sz w:val="20"/>
                <w:szCs w:val="20"/>
                <w:color w:val="auto"/>
              </w:rPr>
            </w:pPr>
            <w:r>
              <w:rPr>
                <w:rFonts w:ascii="Arial" w:cs="Arial" w:eastAsia="Arial" w:hAnsi="Arial"/>
                <w:sz w:val="18"/>
                <w:szCs w:val="18"/>
                <w:color w:val="auto"/>
                <w:w w:val="88"/>
              </w:rPr>
              <w:t>Sustainable bags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Platters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78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vMerge w:val="restart"/>
          </w:tcPr>
          <w:p>
            <w:pPr>
              <w:jc w:val="center"/>
              <w:ind w:left="73"/>
              <w:spacing w:after="0"/>
              <w:rPr>
                <w:sz w:val="20"/>
                <w:szCs w:val="20"/>
                <w:color w:val="auto"/>
              </w:rPr>
            </w:pPr>
            <w:r>
              <w:rPr>
                <w:rFonts w:ascii="Arial" w:cs="Arial" w:eastAsia="Arial" w:hAnsi="Arial"/>
                <w:sz w:val="18"/>
                <w:szCs w:val="18"/>
                <w:color w:val="auto"/>
                <w:w w:val="88"/>
              </w:rPr>
              <w:t>Slider storage bags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Oven bags</w:t>
            </w: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Cutlery</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780" w:type="dxa"/>
            <w:vAlign w:val="bottom"/>
            <w:shd w:val="clear" w:color="auto" w:fill="E5E5E5"/>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vMerge w:val="restart"/>
          </w:tcPr>
          <w:p>
            <w:pPr>
              <w:jc w:val="center"/>
              <w:ind w:left="73"/>
              <w:spacing w:after="0"/>
              <w:rPr>
                <w:sz w:val="20"/>
                <w:szCs w:val="20"/>
                <w:color w:val="auto"/>
              </w:rPr>
            </w:pPr>
            <w:r>
              <w:rPr>
                <w:rFonts w:ascii="Arial" w:cs="Arial" w:eastAsia="Arial" w:hAnsi="Arial"/>
                <w:sz w:val="18"/>
                <w:szCs w:val="18"/>
                <w:color w:val="auto"/>
                <w:w w:val="86"/>
              </w:rPr>
              <w:t>Press-to-close storage bags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Freezer paper</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780" w:type="dxa"/>
            <w:vAlign w:val="bottom"/>
            <w:shd w:val="clear" w:color="auto" w:fill="E5E5E5"/>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Wax paper</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jc w:val="center"/>
              <w:ind w:left="73"/>
              <w:spacing w:after="0"/>
              <w:rPr>
                <w:sz w:val="20"/>
                <w:szCs w:val="20"/>
                <w:color w:val="auto"/>
              </w:rPr>
            </w:pPr>
            <w:r>
              <w:rPr>
                <w:rFonts w:ascii="Arial" w:cs="Arial" w:eastAsia="Arial" w:hAnsi="Arial"/>
                <w:sz w:val="18"/>
                <w:szCs w:val="18"/>
                <w:color w:val="auto"/>
                <w:w w:val="88"/>
              </w:rPr>
              <w:t>Reusable storage containers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5552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552440"/>
                    </a:xfrm>
                    <a:prstGeom prst="rect">
                      <a:avLst/>
                    </a:prstGeom>
                    <a:noFill/>
                  </pic:spPr>
                </pic:pic>
              </a:graphicData>
            </a:graphic>
          </wp:anchor>
        </w:drawing>
      </w:r>
    </w:p>
    <w:p>
      <w:pPr>
        <w:spacing w:after="0" w:line="30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Leading market positions in attractive consumer categories reinforced by well-recognized, iconic brands that resonate with consumers</w:t>
      </w:r>
    </w:p>
    <w:p>
      <w:pPr>
        <w:spacing w:after="0" w:line="140" w:lineRule="exact"/>
        <w:rPr>
          <w:sz w:val="20"/>
          <w:szCs w:val="20"/>
          <w:color w:val="auto"/>
        </w:rPr>
      </w:pPr>
    </w:p>
    <w:p>
      <w:pPr>
        <w:ind w:left="380" w:right="320" w:firstLine="426"/>
        <w:spacing w:after="0" w:line="279" w:lineRule="auto"/>
        <w:rPr>
          <w:sz w:val="20"/>
          <w:szCs w:val="20"/>
          <w:color w:val="auto"/>
        </w:rPr>
      </w:pPr>
      <w:r>
        <w:rPr>
          <w:rFonts w:ascii="Arial" w:cs="Arial" w:eastAsia="Arial" w:hAnsi="Arial"/>
          <w:sz w:val="17"/>
          <w:szCs w:val="17"/>
          <w:color w:val="auto"/>
        </w:rPr>
        <w:t>We hold the #1 or #2 market position by revenue in virtually all of our product categories and are well positioned to capitalize on their growth. Over 65% of our revenue comes from products that are #1 in their respective categories. We invest in both our branded and store brand products, which allows us to focus on growing the entire product category. We have preeminent market positions across both branded and store brand products with total market share of 44% across all of our major product categories in 2018.</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Leading market share in core categories across both branded and store brand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i w:val="1"/>
          <w:iCs w:val="1"/>
          <w:color w:val="auto"/>
        </w:rPr>
        <w:t>(% total combined market share in 2018)</w:t>
      </w:r>
    </w:p>
    <w:p>
      <w:pPr>
        <w:spacing w:after="0" w:line="320"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32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96"/>
              </w:rPr>
              <w:t>Aluminum foil</w:t>
            </w:r>
          </w:p>
        </w:tc>
        <w:tc>
          <w:tcPr>
            <w:tcW w:w="660" w:type="dxa"/>
            <w:vAlign w:val="bottom"/>
          </w:tcPr>
          <w:p>
            <w:pPr>
              <w:spacing w:after="0"/>
              <w:rPr>
                <w:sz w:val="19"/>
                <w:szCs w:val="19"/>
                <w:color w:val="auto"/>
              </w:rPr>
            </w:pPr>
          </w:p>
        </w:tc>
        <w:tc>
          <w:tcPr>
            <w:tcW w:w="3080" w:type="dxa"/>
            <w:vAlign w:val="bottom"/>
            <w:tcBorders>
              <w:bottom w:val="single" w:sz="8" w:color="02237A"/>
            </w:tcBorders>
            <w:shd w:val="clear" w:color="auto" w:fill="02237A"/>
          </w:tcPr>
          <w:p>
            <w:pPr>
              <w:jc w:val="center"/>
              <w:ind w:left="68"/>
              <w:spacing w:after="0"/>
              <w:rPr>
                <w:sz w:val="20"/>
                <w:szCs w:val="20"/>
                <w:color w:val="auto"/>
              </w:rPr>
            </w:pPr>
            <w:r>
              <w:rPr>
                <w:rFonts w:ascii="Arial" w:cs="Arial" w:eastAsia="Arial" w:hAnsi="Arial"/>
                <w:sz w:val="14"/>
                <w:szCs w:val="14"/>
                <w:b w:val="1"/>
                <w:bCs w:val="1"/>
                <w:color w:val="FFFFFF"/>
                <w:w w:val="89"/>
              </w:rPr>
              <w:t>Convenience cooking</w:t>
            </w:r>
          </w:p>
        </w:tc>
        <w:tc>
          <w:tcPr>
            <w:tcW w:w="640" w:type="dxa"/>
            <w:vAlign w:val="bottom"/>
          </w:tcPr>
          <w:p>
            <w:pPr>
              <w:spacing w:after="0"/>
              <w:rPr>
                <w:sz w:val="19"/>
                <w:szCs w:val="19"/>
                <w:color w:val="auto"/>
              </w:rPr>
            </w:pPr>
          </w:p>
        </w:tc>
        <w:tc>
          <w:tcPr>
            <w:tcW w:w="306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8"/>
              </w:rPr>
              <w:t>Trash bags</w:t>
            </w:r>
          </w:p>
        </w:tc>
      </w:tr>
      <w:tr>
        <w:trPr>
          <w:trHeight w:val="126"/>
        </w:trPr>
        <w:tc>
          <w:tcPr>
            <w:tcW w:w="32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1"/>
              </w:rPr>
              <w:t>(Total category: $794 million of 2018 revenues)</w:t>
            </w:r>
          </w:p>
        </w:tc>
        <w:tc>
          <w:tcPr>
            <w:tcW w:w="660" w:type="dxa"/>
            <w:vAlign w:val="bottom"/>
          </w:tcPr>
          <w:p>
            <w:pPr>
              <w:spacing w:after="0"/>
              <w:rPr>
                <w:sz w:val="10"/>
                <w:szCs w:val="10"/>
                <w:color w:val="auto"/>
              </w:rPr>
            </w:pPr>
          </w:p>
        </w:tc>
        <w:tc>
          <w:tcPr>
            <w:tcW w:w="3080" w:type="dxa"/>
            <w:vAlign w:val="bottom"/>
          </w:tcPr>
          <w:p>
            <w:pPr>
              <w:jc w:val="center"/>
              <w:ind w:left="48"/>
              <w:spacing w:after="0" w:line="126" w:lineRule="exact"/>
              <w:rPr>
                <w:sz w:val="20"/>
                <w:szCs w:val="20"/>
                <w:color w:val="auto"/>
              </w:rPr>
            </w:pPr>
            <w:r>
              <w:rPr>
                <w:rFonts w:ascii="Arial" w:cs="Arial" w:eastAsia="Arial" w:hAnsi="Arial"/>
                <w:sz w:val="14"/>
                <w:szCs w:val="14"/>
                <w:b w:val="1"/>
                <w:bCs w:val="1"/>
                <w:color w:val="auto"/>
                <w:w w:val="93"/>
              </w:rPr>
              <w:t>(Parchment, wax and freezer paper,</w:t>
            </w:r>
          </w:p>
        </w:tc>
        <w:tc>
          <w:tcPr>
            <w:tcW w:w="640" w:type="dxa"/>
            <w:vAlign w:val="bottom"/>
          </w:tcPr>
          <w:p>
            <w:pPr>
              <w:spacing w:after="0"/>
              <w:rPr>
                <w:sz w:val="10"/>
                <w:szCs w:val="10"/>
                <w:color w:val="auto"/>
              </w:rPr>
            </w:pPr>
          </w:p>
        </w:tc>
        <w:tc>
          <w:tcPr>
            <w:tcW w:w="3060" w:type="dxa"/>
            <w:vAlign w:val="bottom"/>
          </w:tcPr>
          <w:p>
            <w:pPr>
              <w:jc w:val="center"/>
              <w:ind w:left="48"/>
              <w:spacing w:after="0" w:line="126" w:lineRule="exact"/>
              <w:rPr>
                <w:sz w:val="20"/>
                <w:szCs w:val="20"/>
                <w:color w:val="auto"/>
              </w:rPr>
            </w:pPr>
            <w:r>
              <w:rPr>
                <w:rFonts w:ascii="Arial" w:cs="Arial" w:eastAsia="Arial" w:hAnsi="Arial"/>
                <w:sz w:val="14"/>
                <w:szCs w:val="14"/>
                <w:b w:val="1"/>
                <w:bCs w:val="1"/>
                <w:color w:val="auto"/>
                <w:w w:val="92"/>
              </w:rPr>
              <w:t>(Total category: $2,665 million of 2018</w:t>
            </w:r>
          </w:p>
        </w:tc>
      </w:tr>
      <w:tr>
        <w:trPr>
          <w:trHeight w:val="149"/>
        </w:trPr>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slow cooker liners, oven bags</w:t>
            </w:r>
          </w:p>
        </w:tc>
        <w:tc>
          <w:tcPr>
            <w:tcW w:w="640" w:type="dxa"/>
            <w:vAlign w:val="bottom"/>
          </w:tcPr>
          <w:p>
            <w:pPr>
              <w:spacing w:after="0"/>
              <w:rPr>
                <w:sz w:val="12"/>
                <w:szCs w:val="12"/>
                <w:color w:val="auto"/>
              </w:rPr>
            </w:pPr>
          </w:p>
        </w:tc>
        <w:tc>
          <w:tcPr>
            <w:tcW w:w="30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87"/>
              </w:rPr>
              <w:t>revenues)</w:t>
            </w:r>
          </w:p>
        </w:tc>
      </w:tr>
      <w:tr>
        <w:trPr>
          <w:trHeight w:val="149"/>
        </w:trPr>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and baking cups)</w:t>
            </w: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186"/>
        </w:trPr>
        <w:tc>
          <w:tcPr>
            <w:tcW w:w="3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(Total category: $257 million of 2018 revenues)</w:t>
            </w:r>
          </w:p>
        </w:tc>
        <w:tc>
          <w:tcPr>
            <w:tcW w:w="640" w:type="dxa"/>
            <w:vAlign w:val="bottom"/>
          </w:tcPr>
          <w:p>
            <w:pPr>
              <w:spacing w:after="0"/>
              <w:rPr>
                <w:sz w:val="16"/>
                <w:szCs w:val="16"/>
                <w:color w:val="auto"/>
              </w:rPr>
            </w:pPr>
          </w:p>
        </w:tc>
        <w:tc>
          <w:tcPr>
            <w:tcW w:w="30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32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87"/>
              </w:rPr>
              <w:t>Food storage bags</w:t>
            </w:r>
          </w:p>
        </w:tc>
        <w:tc>
          <w:tcPr>
            <w:tcW w:w="660" w:type="dxa"/>
            <w:vAlign w:val="bottom"/>
          </w:tcPr>
          <w:p>
            <w:pPr>
              <w:spacing w:after="0"/>
              <w:rPr>
                <w:sz w:val="19"/>
                <w:szCs w:val="19"/>
                <w:color w:val="auto"/>
              </w:rPr>
            </w:pPr>
          </w:p>
        </w:tc>
        <w:tc>
          <w:tcPr>
            <w:tcW w:w="308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8"/>
              </w:rPr>
              <w:t>Foam dishes</w:t>
            </w:r>
          </w:p>
        </w:tc>
        <w:tc>
          <w:tcPr>
            <w:tcW w:w="640" w:type="dxa"/>
            <w:vAlign w:val="bottom"/>
          </w:tcPr>
          <w:p>
            <w:pPr>
              <w:spacing w:after="0"/>
              <w:rPr>
                <w:sz w:val="19"/>
                <w:szCs w:val="19"/>
                <w:color w:val="auto"/>
              </w:rPr>
            </w:pPr>
          </w:p>
        </w:tc>
        <w:tc>
          <w:tcPr>
            <w:tcW w:w="3060" w:type="dxa"/>
            <w:vAlign w:val="bottom"/>
            <w:tcBorders>
              <w:bottom w:val="single" w:sz="8" w:color="02237A"/>
            </w:tcBorders>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0"/>
              </w:rPr>
              <w:t>Plastic cups</w:t>
            </w:r>
          </w:p>
        </w:tc>
      </w:tr>
      <w:tr>
        <w:trPr>
          <w:trHeight w:val="126"/>
        </w:trPr>
        <w:tc>
          <w:tcPr>
            <w:tcW w:w="32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(Total category: $1,623 million of</w:t>
            </w:r>
          </w:p>
        </w:tc>
        <w:tc>
          <w:tcPr>
            <w:tcW w:w="660" w:type="dxa"/>
            <w:vAlign w:val="bottom"/>
          </w:tcPr>
          <w:p>
            <w:pPr>
              <w:spacing w:after="0"/>
              <w:rPr>
                <w:sz w:val="10"/>
                <w:szCs w:val="10"/>
                <w:color w:val="auto"/>
              </w:rPr>
            </w:pPr>
          </w:p>
        </w:tc>
        <w:tc>
          <w:tcPr>
            <w:tcW w:w="3080" w:type="dxa"/>
            <w:vAlign w:val="bottom"/>
          </w:tcPr>
          <w:p>
            <w:pPr>
              <w:jc w:val="center"/>
              <w:ind w:left="48"/>
              <w:spacing w:after="0" w:line="126" w:lineRule="exact"/>
              <w:rPr>
                <w:sz w:val="20"/>
                <w:szCs w:val="20"/>
                <w:color w:val="auto"/>
              </w:rPr>
            </w:pPr>
            <w:r>
              <w:rPr>
                <w:rFonts w:ascii="Arial" w:cs="Arial" w:eastAsia="Arial" w:hAnsi="Arial"/>
                <w:sz w:val="14"/>
                <w:szCs w:val="14"/>
                <w:b w:val="1"/>
                <w:bCs w:val="1"/>
                <w:color w:val="auto"/>
                <w:w w:val="93"/>
              </w:rPr>
              <w:t>(Total category: $751 million of</w:t>
            </w:r>
          </w:p>
        </w:tc>
        <w:tc>
          <w:tcPr>
            <w:tcW w:w="640" w:type="dxa"/>
            <w:vAlign w:val="bottom"/>
          </w:tcPr>
          <w:p>
            <w:pPr>
              <w:spacing w:after="0"/>
              <w:rPr>
                <w:sz w:val="10"/>
                <w:szCs w:val="10"/>
                <w:color w:val="auto"/>
              </w:rPr>
            </w:pPr>
          </w:p>
        </w:tc>
        <w:tc>
          <w:tcPr>
            <w:tcW w:w="3060" w:type="dxa"/>
            <w:vAlign w:val="bottom"/>
          </w:tcPr>
          <w:p>
            <w:pPr>
              <w:jc w:val="center"/>
              <w:ind w:left="48"/>
              <w:spacing w:after="0" w:line="126" w:lineRule="exact"/>
              <w:rPr>
                <w:sz w:val="20"/>
                <w:szCs w:val="20"/>
                <w:color w:val="auto"/>
              </w:rPr>
            </w:pPr>
            <w:r>
              <w:rPr>
                <w:rFonts w:ascii="Arial" w:cs="Arial" w:eastAsia="Arial" w:hAnsi="Arial"/>
                <w:sz w:val="14"/>
                <w:szCs w:val="14"/>
                <w:b w:val="1"/>
                <w:bCs w:val="1"/>
                <w:color w:val="auto"/>
                <w:w w:val="94"/>
              </w:rPr>
              <w:t>(Total category: $601 million of</w:t>
            </w:r>
          </w:p>
        </w:tc>
      </w:tr>
      <w:tr>
        <w:trPr>
          <w:trHeight w:val="186"/>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8"/>
              </w:rPr>
              <w:t>2018 revenues)</w:t>
            </w:r>
          </w:p>
        </w:tc>
        <w:tc>
          <w:tcPr>
            <w:tcW w:w="660" w:type="dxa"/>
            <w:vAlign w:val="bottom"/>
          </w:tcPr>
          <w:p>
            <w:pPr>
              <w:spacing w:after="0"/>
              <w:rPr>
                <w:sz w:val="16"/>
                <w:szCs w:val="16"/>
                <w:color w:val="auto"/>
              </w:rPr>
            </w:pPr>
          </w:p>
        </w:tc>
        <w:tc>
          <w:tcPr>
            <w:tcW w:w="308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2018 revenues)</w:t>
            </w:r>
          </w:p>
        </w:tc>
        <w:tc>
          <w:tcPr>
            <w:tcW w:w="640" w:type="dxa"/>
            <w:vAlign w:val="bottom"/>
          </w:tcPr>
          <w:p>
            <w:pPr>
              <w:spacing w:after="0"/>
              <w:rPr>
                <w:sz w:val="16"/>
                <w:szCs w:val="16"/>
                <w:color w:val="auto"/>
              </w:rPr>
            </w:pPr>
          </w:p>
        </w:tc>
        <w:tc>
          <w:tcPr>
            <w:tcW w:w="3060" w:type="dxa"/>
            <w:vAlign w:val="bottom"/>
          </w:tcPr>
          <w:p>
            <w:pPr>
              <w:jc w:val="center"/>
              <w:ind w:left="48"/>
              <w:spacing w:after="0"/>
              <w:rPr>
                <w:sz w:val="20"/>
                <w:szCs w:val="20"/>
                <w:color w:val="auto"/>
              </w:rPr>
            </w:pPr>
            <w:r>
              <w:rPr>
                <w:rFonts w:ascii="Arial" w:cs="Arial" w:eastAsia="Arial" w:hAnsi="Arial"/>
                <w:sz w:val="14"/>
                <w:szCs w:val="14"/>
                <w:b w:val="1"/>
                <w:bCs w:val="1"/>
                <w:color w:val="auto"/>
                <w:w w:val="88"/>
              </w:rPr>
              <w:t>2018 revenues)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Source: Nielsen xAOC 2018.</w:t>
      </w:r>
    </w:p>
    <w:p>
      <w:pPr>
        <w:spacing w:after="0" w:line="208"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We participate in large and growing consumer product categories, with an average growth rate of 3.8% year-over-year from 2017 to 2018. Our categories continue to experience consistent growth, with foil and food storage bags growing at 5.1% and 2.9%, respectively, year-over-year from 2017 to 2018. Our categories are supported by strong demographic profiles, consumer demand for convenience and evolving consumer needs. We continue to drive category growth through our innovation driven new product development and relationships with leading retailers.</w:t>
      </w:r>
    </w:p>
    <w:p>
      <w:pPr>
        <w:spacing w:after="0" w:line="200" w:lineRule="exact"/>
        <w:rPr>
          <w:sz w:val="20"/>
          <w:szCs w:val="20"/>
          <w:color w:val="auto"/>
        </w:rPr>
      </w:pP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7019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7019290"/>
                    </a:xfrm>
                    <a:prstGeom prst="rect">
                      <a:avLst/>
                    </a:prstGeom>
                    <a:noFill/>
                  </pic:spPr>
                </pic:pic>
              </a:graphicData>
            </a:graphic>
          </wp:anchor>
        </w:drawing>
      </w:r>
    </w:p>
    <w:p>
      <w:pPr>
        <w:spacing w:after="0" w:line="312"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Our iconic brands, such as Reynolds and Hefty, have developed strong brand recognition within their categories. Our brands are recognized across all demographics and generations for their quality, strength and reliability. Reynolds Wrap has been one of the top trusted household brands in the United States since 1947. According to a 2015 brand awareness study, Reynolds Wrap has aided brand awareness of 98%. Additionally, Hefty has aided brand awareness of 95%, according to a 2017 brand awareness study.</w:t>
      </w:r>
    </w:p>
    <w:p>
      <w:pPr>
        <w:spacing w:after="0" w:line="2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Our brands have #1 positions across nearly all our categories</w:t>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252"/>
        </w:trPr>
        <w:tc>
          <w:tcPr>
            <w:tcW w:w="2800" w:type="dxa"/>
            <w:vAlign w:val="bottom"/>
            <w:tcBorders>
              <w:top w:val="single" w:sz="8" w:color="auto"/>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Category</w:t>
            </w:r>
          </w:p>
        </w:tc>
        <w:tc>
          <w:tcPr>
            <w:tcW w:w="22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rPr>
              <w:t>Brand</w:t>
            </w:r>
          </w:p>
        </w:tc>
        <w:tc>
          <w:tcPr>
            <w:tcW w:w="2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b w:val="1"/>
                <w:bCs w:val="1"/>
                <w:color w:val="auto"/>
              </w:rPr>
              <w:t>Position</w:t>
            </w:r>
          </w:p>
        </w:tc>
        <w:tc>
          <w:tcPr>
            <w:tcW w:w="3220" w:type="dxa"/>
            <w:vAlign w:val="bottom"/>
            <w:tcBorders>
              <w:top w:val="single" w:sz="8" w:color="auto"/>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9"/>
              </w:rPr>
              <w:t>Brand share of total category</w:t>
            </w:r>
          </w:p>
        </w:tc>
      </w:tr>
      <w:tr>
        <w:trPr>
          <w:trHeight w:val="389"/>
        </w:trPr>
        <w:tc>
          <w:tcPr>
            <w:tcW w:w="2800" w:type="dxa"/>
            <w:vAlign w:val="bottom"/>
          </w:tcPr>
          <w:p>
            <w:pPr>
              <w:jc w:val="center"/>
              <w:ind w:right="350"/>
              <w:spacing w:after="0"/>
              <w:rPr>
                <w:sz w:val="20"/>
                <w:szCs w:val="20"/>
                <w:color w:val="auto"/>
              </w:rPr>
            </w:pPr>
            <w:r>
              <w:rPr>
                <w:rFonts w:ascii="Arial" w:cs="Arial" w:eastAsia="Arial" w:hAnsi="Arial"/>
                <w:sz w:val="18"/>
                <w:szCs w:val="18"/>
                <w:color w:val="auto"/>
                <w:w w:val="97"/>
              </w:rPr>
              <w:t>Aluminum foil (U.S.)</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63%</w:t>
            </w:r>
          </w:p>
        </w:tc>
      </w:tr>
      <w:tr>
        <w:trPr>
          <w:trHeight w:val="540"/>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4"/>
              </w:rPr>
              <w:t>Aluminum foil (Canada)</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71%</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8"/>
              </w:rPr>
              <w:t>Parchment paper</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52%</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9"/>
              </w:rPr>
              <w:t>Wax paper</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63%</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1"/>
              </w:rPr>
              <w:t>Slow cooker liners</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76%</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9"/>
              </w:rPr>
              <w:t>Oven bags</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94%</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6"/>
              </w:rPr>
              <w:t>Freezer paper</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97%</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1"/>
              </w:rPr>
              <w:t>Slider bags</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32%</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6"/>
              </w:rPr>
              <w:t>Party cups</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20%</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7"/>
              </w:rPr>
              <w:t>Foam dishes</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43%</w:t>
            </w:r>
          </w:p>
        </w:tc>
      </w:tr>
      <w:tr>
        <w:trPr>
          <w:trHeight w:val="513"/>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6"/>
              </w:rPr>
              <w:t>Trash bags</w:t>
            </w: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jc w:val="center"/>
              <w:ind w:left="290"/>
              <w:spacing w:after="0"/>
              <w:rPr>
                <w:sz w:val="20"/>
                <w:szCs w:val="20"/>
                <w:color w:val="auto"/>
              </w:rPr>
            </w:pPr>
            <w:r>
              <w:rPr>
                <w:rFonts w:ascii="Arial" w:cs="Arial" w:eastAsia="Arial" w:hAnsi="Arial"/>
                <w:sz w:val="18"/>
                <w:szCs w:val="18"/>
                <w:color w:val="auto"/>
                <w:w w:val="88"/>
              </w:rPr>
              <w:t>19%</w:t>
            </w:r>
          </w:p>
        </w:tc>
      </w:tr>
    </w:tbl>
    <w:p>
      <w:pPr>
        <w:spacing w:after="0" w:line="23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Source: Nielsen xAOC 2018.</w:t>
      </w:r>
    </w:p>
    <w:p>
      <w:pPr>
        <w:spacing w:after="0" w:line="3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Long-term strategic relationships with a diverse set of leading customers</w:t>
      </w:r>
    </w:p>
    <w:p>
      <w:pPr>
        <w:spacing w:after="0" w:line="117" w:lineRule="exact"/>
        <w:rPr>
          <w:sz w:val="20"/>
          <w:szCs w:val="20"/>
          <w:color w:val="auto"/>
        </w:rPr>
      </w:pPr>
    </w:p>
    <w:p>
      <w:pPr>
        <w:ind w:left="380" w:right="20" w:firstLine="426"/>
        <w:spacing w:after="0" w:line="291" w:lineRule="auto"/>
        <w:rPr>
          <w:sz w:val="20"/>
          <w:szCs w:val="20"/>
          <w:color w:val="auto"/>
        </w:rPr>
      </w:pPr>
      <w:r>
        <w:rPr>
          <w:rFonts w:ascii="Arial" w:cs="Arial" w:eastAsia="Arial" w:hAnsi="Arial"/>
          <w:sz w:val="16"/>
          <w:szCs w:val="16"/>
          <w:color w:val="auto"/>
        </w:rPr>
        <w:t>Our customer relationships across leading grocery stores, mass merchants, warehouse clubs, discount chains, drug stores, home improvement stores, military outlets and eCommerce retailers are based on a long history of trust. With many of our customers, we have maintained an ongoing relationship since the inception of our Reynolds brand over 70 years ago. Our experienced sales force, which averages over 10 years of experience at RCP, and the superb service we provide our customers drive our superior levels of ongoing customer satisfaction. The majority of our products are made in the United States, and our strategically located national manufacturing footprint provides logistics advantages and certainty of supply for our retail partners. Our short supply chain relative to competitors and the vendor-managed inventory we offer our major customers are highly valued by our customers because it reduces the inventory they have to carry and limits product shortages.</w:t>
      </w:r>
    </w:p>
    <w:p>
      <w:pPr>
        <w:spacing w:after="0" w:line="167"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We have over 70 years of technical knowledge about our products. We deploy this experience across our business segments to deliver custom innovation solutions. This, together with our low cost manufacturing capabilities and consistent product quality, enables us to provide our customers with a compelling value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5603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603875"/>
                    </a:xfrm>
                    <a:prstGeom prst="rect">
                      <a:avLst/>
                    </a:prstGeom>
                    <a:noFill/>
                  </pic:spPr>
                </pic:pic>
              </a:graphicData>
            </a:graphic>
          </wp:anchor>
        </w:drawing>
      </w:r>
    </w:p>
    <w:p>
      <w:pPr>
        <w:spacing w:after="0" w:line="312" w:lineRule="exact"/>
        <w:rPr>
          <w:sz w:val="20"/>
          <w:szCs w:val="20"/>
          <w:color w:val="auto"/>
        </w:rPr>
      </w:pPr>
    </w:p>
    <w:p>
      <w:pPr>
        <w:ind w:left="380" w:right="200"/>
        <w:spacing w:after="0" w:line="342" w:lineRule="auto"/>
        <w:rPr>
          <w:sz w:val="20"/>
          <w:szCs w:val="20"/>
          <w:color w:val="auto"/>
        </w:rPr>
      </w:pPr>
      <w:r>
        <w:rPr>
          <w:rFonts w:ascii="Arial" w:cs="Arial" w:eastAsia="Arial" w:hAnsi="Arial"/>
          <w:sz w:val="16"/>
          <w:szCs w:val="16"/>
          <w:color w:val="auto"/>
        </w:rPr>
        <w:t>proposition. For example, in addition to our renowned branded products, our store brand products are subject to the same high degree of quality control as branded products and as a result consistently receive a “Pass” rating when tested against the national brands at third-party laboratories.</w:t>
      </w:r>
    </w:p>
    <w:p>
      <w:pPr>
        <w:spacing w:after="0" w:line="124"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We work to make not only our individual products successful but also to provide our retail partners with the insights and recommendations they need to grow entire product categories. We provide our retailers with category management expertise that is supported by innovation and consumer focused insights and includes assortment and promotion strategies. Our ability to provide best-in-class shopper insights directly results in stronger customer loyalty.</w:t>
      </w:r>
    </w:p>
    <w:p>
      <w:pPr>
        <w:spacing w:after="0" w:line="187" w:lineRule="exact"/>
        <w:rPr>
          <w:sz w:val="20"/>
          <w:szCs w:val="20"/>
          <w:color w:val="auto"/>
        </w:rPr>
      </w:pPr>
    </w:p>
    <w:p>
      <w:pPr>
        <w:ind w:left="380" w:right="140" w:firstLine="426"/>
        <w:spacing w:after="0" w:line="342" w:lineRule="auto"/>
        <w:rPr>
          <w:sz w:val="20"/>
          <w:szCs w:val="20"/>
          <w:color w:val="auto"/>
        </w:rPr>
      </w:pPr>
      <w:r>
        <w:rPr>
          <w:rFonts w:ascii="Arial" w:cs="Arial" w:eastAsia="Arial" w:hAnsi="Arial"/>
          <w:sz w:val="16"/>
          <w:szCs w:val="16"/>
          <w:color w:val="auto"/>
        </w:rPr>
        <w:t>We believe these value-added services differentiate us from our competitors and strengthen our customer relationships. This is evidenced by our relationships with our largest retail customers, who we partner with to sell our branded products and to produce their store brand products.</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Demonstrated track record of new product development</w:t>
      </w:r>
    </w:p>
    <w:p>
      <w:pPr>
        <w:spacing w:after="0" w:line="117"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We have a strong track record of innovation, focused on the addition of innovative features to our existing products and the development of new products that address consumers’ unmet needs. Additionally, we strive to further enhance our core product portfolio. We are able to identify emerging consumer trends through our extensive consumer insights, allowing us to develop products with the features and functions that consumers are looking for. We believe we were the first to introduce a food storage bag, the first to introduce a slider closure on food storage bags, the first to introduce the drawstring trash bag, the first to introduce the “gripper” feature on trash bags, the first to add an unscented odor block feature to trash bags and the first to add non-stick coating to aluminum foil. We have a robust track record of developing and launching successful new products.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3420" w:type="dxa"/>
            <w:vAlign w:val="bottom"/>
            <w:vMerge w:val="restart"/>
            <w:shd w:val="clear" w:color="auto" w:fill="02237A"/>
          </w:tcPr>
          <w:p>
            <w:pPr>
              <w:ind w:left="1140"/>
              <w:spacing w:after="0"/>
              <w:rPr>
                <w:sz w:val="20"/>
                <w:szCs w:val="20"/>
                <w:color w:val="auto"/>
              </w:rPr>
            </w:pPr>
            <w:r>
              <w:rPr>
                <w:rFonts w:ascii="Arial" w:cs="Arial" w:eastAsia="Arial" w:hAnsi="Arial"/>
                <w:sz w:val="14"/>
                <w:szCs w:val="14"/>
                <w:b w:val="1"/>
                <w:bCs w:val="1"/>
                <w:color w:val="FFFFFF"/>
              </w:rPr>
              <w:t>Hefty Ultra Strong</w:t>
            </w:r>
          </w:p>
        </w:tc>
        <w:tc>
          <w:tcPr>
            <w:tcW w:w="320" w:type="dxa"/>
            <w:vAlign w:val="bottom"/>
          </w:tcPr>
          <w:p>
            <w:pPr>
              <w:spacing w:after="0"/>
              <w:rPr>
                <w:sz w:val="16"/>
                <w:szCs w:val="16"/>
                <w:color w:val="auto"/>
              </w:rPr>
            </w:pPr>
          </w:p>
        </w:tc>
        <w:tc>
          <w:tcPr>
            <w:tcW w:w="3320" w:type="dxa"/>
            <w:vAlign w:val="bottom"/>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5"/>
              </w:rPr>
              <w:t>Reynolds KITCHENS Slow</w:t>
            </w:r>
          </w:p>
        </w:tc>
        <w:tc>
          <w:tcPr>
            <w:tcW w:w="300" w:type="dxa"/>
            <w:vAlign w:val="bottom"/>
          </w:tcPr>
          <w:p>
            <w:pPr>
              <w:spacing w:after="0"/>
              <w:rPr>
                <w:sz w:val="16"/>
                <w:szCs w:val="16"/>
                <w:color w:val="auto"/>
              </w:rPr>
            </w:pPr>
          </w:p>
        </w:tc>
        <w:tc>
          <w:tcPr>
            <w:tcW w:w="3280" w:type="dxa"/>
            <w:vAlign w:val="bottom"/>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3"/>
              </w:rPr>
              <w:t>Store brand square</w:t>
            </w:r>
          </w:p>
        </w:tc>
        <w:tc>
          <w:tcPr>
            <w:tcW w:w="0" w:type="dxa"/>
            <w:vAlign w:val="bottom"/>
          </w:tcPr>
          <w:p>
            <w:pPr>
              <w:spacing w:after="0"/>
              <w:rPr>
                <w:sz w:val="1"/>
                <w:szCs w:val="1"/>
                <w:color w:val="auto"/>
              </w:rPr>
            </w:pPr>
          </w:p>
        </w:tc>
      </w:tr>
      <w:tr>
        <w:trPr>
          <w:trHeight w:val="119"/>
        </w:trPr>
        <w:tc>
          <w:tcPr>
            <w:tcW w:w="3420" w:type="dxa"/>
            <w:vAlign w:val="bottom"/>
            <w:vMerge w:val="continue"/>
            <w:shd w:val="clear" w:color="auto" w:fill="02237A"/>
          </w:tcPr>
          <w:p>
            <w:pPr>
              <w:spacing w:after="0"/>
              <w:rPr>
                <w:sz w:val="10"/>
                <w:szCs w:val="10"/>
                <w:color w:val="auto"/>
              </w:rPr>
            </w:pPr>
          </w:p>
        </w:tc>
        <w:tc>
          <w:tcPr>
            <w:tcW w:w="320" w:type="dxa"/>
            <w:vAlign w:val="bottom"/>
          </w:tcPr>
          <w:p>
            <w:pPr>
              <w:spacing w:after="0"/>
              <w:rPr>
                <w:sz w:val="10"/>
                <w:szCs w:val="10"/>
                <w:color w:val="auto"/>
              </w:rPr>
            </w:pPr>
          </w:p>
        </w:tc>
        <w:tc>
          <w:tcPr>
            <w:tcW w:w="3320" w:type="dxa"/>
            <w:vAlign w:val="bottom"/>
            <w:vMerge w:val="restart"/>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93"/>
              </w:rPr>
              <w:t>Cooker Liners</w:t>
            </w:r>
          </w:p>
        </w:tc>
        <w:tc>
          <w:tcPr>
            <w:tcW w:w="300" w:type="dxa"/>
            <w:vAlign w:val="bottom"/>
          </w:tcPr>
          <w:p>
            <w:pPr>
              <w:spacing w:after="0"/>
              <w:rPr>
                <w:sz w:val="10"/>
                <w:szCs w:val="10"/>
                <w:color w:val="auto"/>
              </w:rPr>
            </w:pPr>
          </w:p>
        </w:tc>
        <w:tc>
          <w:tcPr>
            <w:tcW w:w="3280" w:type="dxa"/>
            <w:vAlign w:val="bottom"/>
            <w:vMerge w:val="restart"/>
            <w:shd w:val="clear" w:color="auto" w:fill="02237A"/>
          </w:tcPr>
          <w:p>
            <w:pPr>
              <w:jc w:val="center"/>
              <w:ind w:left="48"/>
              <w:spacing w:after="0"/>
              <w:rPr>
                <w:sz w:val="20"/>
                <w:szCs w:val="20"/>
                <w:color w:val="auto"/>
              </w:rPr>
            </w:pPr>
            <w:r>
              <w:rPr>
                <w:rFonts w:ascii="Arial" w:cs="Arial" w:eastAsia="Arial" w:hAnsi="Arial"/>
                <w:sz w:val="14"/>
                <w:szCs w:val="14"/>
                <w:b w:val="1"/>
                <w:bCs w:val="1"/>
                <w:color w:val="FFFFFF"/>
                <w:w w:val="89"/>
              </w:rPr>
              <w:t>snack bags</w:t>
            </w:r>
          </w:p>
        </w:tc>
        <w:tc>
          <w:tcPr>
            <w:tcW w:w="0" w:type="dxa"/>
            <w:vAlign w:val="bottom"/>
          </w:tcPr>
          <w:p>
            <w:pPr>
              <w:spacing w:after="0"/>
              <w:rPr>
                <w:sz w:val="1"/>
                <w:szCs w:val="1"/>
                <w:color w:val="auto"/>
              </w:rPr>
            </w:pPr>
          </w:p>
        </w:tc>
      </w:tr>
      <w:tr>
        <w:trPr>
          <w:trHeight w:val="68"/>
        </w:trPr>
        <w:tc>
          <w:tcPr>
            <w:tcW w:w="342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320" w:type="dxa"/>
            <w:vAlign w:val="bottom"/>
            <w:vMerge w:val="continue"/>
            <w:shd w:val="clear" w:color="auto" w:fill="02237A"/>
          </w:tcPr>
          <w:p>
            <w:pPr>
              <w:spacing w:after="0"/>
              <w:rPr>
                <w:sz w:val="5"/>
                <w:szCs w:val="5"/>
                <w:color w:val="auto"/>
              </w:rPr>
            </w:pPr>
          </w:p>
        </w:tc>
        <w:tc>
          <w:tcPr>
            <w:tcW w:w="300" w:type="dxa"/>
            <w:vAlign w:val="bottom"/>
          </w:tcPr>
          <w:p>
            <w:pPr>
              <w:spacing w:after="0"/>
              <w:rPr>
                <w:sz w:val="5"/>
                <w:szCs w:val="5"/>
                <w:color w:val="auto"/>
              </w:rPr>
            </w:pPr>
          </w:p>
        </w:tc>
        <w:tc>
          <w:tcPr>
            <w:tcW w:w="3280" w:type="dxa"/>
            <w:vAlign w:val="bottom"/>
            <w:vMerge w:val="continue"/>
            <w:shd w:val="clear" w:color="auto" w:fill="02237A"/>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42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320" w:type="dxa"/>
            <w:vAlign w:val="bottom"/>
            <w:shd w:val="clear" w:color="auto" w:fill="02237A"/>
          </w:tcPr>
          <w:p>
            <w:pPr>
              <w:spacing w:after="0"/>
              <w:rPr>
                <w:sz w:val="5"/>
                <w:szCs w:val="5"/>
                <w:color w:val="auto"/>
              </w:rPr>
            </w:pPr>
          </w:p>
        </w:tc>
        <w:tc>
          <w:tcPr>
            <w:tcW w:w="300" w:type="dxa"/>
            <w:vAlign w:val="bottom"/>
          </w:tcPr>
          <w:p>
            <w:pPr>
              <w:spacing w:after="0"/>
              <w:rPr>
                <w:sz w:val="5"/>
                <w:szCs w:val="5"/>
                <w:color w:val="auto"/>
              </w:rPr>
            </w:pPr>
          </w:p>
        </w:tc>
        <w:tc>
          <w:tcPr>
            <w:tcW w:w="3280" w:type="dxa"/>
            <w:vAlign w:val="bottom"/>
            <w:shd w:val="clear" w:color="auto" w:fill="02237A"/>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45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hanging="246"/>
        <w:spacing w:after="0" w:line="369" w:lineRule="auto"/>
        <w:tabs>
          <w:tab w:leader="none" w:pos="697" w:val="left"/>
        </w:tabs>
        <w:numPr>
          <w:ilvl w:val="0"/>
          <w:numId w:val="7"/>
        </w:numPr>
        <w:rPr>
          <w:rFonts w:ascii="Arial" w:cs="Arial" w:eastAsia="Arial" w:hAnsi="Arial"/>
          <w:sz w:val="14"/>
          <w:szCs w:val="14"/>
          <w:color w:val="auto"/>
        </w:rPr>
      </w:pPr>
      <w:r>
        <w:rPr>
          <w:rFonts w:ascii="Arial" w:cs="Arial" w:eastAsia="Arial" w:hAnsi="Arial"/>
          <w:sz w:val="14"/>
          <w:szCs w:val="14"/>
          <w:color w:val="auto"/>
        </w:rPr>
        <w:t>Addresses top consumer dissatisfactions such as odors, drawstring breaks and bag tears</w:t>
      </w:r>
    </w:p>
    <w:p>
      <w:pPr>
        <w:spacing w:after="0" w:line="217" w:lineRule="exact"/>
        <w:rPr>
          <w:rFonts w:ascii="Arial" w:cs="Arial" w:eastAsia="Arial" w:hAnsi="Arial"/>
          <w:sz w:val="14"/>
          <w:szCs w:val="14"/>
          <w:color w:val="auto"/>
        </w:rPr>
      </w:pPr>
    </w:p>
    <w:p>
      <w:pPr>
        <w:ind w:left="720" w:right="300" w:hanging="246"/>
        <w:spacing w:after="0" w:line="200" w:lineRule="auto"/>
        <w:tabs>
          <w:tab w:leader="none" w:pos="706" w:val="left"/>
        </w:tabs>
        <w:numPr>
          <w:ilvl w:val="0"/>
          <w:numId w:val="7"/>
        </w:numPr>
        <w:rPr>
          <w:rFonts w:ascii="Arial" w:cs="Arial" w:eastAsia="Arial" w:hAnsi="Arial"/>
          <w:sz w:val="16"/>
          <w:szCs w:val="16"/>
          <w:color w:val="auto"/>
        </w:rPr>
      </w:pPr>
      <w:r>
        <w:rPr>
          <w:rFonts w:ascii="Arial" w:cs="Arial" w:eastAsia="Arial" w:hAnsi="Arial"/>
          <w:sz w:val="16"/>
          <w:szCs w:val="16"/>
          <w:color w:val="auto"/>
        </w:rPr>
        <w:t>Utilizes Arm &amp; Hammer</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patented odor neutralizer for revitalized scents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37" w:right="420" w:hanging="237"/>
        <w:spacing w:after="0" w:line="369" w:lineRule="auto"/>
        <w:tabs>
          <w:tab w:leader="none" w:pos="214" w:val="left"/>
        </w:tabs>
        <w:numPr>
          <w:ilvl w:val="0"/>
          <w:numId w:val="8"/>
        </w:numPr>
        <w:rPr>
          <w:rFonts w:ascii="Arial" w:cs="Arial" w:eastAsia="Arial" w:hAnsi="Arial"/>
          <w:sz w:val="14"/>
          <w:szCs w:val="14"/>
          <w:color w:val="auto"/>
        </w:rPr>
      </w:pPr>
      <w:r>
        <w:rPr>
          <w:rFonts w:ascii="Arial" w:cs="Arial" w:eastAsia="Arial" w:hAnsi="Arial"/>
          <w:sz w:val="14"/>
          <w:szCs w:val="14"/>
          <w:color w:val="auto"/>
        </w:rPr>
        <w:t>Addresses key pain point of soaking/scrubbing the slow cooker</w:t>
      </w:r>
    </w:p>
    <w:p>
      <w:pPr>
        <w:spacing w:after="0" w:line="220" w:lineRule="exact"/>
        <w:rPr>
          <w:rFonts w:ascii="Arial" w:cs="Arial" w:eastAsia="Arial" w:hAnsi="Arial"/>
          <w:sz w:val="14"/>
          <w:szCs w:val="14"/>
          <w:color w:val="auto"/>
        </w:rPr>
      </w:pPr>
    </w:p>
    <w:p>
      <w:pPr>
        <w:ind w:left="237" w:hanging="237"/>
        <w:spacing w:after="0" w:line="369" w:lineRule="auto"/>
        <w:tabs>
          <w:tab w:leader="none" w:pos="223" w:val="left"/>
        </w:tabs>
        <w:numPr>
          <w:ilvl w:val="0"/>
          <w:numId w:val="8"/>
        </w:numPr>
        <w:rPr>
          <w:rFonts w:ascii="Arial" w:cs="Arial" w:eastAsia="Arial" w:hAnsi="Arial"/>
          <w:sz w:val="14"/>
          <w:szCs w:val="14"/>
          <w:color w:val="auto"/>
        </w:rPr>
      </w:pPr>
      <w:r>
        <w:rPr>
          <w:rFonts w:ascii="Arial" w:cs="Arial" w:eastAsia="Arial" w:hAnsi="Arial"/>
          <w:sz w:val="14"/>
          <w:szCs w:val="14"/>
          <w:color w:val="auto"/>
        </w:rPr>
        <w:t>BPA-free product that offers convenience for household meal preparation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1" w:right="80" w:hanging="251"/>
        <w:spacing w:after="0" w:line="278" w:lineRule="auto"/>
        <w:tabs>
          <w:tab w:leader="none" w:pos="228"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Addresses consumer need for taller bags that can fit a larger assortment of snacks in terms of size and shape</w:t>
      </w:r>
    </w:p>
    <w:p>
      <w:pPr>
        <w:spacing w:after="0" w:line="76" w:lineRule="exact"/>
        <w:rPr>
          <w:rFonts w:ascii="Arial" w:cs="Arial" w:eastAsia="Arial" w:hAnsi="Arial"/>
          <w:sz w:val="16"/>
          <w:szCs w:val="16"/>
          <w:color w:val="auto"/>
        </w:rPr>
      </w:pPr>
    </w:p>
    <w:p>
      <w:pPr>
        <w:ind w:left="251" w:right="20" w:hanging="251"/>
        <w:spacing w:after="0" w:line="278"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Unique square shape that is easier to fill and close and offers more optionality than rectangular bags</w:t>
      </w:r>
    </w:p>
    <w:p>
      <w:pPr>
        <w:spacing w:after="0" w:line="76" w:lineRule="exact"/>
        <w:rPr>
          <w:sz w:val="20"/>
          <w:szCs w:val="20"/>
          <w:color w:val="auto"/>
        </w:rPr>
      </w:pPr>
    </w:p>
    <w:p>
      <w:pPr>
        <w:sectPr>
          <w:pgSz w:w="11900" w:h="16838" w:orient="portrait"/>
          <w:cols w:equalWidth="0" w:num="3">
            <w:col w:w="3640" w:space="683"/>
            <w:col w:w="2917" w:space="689"/>
            <w:col w:w="3111"/>
          </w:cols>
          <w:pgMar w:left="240" w:top="459" w:right="619" w:bottom="1440" w:gutter="0" w:footer="0" w:header="0"/>
          <w:type w:val="continuous"/>
        </w:sectPr>
      </w:pPr>
    </w:p>
    <w:tbl>
      <w:tblPr>
        <w:tblLayout w:type="fixed"/>
        <w:tblInd w:w="480" w:type="dxa"/>
        <w:tblCellMar>
          <w:top w:w="0" w:type="dxa"/>
          <w:left w:w="0" w:type="dxa"/>
          <w:bottom w:w="0" w:type="dxa"/>
          <w:right w:w="0" w:type="dxa"/>
        </w:tblCellMar>
      </w:tblP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w w:val="99"/>
              </w:rPr>
              <w:t>•  Uses active tear-resistant technology and higher</w:t>
            </w:r>
          </w:p>
        </w:tc>
        <w:tc>
          <w:tcPr>
            <w:tcW w:w="3560" w:type="dxa"/>
            <w:vAlign w:val="bottom"/>
          </w:tcPr>
          <w:p>
            <w:pPr>
              <w:ind w:left="260"/>
              <w:spacing w:after="0"/>
              <w:rPr>
                <w:sz w:val="20"/>
                <w:szCs w:val="20"/>
                <w:color w:val="auto"/>
              </w:rPr>
            </w:pPr>
            <w:r>
              <w:rPr>
                <w:rFonts w:ascii="Arial" w:cs="Arial" w:eastAsia="Arial" w:hAnsi="Arial"/>
                <w:sz w:val="16"/>
                <w:szCs w:val="16"/>
                <w:color w:val="auto"/>
              </w:rPr>
              <w:t>•  Provides fast and easy clean up in seconds</w:t>
            </w:r>
          </w:p>
        </w:tc>
        <w:tc>
          <w:tcPr>
            <w:tcW w:w="3160" w:type="dxa"/>
            <w:vAlign w:val="bottom"/>
            <w:gridSpan w:val="2"/>
          </w:tcPr>
          <w:p>
            <w:pPr>
              <w:ind w:left="300"/>
              <w:spacing w:after="0"/>
              <w:rPr>
                <w:sz w:val="20"/>
                <w:szCs w:val="20"/>
                <w:color w:val="auto"/>
              </w:rPr>
            </w:pPr>
            <w:r>
              <w:rPr>
                <w:rFonts w:ascii="Arial" w:cs="Arial" w:eastAsia="Arial" w:hAnsi="Arial"/>
                <w:sz w:val="16"/>
                <w:szCs w:val="16"/>
                <w:color w:val="auto"/>
                <w:w w:val="95"/>
              </w:rPr>
              <w:t>•  Multipurpose storage that seals in flavor</w:t>
            </w:r>
          </w:p>
        </w:tc>
      </w:tr>
      <w:tr>
        <w:trPr>
          <w:trHeight w:val="203"/>
        </w:trPr>
        <w:tc>
          <w:tcPr>
            <w:tcW w:w="3580" w:type="dxa"/>
            <w:vAlign w:val="bottom"/>
            <w:gridSpan w:val="2"/>
          </w:tcPr>
          <w:p>
            <w:pPr>
              <w:ind w:left="240"/>
              <w:spacing w:after="0"/>
              <w:rPr>
                <w:sz w:val="20"/>
                <w:szCs w:val="20"/>
                <w:color w:val="auto"/>
              </w:rPr>
            </w:pPr>
            <w:r>
              <w:rPr>
                <w:rFonts w:ascii="Arial" w:cs="Arial" w:eastAsia="Arial" w:hAnsi="Arial"/>
                <w:sz w:val="16"/>
                <w:szCs w:val="16"/>
                <w:color w:val="auto"/>
              </w:rPr>
              <w:t>grade resin for stronger bags and improved</w:t>
            </w:r>
          </w:p>
        </w:tc>
        <w:tc>
          <w:tcPr>
            <w:tcW w:w="3560" w:type="dxa"/>
            <w:vAlign w:val="bottom"/>
          </w:tcPr>
          <w:p>
            <w:pPr>
              <w:spacing w:after="0"/>
              <w:rPr>
                <w:sz w:val="17"/>
                <w:szCs w:val="17"/>
                <w:color w:val="auto"/>
              </w:rPr>
            </w:pPr>
          </w:p>
        </w:tc>
        <w:tc>
          <w:tcPr>
            <w:tcW w:w="3160" w:type="dxa"/>
            <w:vAlign w:val="bottom"/>
            <w:gridSpan w:val="2"/>
          </w:tcPr>
          <w:p>
            <w:pPr>
              <w:ind w:left="560"/>
              <w:spacing w:after="0"/>
              <w:rPr>
                <w:sz w:val="20"/>
                <w:szCs w:val="20"/>
                <w:color w:val="auto"/>
              </w:rPr>
            </w:pPr>
            <w:r>
              <w:rPr>
                <w:rFonts w:ascii="Arial" w:cs="Arial" w:eastAsia="Arial" w:hAnsi="Arial"/>
                <w:sz w:val="16"/>
                <w:szCs w:val="16"/>
                <w:color w:val="auto"/>
              </w:rPr>
              <w:t>and freshness for food items</w:t>
            </w:r>
          </w:p>
        </w:tc>
      </w:tr>
      <w:tr>
        <w:trPr>
          <w:trHeight w:val="216"/>
        </w:trPr>
        <w:tc>
          <w:tcPr>
            <w:tcW w:w="3580" w:type="dxa"/>
            <w:vAlign w:val="bottom"/>
            <w:gridSpan w:val="2"/>
          </w:tcPr>
          <w:p>
            <w:pPr>
              <w:ind w:left="240"/>
              <w:spacing w:after="0"/>
              <w:rPr>
                <w:sz w:val="20"/>
                <w:szCs w:val="20"/>
                <w:color w:val="auto"/>
              </w:rPr>
            </w:pPr>
            <w:r>
              <w:rPr>
                <w:rFonts w:ascii="Arial" w:cs="Arial" w:eastAsia="Arial" w:hAnsi="Arial"/>
                <w:sz w:val="16"/>
                <w:szCs w:val="16"/>
                <w:color w:val="auto"/>
              </w:rPr>
              <w:t>performance</w:t>
            </w:r>
          </w:p>
        </w:tc>
        <w:tc>
          <w:tcPr>
            <w:tcW w:w="3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340" w:type="dxa"/>
            <w:vAlign w:val="bottom"/>
          </w:tcPr>
          <w:p>
            <w:pPr>
              <w:spacing w:after="0"/>
              <w:rPr>
                <w:sz w:val="2"/>
                <w:szCs w:val="2"/>
                <w:color w:val="auto"/>
              </w:rPr>
            </w:pPr>
          </w:p>
        </w:tc>
        <w:tc>
          <w:tcPr>
            <w:tcW w:w="324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46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312"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color w:val="auto"/>
        </w:rPr>
        <w:t>We have invested considerable resources to develop proprietary products and efficient manufacturing capabilities and we actively protect our intellectual property. 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also look to partner with both our suppliers and customers to drive innovation through the entire supply chain.</w:t>
      </w:r>
    </w:p>
    <w:p>
      <w:pPr>
        <w:spacing w:after="0" w:line="188"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auto"/>
        </w:rPr>
        <w:t>As sustainability becomes more central to the consumer’s purchasing decision, we remain focused on developing new eco-friendly products, and we are continuously investing in our capabilities to improve our ability to utilize recycled materials. We currently have environmentally friendly options across the vast majority of our product categories, such as compostable trash bags and store brand bags made from plant-based resins and recyclable materials. We have a strong pipeline of new products in development, many of which are part of our broader sustainability initiatives.</w:t>
      </w:r>
    </w:p>
    <w:p>
      <w:pPr>
        <w:spacing w:after="0" w:line="188" w:lineRule="exact"/>
        <w:rPr>
          <w:sz w:val="20"/>
          <w:szCs w:val="20"/>
          <w:color w:val="auto"/>
        </w:rPr>
      </w:pPr>
    </w:p>
    <w:p>
      <w:pPr>
        <w:ind w:left="380" w:right="440" w:firstLine="426"/>
        <w:spacing w:after="0" w:line="277" w:lineRule="auto"/>
        <w:rPr>
          <w:sz w:val="20"/>
          <w:szCs w:val="20"/>
          <w:color w:val="auto"/>
        </w:rPr>
      </w:pPr>
      <w:r>
        <w:rPr>
          <w:rFonts w:ascii="Arial" w:cs="Arial" w:eastAsia="Arial" w:hAnsi="Arial"/>
          <w:sz w:val="18"/>
          <w:szCs w:val="18"/>
          <w:color w:val="auto"/>
        </w:rPr>
        <w:t>Innovation is a significant component of our culture and is further instilled through Reyvolution. We have devoted significant resources towards this endeavor and believe that our highly experienced R&amp;D teams will remain on the cutting edge.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Well-invested manufacturing footprint that serves as a competitive moat</w:t>
      </w:r>
    </w:p>
    <w:p>
      <w:pPr>
        <w:spacing w:after="0" w:line="117" w:lineRule="exact"/>
        <w:rPr>
          <w:sz w:val="20"/>
          <w:szCs w:val="20"/>
          <w:color w:val="auto"/>
        </w:rPr>
      </w:pPr>
    </w:p>
    <w:p>
      <w:pPr>
        <w:ind w:left="380" w:right="60" w:firstLine="426"/>
        <w:spacing w:after="0" w:line="254" w:lineRule="auto"/>
        <w:rPr>
          <w:sz w:val="20"/>
          <w:szCs w:val="20"/>
          <w:color w:val="auto"/>
        </w:rPr>
      </w:pPr>
      <w:r>
        <w:rPr>
          <w:rFonts w:ascii="Arial" w:cs="Arial" w:eastAsia="Arial" w:hAnsi="Arial"/>
          <w:sz w:val="18"/>
          <w:szCs w:val="18"/>
          <w:color w:val="auto"/>
        </w:rPr>
        <w:t>We have a robust and well invested manufacturing footprint which includes 17 manufacturing facilities and over 5,000 employees. Our facilities are strategically located across the United States and Canada, and the majority of our products are proudly made in the United States. Our low-cost and efficient manufacturing facilities enable us to optimize distribution, minimize lead times and reduce freight costs. This significant production base, built over decades, positions us well versus our competitive peer set. We estimate that it would require more than $2.5 billion to replicate our manufacturing assets, and we believe it would be exceedingly difficult to replicate our proprietary manufacturing know-how and in-house developed technology that enable us to run our facilities faster, with greater automation and with higher quality control. Our unique manufacturing capabilities enable us to produce a broad selection of differentiated products that help drive growth while providing a substantial barrier to entry.</w:t>
      </w:r>
    </w:p>
    <w:p>
      <w:pPr>
        <w:spacing w:after="0" w:line="192" w:lineRule="exact"/>
        <w:rPr>
          <w:sz w:val="20"/>
          <w:szCs w:val="20"/>
          <w:color w:val="auto"/>
        </w:rPr>
      </w:pPr>
    </w:p>
    <w:p>
      <w:pPr>
        <w:jc w:val="both"/>
        <w:ind w:left="380" w:right="120" w:firstLine="426"/>
        <w:spacing w:after="0" w:line="279" w:lineRule="auto"/>
        <w:rPr>
          <w:sz w:val="20"/>
          <w:szCs w:val="20"/>
          <w:color w:val="auto"/>
        </w:rPr>
      </w:pPr>
      <w:r>
        <w:rPr>
          <w:rFonts w:ascii="Arial" w:cs="Arial" w:eastAsia="Arial" w:hAnsi="Arial"/>
          <w:sz w:val="17"/>
          <w:szCs w:val="17"/>
          <w:color w:val="auto"/>
        </w:rPr>
        <w:t>Through Reyvolution, we are focused on lean manufacturing initiatives to reduce material usage, improve uptime and increase productivity across every site. We are heavily automated today and are committed to further investments in automation, including recent initiatives focused on the automation of repetitive manual tasks to increase operating efficiency and consistency, while protecting ourselves from labor fluctuations. Our automation processes and proprietary manufacturing technologies are difficult for competitors to replicate.</w:t>
      </w:r>
    </w:p>
    <w:p>
      <w:pPr>
        <w:spacing w:after="0" w:line="171" w:lineRule="exact"/>
        <w:rPr>
          <w:sz w:val="20"/>
          <w:szCs w:val="20"/>
          <w:color w:val="auto"/>
        </w:rPr>
      </w:pPr>
    </w:p>
    <w:p>
      <w:pPr>
        <w:jc w:val="both"/>
        <w:ind w:left="380" w:right="320" w:firstLine="426"/>
        <w:spacing w:after="0" w:line="312" w:lineRule="auto"/>
        <w:rPr>
          <w:sz w:val="20"/>
          <w:szCs w:val="20"/>
          <w:color w:val="auto"/>
        </w:rPr>
      </w:pPr>
      <w:r>
        <w:rPr>
          <w:rFonts w:ascii="Arial" w:cs="Arial" w:eastAsia="Arial" w:hAnsi="Arial"/>
          <w:sz w:val="16"/>
          <w:szCs w:val="16"/>
          <w:color w:val="auto"/>
        </w:rPr>
        <w:t>Our operations have significant scale and substantial vertical integration, which provides us with competitive advantages. Our substantial vertical integration gives us increased independence from suppliers and the ability to control costs more efficiently. It also partially insulates us from import volatility. We have a robust network of suppliers allowing us to be nimble in our input material purchasing.</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Attractive financial performance with strong free cash flow generation</w:t>
      </w:r>
    </w:p>
    <w:p>
      <w:pPr>
        <w:spacing w:after="0" w:line="117"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We have an attractive financial profile with steady organic revenue growth, strong margins and disciplined capital expenditures. These attributes allow us to generate robust free cash flow.</w:t>
      </w:r>
    </w:p>
    <w:p>
      <w:pPr>
        <w:spacing w:after="0" w:line="170"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Since 2014, our income from operations margin and Adjusted EBITDA margin have grown by 364 and 242 basis points to 16% and 21%, respectively, in the year ended December 31, 2018. We have driven margin expansion mainly by managing costs, increasing our volumes and manufacturing efficiency and driving innovation. We are able to deliver attractive Adjusted EBITDA margins due to the high value-added nature of our products. We defend our margin position through innovation driven growth, cost savings and effective purchasing. The vertically integrated nature of our business provides further insulation for our margin profile.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187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312"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plan to continue leveraging Reyvolution to deliver incremental operational productivity savings, improve our business mix and increase the effectiveness of our sales force. Historically our business has relatively low capital expenditure requirements, averaging $60 million per year over the past three fiscal years, which drives our high rate of free cash flow conversion.</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Commitment to sustainability and values</w:t>
      </w:r>
    </w:p>
    <w:p>
      <w:pPr>
        <w:spacing w:after="0" w:line="11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put safety first, treat people with respect and operate ethically to help ensure that we manage our business on a sound long-term foundation. We never compromise our values, regardless of market forces, and we remain committed to strong rules of governance. We manage our business for long-term results, as evidenced by the robust Reyvolution initiative pipeline across all facets of our business. We believe corporate responsibility is the obligation of all employees. Our management team is committed to maintaining our culture, which has been an important component of our success.</w:t>
      </w:r>
    </w:p>
    <w:p>
      <w:pPr>
        <w:spacing w:after="0" w:line="188" w:lineRule="exact"/>
        <w:rPr>
          <w:sz w:val="20"/>
          <w:szCs w:val="20"/>
          <w:color w:val="auto"/>
        </w:rPr>
      </w:pPr>
    </w:p>
    <w:p>
      <w:pPr>
        <w:ind w:left="380" w:firstLine="426"/>
        <w:spacing w:after="0" w:line="271" w:lineRule="auto"/>
        <w:rPr>
          <w:sz w:val="20"/>
          <w:szCs w:val="20"/>
          <w:color w:val="auto"/>
        </w:rPr>
      </w:pPr>
      <w:r>
        <w:rPr>
          <w:rFonts w:ascii="Arial" w:cs="Arial" w:eastAsia="Arial" w:hAnsi="Arial"/>
          <w:sz w:val="17"/>
          <w:szCs w:val="17"/>
          <w:color w:val="auto"/>
        </w:rPr>
        <w:t>We strive to operate with respect for the environment and are committed to sustainability across three key areas: our product portfolio, supply chain and communities. We engage with our employees and partner with our customers to explore sustainability topics like plant and distribution route efficiency. We participate at the forefront of emerging municipal programs that generate new community based solutions and also end-to-end recycling solutions with our Hefty EnergyBag Program in partnership with a key supplier. We are longstanding members of the Sustainable Packaging Coalition</w:t>
      </w:r>
      <w:r>
        <w:rPr>
          <w:rFonts w:ascii="Arial" w:cs="Arial" w:eastAsia="Arial" w:hAnsi="Arial"/>
          <w:sz w:val="14"/>
          <w:szCs w:val="14"/>
          <w:color w:val="auto"/>
        </w:rPr>
        <w:t>®</w:t>
      </w:r>
      <w:r>
        <w:rPr>
          <w:rFonts w:ascii="Arial" w:cs="Arial" w:eastAsia="Arial" w:hAnsi="Arial"/>
          <w:sz w:val="17"/>
          <w:szCs w:val="17"/>
          <w:color w:val="auto"/>
        </w:rPr>
        <w:t>, an industry working group dedicated to a more robust environmental vision for packaging, and the Forest Stewardship Council through their voluntary program for responsible forest management. We are committed to using recycled, renewable, recyclable, compostable and other sustainable materials in our products, which drives our product-oriented sustainability initiatives. Currently, 33% of the products that we sell in the United States are recyclable.</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 team with a strong track record of innovation-driven growth</w:t>
      </w:r>
    </w:p>
    <w:p>
      <w:pPr>
        <w:spacing w:after="0" w:line="117" w:lineRule="exact"/>
        <w:rPr>
          <w:sz w:val="20"/>
          <w:szCs w:val="20"/>
          <w:color w:val="auto"/>
        </w:rPr>
      </w:pPr>
    </w:p>
    <w:p>
      <w:pPr>
        <w:ind w:left="380" w:right="120" w:firstLine="426"/>
        <w:spacing w:after="0" w:line="289" w:lineRule="auto"/>
        <w:rPr>
          <w:sz w:val="20"/>
          <w:szCs w:val="20"/>
          <w:color w:val="auto"/>
        </w:rPr>
      </w:pPr>
      <w:r>
        <w:rPr>
          <w:rFonts w:ascii="Arial" w:cs="Arial" w:eastAsia="Arial" w:hAnsi="Arial"/>
          <w:sz w:val="16"/>
          <w:szCs w:val="16"/>
          <w:color w:val="auto"/>
        </w:rPr>
        <w:t>We have a deep bench of talented managers led by Lance Mitchell, our President and Chief Executive Officer, who has over 35 years of industry experience. Both our CEO and CFO have played a pivotal role in the successful integration of the Reynolds and Hefty businesses. We have continued to assemble a leading team through strategic hires and have expanded our organizational capabilities in new product development. Through the lens of Reyvolution, our management team is focused on their vision for RCP, which includes a culture of innovation, excelling at quality and service, creating products people love and constantly evolving the business. Our management team’s key accomplishments include integrating, developing and growing a company with a strong ethics-driven and safety-focused culture while still achieving best-in-class market share and strong financial results. In addition, we attribute our lower than industry standard turnover rates to our collaborative, trustworthy company culture and our unwavering commitment to safety and to our people. Our strong management team is well positioned to effectively manage the business into the future with a depth of talented and dedicated employees already primed to lead the next generation of RCP.</w:t>
      </w: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Business Strategies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Key elements of our business strategy include:</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Champion our categories and grow with our customers</w:t>
      </w:r>
    </w:p>
    <w:p>
      <w:pPr>
        <w:spacing w:after="0" w:line="117"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We participate in large consumer categories with strong household penetration. Our combined branded and store brand share is significant in our categories. Our products appeal to consumers of all demographics and have a multitude of usage occasions. Our scale across household aisles and ability to offer trusted branded and store brand products enable us to grow the overall category and has earned us the opportunity to provide category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5775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312" w:lineRule="exact"/>
        <w:rPr>
          <w:sz w:val="20"/>
          <w:szCs w:val="20"/>
          <w:color w:val="auto"/>
        </w:rPr>
      </w:pPr>
    </w:p>
    <w:p>
      <w:pPr>
        <w:ind w:left="380" w:right="340"/>
        <w:spacing w:after="0" w:line="276" w:lineRule="auto"/>
        <w:rPr>
          <w:sz w:val="20"/>
          <w:szCs w:val="20"/>
          <w:color w:val="auto"/>
        </w:rPr>
      </w:pPr>
      <w:r>
        <w:rPr>
          <w:rFonts w:ascii="Arial" w:cs="Arial" w:eastAsia="Arial" w:hAnsi="Arial"/>
          <w:sz w:val="17"/>
          <w:szCs w:val="17"/>
          <w:color w:val="auto"/>
        </w:rPr>
        <w:t>captain level advisor insights at the majority of our retail partners. Our respected and trusted category managers provide our customers with category management expertise, insight and analytics to help them drive consumer traffic and spending. Through marketing and consumer education strategies, both inside the store and out, we expand usage occasions and stimulate consumption. Our new product innovation drives incremental growth within our categories. These factors and our focus on offering a high quality portfolio of branded and store brand products provide tremendous value to our retailers versus our competition.</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Continued investment behind our market-leading brand portfolio</w:t>
      </w:r>
    </w:p>
    <w:p>
      <w:pPr>
        <w:spacing w:after="0" w:line="117" w:lineRule="exact"/>
        <w:rPr>
          <w:sz w:val="20"/>
          <w:szCs w:val="20"/>
          <w:color w:val="auto"/>
        </w:rPr>
      </w:pPr>
    </w:p>
    <w:p>
      <w:pPr>
        <w:ind w:left="380" w:right="60" w:firstLine="426"/>
        <w:spacing w:after="0" w:line="270" w:lineRule="auto"/>
        <w:rPr>
          <w:sz w:val="20"/>
          <w:szCs w:val="20"/>
          <w:color w:val="auto"/>
        </w:rPr>
      </w:pPr>
      <w:r>
        <w:rPr>
          <w:rFonts w:ascii="Arial" w:cs="Arial" w:eastAsia="Arial" w:hAnsi="Arial"/>
          <w:sz w:val="17"/>
          <w:szCs w:val="17"/>
          <w:color w:val="auto"/>
        </w:rPr>
        <w:t>We have iconic brands and a proven ability to innovate, which enable us to approach adjacencies strategically and enhance our brand relevance with consumers. We plan to continue our investment in marketing and advertising to grow the revenues of our product offerings and the categories in which they participate. Our innovative approach to advertising, and early adoption of new channels such as digital, social media and experiential events, have addressed the full range of consumer constituents and resulted in powerful penetration growth, market share growth and increased usage occasions, even in some of our more mature categories. For example, we have worked closely with advertisers to integrate aluminum foil, parchment paper, slow cooker liners and oven bags into recipes, which has resulted in over 40,000 integrated online recipes which offer simplified solutions in the kitchen. Additionally, our successful Hefty advertising campaigns have driven a 5% market share growth in the trash bag category over the last four years. We have a strong competency in measuring, monitoring and improving the efficiency of our marketing spending through internal proprietary analytical techniques. We believe there is a significant opportunity to use our existing brand equity and expand into adjacent categories.</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Strengthen presence across distribution channels</w:t>
      </w:r>
    </w:p>
    <w:p>
      <w:pPr>
        <w:spacing w:after="0" w:line="11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In addition to traditional grocery, we believe there is significant opportunity to expand within the club, home improvement, dollar-store and eCommerce channels across our full product portfolio. Building on Hefty’s brand dominance in large trash bags, we have provided new consumer insights to the home improvement and club channels, which have generated growth and new distribution. For example, the introduction of the new Hefty Load ‘n Carry product in the home improvement channel has energized Hefty’s relationships with DIYers and generated significant interest from these retail partners. Additionally, we see opportunity for our Reynolds products in the home improvement and club channels, with recent new customer wins and stock keeping unit (“SKU”) expansion driving future growth.</w:t>
      </w:r>
    </w:p>
    <w:p>
      <w:pPr>
        <w:spacing w:after="0" w:line="178" w:lineRule="exact"/>
        <w:rPr>
          <w:sz w:val="20"/>
          <w:szCs w:val="20"/>
          <w:color w:val="auto"/>
        </w:rPr>
      </w:pPr>
    </w:p>
    <w:p>
      <w:pPr>
        <w:ind w:left="380" w:right="160" w:firstLine="426"/>
        <w:spacing w:after="0" w:line="272" w:lineRule="auto"/>
        <w:rPr>
          <w:sz w:val="20"/>
          <w:szCs w:val="20"/>
          <w:color w:val="auto"/>
        </w:rPr>
      </w:pPr>
      <w:r>
        <w:rPr>
          <w:rFonts w:ascii="Arial" w:cs="Arial" w:eastAsia="Arial" w:hAnsi="Arial"/>
          <w:sz w:val="17"/>
          <w:szCs w:val="17"/>
          <w:color w:val="auto"/>
        </w:rPr>
        <w:t>eCommerce penetration is expected to increase, due to the convenience of online ordering and subscription delivery, particularly for easy-to-ship household product categories. Given our strong relationship with online retailers, we are well-positioned to compete profitably and gain share in this growing channel. We provide both branded and private brand products through this channel to address the consumer’s need for convenience and value. Furthering our eCommerce strategy, we recently launched a full line of store brand aluminum foil, trash bags and food storage bags as the exclusive supplier to the eCommerce leader. Additionally, most of our products are compatible with the eCommerce channel because they are shelf stable and efficient to transport. The recurring nature of consumer purchase cycles for our products positions us well to capitalize on continued growth of grocery pickup and subscription services.</w:t>
      </w:r>
    </w:p>
    <w:p>
      <w:pPr>
        <w:spacing w:after="0" w:line="178"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Finally, given our brand strength, technical expertise and the extensive use of products within our categories around the world, we see opportunities to selectively expand internationally. We currently sell to 54 countries around the world; however, this currently represents a small percentage of our annual revenue. During fiscal year 2018, North America represented 99% of our total sales. We estimate our addressable market outside the United States and Canada to be approximately $7.3 billion.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0585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Drive growth through new and innovative products</w:t>
      </w:r>
    </w:p>
    <w:p>
      <w:pPr>
        <w:spacing w:after="0" w:line="117" w:lineRule="exact"/>
        <w:rPr>
          <w:sz w:val="20"/>
          <w:szCs w:val="20"/>
          <w:color w:val="auto"/>
        </w:rPr>
      </w:pPr>
    </w:p>
    <w:p>
      <w:pPr>
        <w:ind w:left="380" w:right="160" w:firstLine="426"/>
        <w:spacing w:after="0" w:line="273" w:lineRule="auto"/>
        <w:rPr>
          <w:sz w:val="20"/>
          <w:szCs w:val="20"/>
          <w:color w:val="auto"/>
        </w:rPr>
      </w:pPr>
      <w:r>
        <w:rPr>
          <w:rFonts w:ascii="Arial" w:cs="Arial" w:eastAsia="Arial" w:hAnsi="Arial"/>
          <w:sz w:val="17"/>
          <w:szCs w:val="17"/>
          <w:color w:val="auto"/>
        </w:rPr>
        <w:t>We are an innovation driven company, and through Reyvolution, new product development plays a significant role in our growth strategy. Our innovation capabilities, combined with our investments in consumer-focused market research, will allow us to continue our track record of successful new product launches. We proactively collaborate with our retail partners on customized product innovation. Our product innovation pipeline focuses on use occasions including meals and snacks on-the-go as well as sustainability and the needs of the millennial consumer. Our objective is to generate 20% of our revenue each year from new products introduced within the prior three years. In fiscal year 2018, 21% of our revenue was generated from products that were less than three years old.</w:t>
      </w:r>
    </w:p>
    <w:p>
      <w:pPr>
        <w:spacing w:after="0" w:line="17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More recently, through Hefty, we launched a new Ultra Strong product line that takes advantage of our triple action technology, which Nielsen awarded the 2018 Innovation Award (one of only 25 nationally). Our Reynolds KITCHENS Parchment Pop Up Sheets and Presto store brand square-shaped snack bags have been great successes with consumers, providing products better aligned with usage needs than the existing options on the shelf. Furthermore, Hefty sliders storage bags with the Stand &amp; Fill feature, launched in 2019, are preferred over the competition by 73% of consumers.</w:t>
      </w:r>
    </w:p>
    <w:p>
      <w:pPr>
        <w:spacing w:after="0" w:line="188" w:lineRule="exact"/>
        <w:rPr>
          <w:sz w:val="20"/>
          <w:szCs w:val="20"/>
          <w:color w:val="auto"/>
        </w:rPr>
      </w:pPr>
    </w:p>
    <w:p>
      <w:pPr>
        <w:ind w:left="380" w:right="20" w:firstLine="426"/>
        <w:spacing w:after="0" w:line="312" w:lineRule="auto"/>
        <w:rPr>
          <w:sz w:val="20"/>
          <w:szCs w:val="20"/>
          <w:color w:val="auto"/>
        </w:rPr>
      </w:pPr>
      <w:r>
        <w:rPr>
          <w:rFonts w:ascii="Arial" w:cs="Arial" w:eastAsia="Arial" w:hAnsi="Arial"/>
          <w:sz w:val="16"/>
          <w:szCs w:val="16"/>
          <w:color w:val="auto"/>
        </w:rPr>
        <w:t>We have focused much of our innovation efforts around sustainability, and we offer a broad line of products that are better for the planet. We are focusing on products made with recycled, renewable, recyclable and compostable materials. For example, we recently launched 75% Unbleached Compostable Parchment Paper and redesigned our Hefty party cups to reduce the plastic by 10% while maintaining strength.</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Systematically improve operational efficiency and reduce cost</w:t>
      </w:r>
    </w:p>
    <w:p>
      <w:pPr>
        <w:spacing w:after="0" w:line="117" w:lineRule="exact"/>
        <w:rPr>
          <w:sz w:val="20"/>
          <w:szCs w:val="20"/>
          <w:color w:val="auto"/>
        </w:rPr>
      </w:pPr>
    </w:p>
    <w:p>
      <w:pPr>
        <w:ind w:left="380" w:right="40" w:firstLine="426"/>
        <w:spacing w:after="0" w:line="253" w:lineRule="auto"/>
        <w:rPr>
          <w:sz w:val="20"/>
          <w:szCs w:val="20"/>
          <w:color w:val="auto"/>
        </w:rPr>
      </w:pPr>
      <w:r>
        <w:rPr>
          <w:rFonts w:ascii="Arial" w:cs="Arial" w:eastAsia="Arial" w:hAnsi="Arial"/>
          <w:sz w:val="18"/>
          <w:szCs w:val="18"/>
          <w:color w:val="auto"/>
        </w:rPr>
        <w:t>We have cultivated a continuous improvement mindset oriented towards cost reduction, productivity improvements and lean manufacturing. We are focused on improving the ways in which we develop and manufacture products with data-driven decision making and robust lean business principles. Deep manufacturing expertise across our portfolio provides us with trade secret manufacturing know-how that delivers technical advantages and a low-cost competitive position. Our scale enables us to purchase inputs efficiently and increases our purchasing flexibility. We have implemented a simplified go-to-market strategy that fully leverages our customer relationships and scale and reduces overhead. We also continue to invest in automating repetitive manual tasks to increase operating efficiency and consistency, while reducing our exposure to labor fluctuations. We use digital capabilities to significantly improve our operational efficiency and effectiveness. We have launched an “intelligent factory program” to establish an integrated, data-driven culture that transforms our operations through digitally-connected people, assets and processes.</w:t>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Drive shareholder returns through balanced capital allocation</w:t>
      </w:r>
    </w:p>
    <w:p>
      <w:pPr>
        <w:spacing w:after="0" w:line="117"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color w:val="auto"/>
        </w:rPr>
        <w:t>We believe our strong free cash flow enables us to invest in and grow our business organically, reduce our indebtedness and pursue strategic M&amp;A to create value for our stockholders. We also expect to return capital to our stockholders through regular dividend payments. We expect to</w:t>
      </w:r>
    </w:p>
    <w:p>
      <w:pPr>
        <w:ind w:left="380" w:right="60"/>
        <w:spacing w:after="0" w:line="261" w:lineRule="auto"/>
        <w:rPr>
          <w:sz w:val="20"/>
          <w:szCs w:val="20"/>
          <w:color w:val="auto"/>
        </w:rPr>
      </w:pPr>
      <w:r>
        <w:rPr>
          <w:rFonts w:ascii="Arial" w:cs="Arial" w:eastAsia="Arial" w:hAnsi="Arial"/>
          <w:sz w:val="18"/>
          <w:szCs w:val="18"/>
          <w:color w:val="auto"/>
        </w:rPr>
        <w:t>pay a regular quarterly cash dividend on our common stock of $ per share beginning in the quarter of fiscal year 20 , subject to declaration by our board of directors. See “Dividend Policy” for additional details.</w:t>
      </w:r>
    </w:p>
    <w:p>
      <w:pPr>
        <w:spacing w:after="0" w:line="28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Investing in our stock involves risks. These risks include, among others, those related to:</w:t>
      </w:r>
    </w:p>
    <w:p>
      <w:pPr>
        <w:spacing w:after="0" w:line="131" w:lineRule="exact"/>
        <w:rPr>
          <w:sz w:val="20"/>
          <w:szCs w:val="20"/>
          <w:color w:val="auto"/>
        </w:rPr>
      </w:pPr>
    </w:p>
    <w:p>
      <w:pPr>
        <w:ind w:left="1320" w:hanging="407"/>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74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256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6256020"/>
                    </a:xfrm>
                    <a:prstGeom prst="rect">
                      <a:avLst/>
                    </a:prstGeom>
                    <a:noFill/>
                  </pic:spPr>
                </pic:pic>
              </a:graphicData>
            </a:graphic>
          </wp:anchor>
        </w:drawing>
      </w:r>
    </w:p>
    <w:p>
      <w:pPr>
        <w:spacing w:after="0" w:line="312" w:lineRule="exact"/>
        <w:rPr>
          <w:sz w:val="20"/>
          <w:szCs w:val="20"/>
          <w:color w:val="auto"/>
        </w:rPr>
      </w:pPr>
    </w:p>
    <w:p>
      <w:pPr>
        <w:ind w:left="1320" w:hanging="40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any of our key manufacturing facilities;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30" w:lineRule="exact"/>
        <w:rPr>
          <w:rFonts w:ascii="Arial" w:cs="Arial" w:eastAsia="Arial" w:hAnsi="Arial"/>
          <w:sz w:val="18"/>
          <w:szCs w:val="18"/>
          <w:color w:val="auto"/>
        </w:rPr>
      </w:pPr>
    </w:p>
    <w:p>
      <w:pPr>
        <w:ind w:left="1320" w:right="60" w:hanging="407"/>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downturns in our target markets; and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w:t>
      </w:r>
    </w:p>
    <w:p>
      <w:pPr>
        <w:spacing w:after="0" w:line="225" w:lineRule="exact"/>
        <w:rPr>
          <w:sz w:val="20"/>
          <w:szCs w:val="20"/>
          <w:color w:val="auto"/>
        </w:rPr>
      </w:pPr>
    </w:p>
    <w:p>
      <w:pPr>
        <w:ind w:left="380" w:right="440" w:firstLine="426"/>
        <w:spacing w:after="0" w:line="277" w:lineRule="auto"/>
        <w:rPr>
          <w:sz w:val="20"/>
          <w:szCs w:val="20"/>
          <w:color w:val="auto"/>
        </w:rPr>
      </w:pPr>
      <w:r>
        <w:rPr>
          <w:rFonts w:ascii="Arial" w:cs="Arial" w:eastAsia="Arial" w:hAnsi="Arial"/>
          <w:sz w:val="18"/>
          <w:szCs w:val="18"/>
          <w:color w:val="auto"/>
        </w:rPr>
        <w:t>Before you invest in our stock, you should carefully consider all the information in this prospectus, including matters set forth under the heading “Risk Factors” beginning on page 22.</w:t>
      </w: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right="1000" w:firstLine="426"/>
        <w:spacing w:after="0" w:line="308" w:lineRule="auto"/>
        <w:rPr>
          <w:sz w:val="20"/>
          <w:szCs w:val="20"/>
          <w:color w:val="auto"/>
        </w:rPr>
      </w:pPr>
      <w:r>
        <w:rPr>
          <w:rFonts w:ascii="Arial" w:cs="Arial" w:eastAsia="Arial" w:hAnsi="Arial"/>
          <w:sz w:val="17"/>
          <w:szCs w:val="17"/>
          <w:color w:val="auto"/>
        </w:rPr>
        <w:t>Reynolds Consumer Products Inc. (“RCPI”) was incorporated in the state of Delaware under the name RenPac Holdings Inc. on September 29, 2011. On June 26, 2019, RenPac Holdings Inc. changed its name to Reynolds Consumer Products Inc.</w:t>
      </w:r>
    </w:p>
    <w:p>
      <w:pPr>
        <w:spacing w:after="0" w:line="147" w:lineRule="exact"/>
        <w:rPr>
          <w:sz w:val="20"/>
          <w:szCs w:val="20"/>
          <w:color w:val="auto"/>
        </w:rPr>
      </w:pPr>
    </w:p>
    <w:p>
      <w:pPr>
        <w:jc w:val="both"/>
        <w:ind w:left="380" w:right="120" w:firstLine="426"/>
        <w:spacing w:after="0" w:line="264" w:lineRule="auto"/>
        <w:rPr>
          <w:sz w:val="20"/>
          <w:szCs w:val="20"/>
          <w:color w:val="auto"/>
        </w:rPr>
      </w:pPr>
      <w:r>
        <w:rPr>
          <w:rFonts w:ascii="Arial" w:cs="Arial" w:eastAsia="Arial" w:hAnsi="Arial"/>
          <w:sz w:val="18"/>
          <w:szCs w:val="18"/>
          <w:color w:val="auto"/>
        </w:rPr>
        <w:t>Our principal executive offices are located at 1900 W. Field Court Lake Forest, Illinois, 60045 and our telephone number is (800) 879-5067. Our website is www.reynoldsconsumerproducts.com. Our website and the information contained therein or connected thereto are not incorporated into this prospectus or the registration statement of which it forms a part.</w:t>
      </w:r>
    </w:p>
    <w:p>
      <w:pPr>
        <w:spacing w:after="0" w:line="181"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PFL, a company incorporated pursuant to the laws of New Zealand, will be our only stockholder immediately prior to the closing of this offering. PFL is a wholly-owned subsidiary of Packaging Holdings Limited (“PHL”), a company incorporated pursuant to the laws of New Zealand, and is wholly-owned by Mr. Graeme Hart. PFL is also the sole shareholder of Reynolds Group Holdings Limited (“RGHL”) and its subsidiaries (together with RGHL, “RGHL Group”). Rank Group Limited (“Rank”), a company incorporated pursuant to the laws of New Zealand, is Mr. Graeme Hart’s principal operating entity. For more information on our relationship with PFL, RGHL Group, Rank and Mr. Graeme Hart, see “Certain Relationships and Related Party Transactions” and “Principal Stockholders.”</w:t>
      </w:r>
    </w:p>
    <w:p>
      <w:pPr>
        <w:spacing w:after="0" w:line="178" w:lineRule="exact"/>
        <w:rPr>
          <w:sz w:val="20"/>
          <w:szCs w:val="20"/>
          <w:color w:val="auto"/>
        </w:rPr>
      </w:pPr>
    </w:p>
    <w:p>
      <w:pPr>
        <w:jc w:val="center"/>
        <w:ind w:right="-359"/>
        <w:spacing w:after="0"/>
        <w:tabs>
          <w:tab w:leader="none" w:pos="200" w:val="left"/>
        </w:tabs>
        <w:rPr>
          <w:sz w:val="20"/>
          <w:szCs w:val="20"/>
          <w:color w:val="auto"/>
        </w:rPr>
      </w:pPr>
      <w:r>
        <w:rPr>
          <w:rFonts w:ascii="Arial" w:cs="Arial" w:eastAsia="Arial" w:hAnsi="Arial"/>
          <w:sz w:val="18"/>
          <w:szCs w:val="18"/>
          <w:color w:val="auto"/>
        </w:rPr>
        <w:t>Upon closing of this offering, PFL will own, and control the voting power of, approximately</w:t>
      </w:r>
      <w:r>
        <w:rPr>
          <w:sz w:val="20"/>
          <w:szCs w:val="20"/>
          <w:color w:val="auto"/>
        </w:rPr>
        <w:tab/>
      </w:r>
      <w:r>
        <w:rPr>
          <w:rFonts w:ascii="Arial" w:cs="Arial" w:eastAsia="Arial" w:hAnsi="Arial"/>
          <w:sz w:val="16"/>
          <w:szCs w:val="16"/>
          <w:color w:val="auto"/>
        </w:rPr>
        <w:t>% of our outstanding shares of common</w:t>
      </w:r>
    </w:p>
    <w:p>
      <w:pPr>
        <w:spacing w:after="0" w:line="23" w:lineRule="exact"/>
        <w:rPr>
          <w:sz w:val="20"/>
          <w:szCs w:val="20"/>
          <w:color w:val="auto"/>
        </w:rPr>
      </w:pPr>
    </w:p>
    <w:p>
      <w:pPr>
        <w:jc w:val="both"/>
        <w:ind w:left="380"/>
        <w:spacing w:after="0" w:line="281" w:lineRule="auto"/>
        <w:rPr>
          <w:sz w:val="20"/>
          <w:szCs w:val="20"/>
          <w:color w:val="auto"/>
        </w:rPr>
      </w:pPr>
      <w:r>
        <w:rPr>
          <w:rFonts w:ascii="Arial" w:cs="Arial" w:eastAsia="Arial" w:hAnsi="Arial"/>
          <w:sz w:val="16"/>
          <w:szCs w:val="16"/>
          <w:color w:val="auto"/>
        </w:rPr>
        <w:t>stock. Upon closing of this offering, we will be a “controlled company” as defined under the corporate governance rules of the . As a result, PFL will be able to exercise control over all matters requiring approval by our stockholders, including the election of our directors and approval of significant corporate transactions. PFL’s controlling interest may discourage or prevent a change in control of our company that other holders of our common stock may favor. See “Risk Factors—Risks Relating to our Relationship with RGHL Group, PFL and Rank—We will be a “controlled</w:t>
      </w:r>
    </w:p>
    <w:p>
      <w:pPr>
        <w:spacing w:after="0" w:line="3" w:lineRule="exact"/>
        <w:rPr>
          <w:sz w:val="20"/>
          <w:szCs w:val="20"/>
          <w:color w:val="auto"/>
        </w:rPr>
      </w:pPr>
    </w:p>
    <w:p>
      <w:pPr>
        <w:ind w:left="380" w:right="220"/>
        <w:spacing w:after="0" w:line="323" w:lineRule="auto"/>
        <w:rPr>
          <w:sz w:val="20"/>
          <w:szCs w:val="20"/>
          <w:color w:val="auto"/>
        </w:rPr>
      </w:pPr>
      <w:r>
        <w:rPr>
          <w:rFonts w:ascii="Arial" w:cs="Arial" w:eastAsia="Arial" w:hAnsi="Arial"/>
          <w:sz w:val="16"/>
          <w:szCs w:val="16"/>
          <w:color w:val="auto"/>
        </w:rPr>
        <w:t>company” within the meaning of the rules of and, as a result, will qualify for, and intend to rely on, exemptions from certain corporate governance requirements. You will not have the same protections afforded to stockholders of companies that are subject to such requirements.”</w:t>
      </w:r>
    </w:p>
    <w:p>
      <w:pPr>
        <w:spacing w:after="0" w:line="13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Prior to the closing of this offering, we will consummate the following transactions:</w:t>
      </w:r>
    </w:p>
    <w:p>
      <w:pPr>
        <w:spacing w:after="0" w:line="131" w:lineRule="exact"/>
        <w:rPr>
          <w:sz w:val="20"/>
          <w:szCs w:val="20"/>
          <w:color w:val="auto"/>
        </w:rPr>
      </w:pPr>
    </w:p>
    <w:p>
      <w:pPr>
        <w:ind w:left="1320" w:hanging="40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740"/>
        <w:spacing w:after="0"/>
        <w:rPr>
          <w:rFonts w:ascii="Arial" w:cs="Arial" w:eastAsia="Arial" w:hAnsi="Arial"/>
          <w:sz w:val="18"/>
          <w:szCs w:val="18"/>
          <w:color w:val="auto"/>
        </w:rPr>
      </w:pPr>
      <w:r>
        <w:rPr>
          <w:rFonts w:ascii="Arial" w:cs="Arial" w:eastAsia="Arial" w:hAnsi="Arial"/>
          <w:sz w:val="18"/>
          <w:szCs w:val="18"/>
          <w:color w:val="auto"/>
        </w:rPr>
        <w:t>14</w:t>
      </w:r>
    </w:p>
    <w:p>
      <w:pPr>
        <w:sectPr>
          <w:pgSz w:w="11900" w:h="16838" w:orient="portrait"/>
          <w:cols w:equalWidth="0" w:num="1">
            <w:col w:w="11040"/>
          </w:cols>
          <w:pgMar w:left="24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5723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2145" cy="5723890"/>
                    </a:xfrm>
                    <a:prstGeom prst="rect">
                      <a:avLst/>
                    </a:prstGeom>
                    <a:noFill/>
                  </pic:spPr>
                </pic:pic>
              </a:graphicData>
            </a:graphic>
          </wp:anchor>
        </w:drawing>
      </w:r>
    </w:p>
    <w:p>
      <w:pPr>
        <w:spacing w:after="0" w:line="312" w:lineRule="exact"/>
        <w:rPr>
          <w:sz w:val="20"/>
          <w:szCs w:val="20"/>
          <w:color w:val="auto"/>
        </w:rPr>
      </w:pPr>
    </w:p>
    <w:p>
      <w:pPr>
        <w:ind w:left="1320" w:right="120" w:hanging="407"/>
        <w:spacing w:after="0" w:line="264"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execution of a transition services agreement with RGHL (“RGHL TSA”), whereby RGHL Group will continue to provide certain administrative services to us, and we will provide certain services to RGHL Group, in each case for up to 24 months, which is described in greater detail in “Certain Relationships and Related Party Transactions;”</w:t>
      </w:r>
    </w:p>
    <w:p>
      <w:pPr>
        <w:spacing w:after="0" w:line="86" w:lineRule="exact"/>
        <w:rPr>
          <w:rFonts w:ascii="Arial" w:cs="Arial" w:eastAsia="Arial" w:hAnsi="Arial"/>
          <w:sz w:val="18"/>
          <w:szCs w:val="18"/>
          <w:color w:val="auto"/>
        </w:rPr>
      </w:pPr>
    </w:p>
    <w:p>
      <w:pPr>
        <w:ind w:left="1320" w:right="20" w:hanging="407"/>
        <w:spacing w:after="0" w:line="312"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execution of plant and asset transfer agreements (and related support agreements), manufacturing and supply agreements and certain other agreements to be entered into with RGHL Group that document and/or amend ongoing commercial arrangements that we have with RGHL Group, all of which are described in greater detail in “Certain Relationships and Related Party Transactions;”</w:t>
      </w:r>
    </w:p>
    <w:p>
      <w:pPr>
        <w:spacing w:after="0" w:line="52" w:lineRule="exact"/>
        <w:rPr>
          <w:rFonts w:ascii="Arial" w:cs="Arial" w:eastAsia="Arial" w:hAnsi="Arial"/>
          <w:sz w:val="16"/>
          <w:szCs w:val="16"/>
          <w:color w:val="auto"/>
        </w:rPr>
      </w:pPr>
    </w:p>
    <w:p>
      <w:pPr>
        <w:ind w:left="1320" w:right="400" w:hanging="407"/>
        <w:spacing w:after="0" w:line="264"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execution of a transition services agreement with Rank (“Rank TSA”) whereby, upon our request, Rank will provide certain administrative services to us for up to 24 months, which is described in greater detail in “Certain Relationships and Related Party Transactions;”</w:t>
      </w:r>
    </w:p>
    <w:p>
      <w:pPr>
        <w:spacing w:after="0" w:line="86" w:lineRule="exact"/>
        <w:rPr>
          <w:rFonts w:ascii="Arial" w:cs="Arial" w:eastAsia="Arial" w:hAnsi="Arial"/>
          <w:sz w:val="18"/>
          <w:szCs w:val="18"/>
          <w:color w:val="auto"/>
        </w:rPr>
      </w:pPr>
    </w:p>
    <w:p>
      <w:pPr>
        <w:ind w:left="1320" w:right="160" w:hanging="407"/>
        <w:spacing w:after="0" w:line="264"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RGHL Group’s credit agreement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1320" w:right="220" w:hanging="407"/>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consummation of a stock split pursuant to which each share of our outstanding common stock will be exchanged</w:t>
      </w:r>
    </w:p>
    <w:p>
      <w:pPr>
        <w:sectPr>
          <w:pgSz w:w="11900" w:h="16838" w:orient="portrait"/>
          <w:cols w:equalWidth="0" w:num="1">
            <w:col w:w="11020"/>
          </w:cols>
          <w:pgMar w:left="240" w:top="459" w:right="639" w:bottom="1440" w:gutter="0" w:footer="0" w:header="0"/>
        </w:sectPr>
      </w:pPr>
    </w:p>
    <w:p>
      <w:pPr>
        <w:spacing w:after="0" w:line="23" w:lineRule="exact"/>
        <w:rPr>
          <w:sz w:val="20"/>
          <w:szCs w:val="20"/>
          <w:color w:val="auto"/>
        </w:rPr>
      </w:pPr>
    </w:p>
    <w:p>
      <w:pPr>
        <w:ind w:left="1320"/>
        <w:spacing w:after="0"/>
        <w:tabs>
          <w:tab w:leader="none" w:pos="2380" w:val="left"/>
        </w:tabs>
        <w:rPr>
          <w:sz w:val="20"/>
          <w:szCs w:val="20"/>
          <w:color w:val="auto"/>
        </w:rPr>
      </w:pPr>
      <w:r>
        <w:rPr>
          <w:rFonts w:ascii="Arial" w:cs="Arial" w:eastAsia="Arial" w:hAnsi="Arial"/>
          <w:sz w:val="16"/>
          <w:szCs w:val="16"/>
          <w:color w:val="auto"/>
        </w:rPr>
        <w:t>into</w:t>
      </w:r>
      <w:r>
        <w:rPr>
          <w:sz w:val="20"/>
          <w:szCs w:val="20"/>
          <w:color w:val="auto"/>
        </w:rPr>
        <w:tab/>
      </w:r>
      <w:r>
        <w:rPr>
          <w:rFonts w:ascii="Arial" w:cs="Arial" w:eastAsia="Arial" w:hAnsi="Arial"/>
          <w:sz w:val="16"/>
          <w:szCs w:val="16"/>
          <w:color w:val="auto"/>
        </w:rPr>
        <w:t>shares of common stock (“Stock Split”);</w:t>
      </w:r>
    </w:p>
    <w:p>
      <w:pPr>
        <w:sectPr>
          <w:pgSz w:w="11900" w:h="16838" w:orient="portrait"/>
          <w:cols w:equalWidth="0" w:num="1">
            <w:col w:w="11020"/>
          </w:cols>
          <w:pgMar w:left="240" w:top="459" w:right="639" w:bottom="1440" w:gutter="0" w:footer="0" w:header="0"/>
          <w:type w:val="continuous"/>
        </w:sectPr>
      </w:pPr>
    </w:p>
    <w:p>
      <w:pPr>
        <w:spacing w:after="0" w:line="13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entering into our new external debt facilities (“New Credit Facilities”), which will consist of a $ million senior secured term loan facility (“New Term Loan Facility”) and a $ million senior secured revolving credit facility (“New Revolving Facility”),</w:t>
      </w:r>
    </w:p>
    <w:p>
      <w:pPr>
        <w:spacing w:after="0" w:line="1" w:lineRule="exact"/>
        <w:rPr>
          <w:sz w:val="20"/>
          <w:szCs w:val="20"/>
          <w:color w:val="auto"/>
        </w:rPr>
      </w:pPr>
    </w:p>
    <w:p>
      <w:pPr>
        <w:sectPr>
          <w:pgSz w:w="11900" w:h="16838" w:orient="portrait"/>
          <w:cols w:equalWidth="0" w:num="2">
            <w:col w:w="980" w:space="340"/>
            <w:col w:w="9700"/>
          </w:cols>
          <w:pgMar w:left="240" w:top="459" w:right="639" w:bottom="1440" w:gutter="0" w:footer="0" w:header="0"/>
          <w:type w:val="continuous"/>
        </w:sectPr>
      </w:pPr>
    </w:p>
    <w:p>
      <w:pPr>
        <w:ind w:left="1320" w:right="400"/>
        <w:spacing w:after="0" w:line="254" w:lineRule="auto"/>
        <w:rPr>
          <w:sz w:val="20"/>
          <w:szCs w:val="20"/>
          <w:color w:val="auto"/>
        </w:rPr>
      </w:pPr>
      <w:r>
        <w:rPr>
          <w:rFonts w:ascii="Arial" w:cs="Arial" w:eastAsia="Arial" w:hAnsi="Arial"/>
          <w:sz w:val="18"/>
          <w:szCs w:val="18"/>
          <w:color w:val="auto"/>
        </w:rPr>
        <w:t>each of which is described in greater detail in “Management’s Discussion and Analysis of Financial Condition and Results of Operations—Sources of Liquidity.” We intend to use the net proceeds of the New Term Loan Facility to settle related party borrowings, including amounts arising as part of the Corporate Reorganization (as defined below) prior to this offering. The New Revolving Facility is expected to be undrawn upon the closing of this offering;</w:t>
      </w:r>
    </w:p>
    <w:p>
      <w:pPr>
        <w:spacing w:after="0" w:line="95" w:lineRule="exact"/>
        <w:rPr>
          <w:sz w:val="20"/>
          <w:szCs w:val="20"/>
          <w:color w:val="auto"/>
        </w:rPr>
      </w:pPr>
    </w:p>
    <w:p>
      <w:pPr>
        <w:ind w:left="1320" w:right="160" w:hanging="407"/>
        <w:spacing w:after="0" w:line="312" w:lineRule="auto"/>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incurrence of debt in an amount equal to the net proceeds from this offering under a one-day settlement facility (“IPO Settlement Facility”). The IPO Settlement Facility, which is described in greater detail in “Use of Proceeds,” will be funded on the date of, and immediately prior to. the closing of this offering and will be repaid and terminated with the net proceeds from this offering;</w:t>
      </w:r>
    </w:p>
    <w:p>
      <w:pPr>
        <w:spacing w:after="0" w:line="52" w:lineRule="exact"/>
        <w:rPr>
          <w:rFonts w:ascii="Arial" w:cs="Arial" w:eastAsia="Arial" w:hAnsi="Arial"/>
          <w:sz w:val="16"/>
          <w:szCs w:val="16"/>
          <w:color w:val="auto"/>
        </w:rPr>
      </w:pPr>
    </w:p>
    <w:p>
      <w:pPr>
        <w:ind w:left="1320" w:right="420" w:hanging="407"/>
        <w:spacing w:after="0" w:line="308" w:lineRule="auto"/>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repayment of related party borrowings owing to RGHL Group and the capitalization, as additional paid-in capital without the issuance of any additional shares, of the remaining balance of the related party borrowings owing to RGHL Group; and</w:t>
      </w:r>
    </w:p>
    <w:p>
      <w:pPr>
        <w:spacing w:after="0" w:line="51" w:lineRule="exact"/>
        <w:rPr>
          <w:rFonts w:ascii="Arial" w:cs="Arial" w:eastAsia="Arial" w:hAnsi="Arial"/>
          <w:sz w:val="17"/>
          <w:szCs w:val="17"/>
          <w:color w:val="auto"/>
        </w:rPr>
      </w:pPr>
    </w:p>
    <w:p>
      <w:pPr>
        <w:ind w:left="1320" w:right="100" w:hanging="407"/>
        <w:spacing w:after="0" w:line="308" w:lineRule="auto"/>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reorganization of our equity holdings such that RGHL Group will transfer its interests in us to PFL and, as such, PFL’s ownership of our common stock will be held outside the group of entities that will represent RGHL Group after this offering.</w:t>
      </w:r>
    </w:p>
    <w:p>
      <w:pPr>
        <w:spacing w:after="0" w:line="147" w:lineRule="exact"/>
        <w:rPr>
          <w:sz w:val="20"/>
          <w:szCs w:val="20"/>
          <w:color w:val="auto"/>
        </w:rPr>
      </w:pPr>
    </w:p>
    <w:p>
      <w:pPr>
        <w:ind w:left="380" w:right="1240" w:firstLine="426"/>
        <w:spacing w:after="0" w:line="277" w:lineRule="auto"/>
        <w:rPr>
          <w:sz w:val="20"/>
          <w:szCs w:val="20"/>
          <w:color w:val="auto"/>
        </w:rPr>
      </w:pPr>
      <w:r>
        <w:rPr>
          <w:rFonts w:ascii="Arial" w:cs="Arial" w:eastAsia="Arial" w:hAnsi="Arial"/>
          <w:sz w:val="18"/>
          <w:szCs w:val="18"/>
          <w:color w:val="auto"/>
        </w:rPr>
        <w:t>We refer to the foregoing transactions we will consummate prior to the closing of this offering collectively as the “Corporate Reorganization.”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5527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2145" cy="5527040"/>
                    </a:xfrm>
                    <a:prstGeom prst="rect">
                      <a:avLst/>
                    </a:prstGeom>
                    <a:noFill/>
                  </pic:spPr>
                </pic:pic>
              </a:graphicData>
            </a:graphic>
          </wp:anchor>
        </w:drawing>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380" w:right="380"/>
        <w:spacing w:after="0" w:line="286" w:lineRule="auto"/>
        <w:rPr>
          <w:sz w:val="20"/>
          <w:szCs w:val="20"/>
          <w:color w:val="auto"/>
        </w:rPr>
      </w:pPr>
      <w:r>
        <w:rPr>
          <w:rFonts w:ascii="Arial" w:cs="Arial" w:eastAsia="Arial" w:hAnsi="Arial"/>
          <w:sz w:val="17"/>
          <w:szCs w:val="17"/>
          <w:i w:val="1"/>
          <w:iCs w:val="1"/>
          <w:color w:val="auto"/>
        </w:rPr>
        <w:t>This summary highlights information presented in greater detail elsewhere in this prospectus. This summary is not complete and does not contain all the information you should consider before investing in our common stock. You should carefully read this entire prospectus before investing in our common stock including the “Risk Factors” section and our combined financial statements and notes thereto.</w:t>
      </w:r>
    </w:p>
    <w:p>
      <w:pPr>
        <w:sectPr>
          <w:pgSz w:w="11900" w:h="16838" w:orient="portrait"/>
          <w:cols w:equalWidth="0" w:num="1">
            <w:col w:w="11240"/>
          </w:cols>
          <w:pgMar w:left="240" w:top="459" w:right="419" w:bottom="1440" w:gutter="0" w:footer="0" w:header="0"/>
        </w:sectPr>
      </w:pP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460" w:space="720"/>
            <w:col w:w="6060"/>
          </w:cols>
          <w:pgMar w:left="240" w:top="459" w:right="41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460" w:space="720"/>
            <w:col w:w="6060"/>
          </w:cols>
          <w:pgMar w:left="240" w:top="459" w:right="41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460" w:space="720"/>
            <w:col w:w="6060"/>
          </w:cols>
          <w:pgMar w:left="240" w:top="459" w:right="419" w:bottom="1440" w:gutter="0" w:footer="0" w:header="0"/>
          <w:type w:val="continuous"/>
        </w:sectPr>
      </w:pPr>
    </w:p>
    <w:p>
      <w:pPr>
        <w:spacing w:after="0" w:line="8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040" w:type="dxa"/>
            <w:vAlign w:val="bottom"/>
            <w:gridSpan w:val="6"/>
          </w:tcPr>
          <w:p>
            <w:pPr>
              <w:ind w:left="1000"/>
              <w:spacing w:after="0"/>
              <w:rPr>
                <w:sz w:val="20"/>
                <w:szCs w:val="20"/>
                <w:color w:val="auto"/>
              </w:rPr>
            </w:pPr>
            <w:r>
              <w:rPr>
                <w:rFonts w:ascii="Arial" w:cs="Arial" w:eastAsia="Arial" w:hAnsi="Arial"/>
                <w:sz w:val="18"/>
                <w:szCs w:val="18"/>
                <w:color w:val="auto"/>
                <w:w w:val="93"/>
              </w:rPr>
              <w:t>We estimate that the net proceeds to us from this offering will be approximately $</w:t>
            </w:r>
          </w:p>
        </w:tc>
        <w:tc>
          <w:tcPr>
            <w:tcW w:w="7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3060" w:type="dxa"/>
            <w:vAlign w:val="bottom"/>
            <w:gridSpan w:val="2"/>
          </w:tcPr>
          <w:p>
            <w:pPr>
              <w:ind w:left="1000"/>
              <w:spacing w:after="0"/>
              <w:rPr>
                <w:sz w:val="20"/>
                <w:szCs w:val="20"/>
                <w:color w:val="auto"/>
              </w:rPr>
            </w:pPr>
            <w:r>
              <w:rPr>
                <w:rFonts w:ascii="Arial" w:cs="Arial" w:eastAsia="Arial" w:hAnsi="Arial"/>
                <w:sz w:val="18"/>
                <w:szCs w:val="18"/>
                <w:color w:val="auto"/>
                <w:w w:val="97"/>
              </w:rPr>
              <w:t>million, or approximately $</w:t>
            </w:r>
          </w:p>
        </w:tc>
        <w:tc>
          <w:tcPr>
            <w:tcW w:w="3980" w:type="dxa"/>
            <w:vAlign w:val="bottom"/>
            <w:gridSpan w:val="4"/>
          </w:tcPr>
          <w:p>
            <w:pPr>
              <w:jc w:val="right"/>
              <w:spacing w:after="0"/>
              <w:rPr>
                <w:sz w:val="20"/>
                <w:szCs w:val="20"/>
                <w:color w:val="auto"/>
              </w:rPr>
            </w:pPr>
            <w:r>
              <w:rPr>
                <w:rFonts w:ascii="Arial" w:cs="Arial" w:eastAsia="Arial" w:hAnsi="Arial"/>
                <w:sz w:val="18"/>
                <w:szCs w:val="18"/>
                <w:color w:val="auto"/>
              </w:rPr>
              <w:t>million if the underwriters exercise their option to</w:t>
            </w:r>
          </w:p>
        </w:tc>
        <w:tc>
          <w:tcPr>
            <w:tcW w:w="7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7040" w:type="dxa"/>
            <w:vAlign w:val="bottom"/>
            <w:gridSpan w:val="6"/>
          </w:tcPr>
          <w:p>
            <w:pPr>
              <w:ind w:left="1000"/>
              <w:spacing w:after="0"/>
              <w:rPr>
                <w:sz w:val="20"/>
                <w:szCs w:val="20"/>
                <w:color w:val="auto"/>
              </w:rPr>
            </w:pPr>
            <w:r>
              <w:rPr>
                <w:rFonts w:ascii="Arial" w:cs="Arial" w:eastAsia="Arial" w:hAnsi="Arial"/>
                <w:sz w:val="18"/>
                <w:szCs w:val="18"/>
                <w:color w:val="auto"/>
                <w:w w:val="97"/>
              </w:rPr>
              <w:t>purchase additional shares in full, assuming an initial public offering price of $</w:t>
            </w:r>
          </w:p>
        </w:tc>
        <w:tc>
          <w:tcPr>
            <w:tcW w:w="780" w:type="dxa"/>
            <w:vAlign w:val="bottom"/>
          </w:tcPr>
          <w:p>
            <w:pPr>
              <w:spacing w:after="0"/>
              <w:rPr>
                <w:sz w:val="20"/>
                <w:szCs w:val="20"/>
                <w:color w:val="auto"/>
              </w:rPr>
            </w:pPr>
            <w:r>
              <w:rPr>
                <w:rFonts w:ascii="Arial" w:cs="Arial" w:eastAsia="Arial" w:hAnsi="Arial"/>
                <w:sz w:val="18"/>
                <w:szCs w:val="18"/>
                <w:color w:val="auto"/>
              </w:rPr>
              <w:t>per</w:t>
            </w:r>
          </w:p>
        </w:tc>
      </w:tr>
      <w:tr>
        <w:trPr>
          <w:trHeight w:val="216"/>
        </w:trPr>
        <w:tc>
          <w:tcPr>
            <w:tcW w:w="3220" w:type="dxa"/>
            <w:vAlign w:val="bottom"/>
          </w:tcPr>
          <w:p>
            <w:pPr>
              <w:spacing w:after="0"/>
              <w:rPr>
                <w:sz w:val="18"/>
                <w:szCs w:val="18"/>
                <w:color w:val="auto"/>
              </w:rPr>
            </w:pPr>
          </w:p>
        </w:tc>
        <w:tc>
          <w:tcPr>
            <w:tcW w:w="7820" w:type="dxa"/>
            <w:vAlign w:val="bottom"/>
            <w:gridSpan w:val="7"/>
          </w:tcPr>
          <w:p>
            <w:pPr>
              <w:ind w:left="1000"/>
              <w:spacing w:after="0"/>
              <w:rPr>
                <w:sz w:val="20"/>
                <w:szCs w:val="20"/>
                <w:color w:val="auto"/>
              </w:rPr>
            </w:pPr>
            <w:r>
              <w:rPr>
                <w:rFonts w:ascii="Arial" w:cs="Arial" w:eastAsia="Arial" w:hAnsi="Arial"/>
                <w:sz w:val="18"/>
                <w:szCs w:val="18"/>
                <w:color w:val="auto"/>
              </w:rPr>
              <w:t>share (the midpoint of the range set forth on the cover page of this prospectus), after</w:t>
            </w:r>
          </w:p>
        </w:tc>
      </w:tr>
      <w:tr>
        <w:trPr>
          <w:trHeight w:val="216"/>
        </w:trPr>
        <w:tc>
          <w:tcPr>
            <w:tcW w:w="3220" w:type="dxa"/>
            <w:vAlign w:val="bottom"/>
          </w:tcPr>
          <w:p>
            <w:pPr>
              <w:spacing w:after="0"/>
              <w:rPr>
                <w:sz w:val="18"/>
                <w:szCs w:val="18"/>
                <w:color w:val="auto"/>
              </w:rPr>
            </w:pPr>
          </w:p>
        </w:tc>
        <w:tc>
          <w:tcPr>
            <w:tcW w:w="7820" w:type="dxa"/>
            <w:vAlign w:val="bottom"/>
            <w:gridSpan w:val="7"/>
          </w:tcPr>
          <w:p>
            <w:pPr>
              <w:ind w:left="1000"/>
              <w:spacing w:after="0"/>
              <w:rPr>
                <w:sz w:val="20"/>
                <w:szCs w:val="20"/>
                <w:color w:val="auto"/>
              </w:rPr>
            </w:pPr>
            <w:r>
              <w:rPr>
                <w:rFonts w:ascii="Arial" w:cs="Arial" w:eastAsia="Arial" w:hAnsi="Arial"/>
                <w:sz w:val="18"/>
                <w:szCs w:val="18"/>
                <w:color w:val="auto"/>
              </w:rPr>
              <w:t>deducting estimated underwriting discounts and commissions and estimated offering</w:t>
            </w:r>
          </w:p>
        </w:tc>
      </w:tr>
      <w:tr>
        <w:trPr>
          <w:trHeight w:val="216"/>
        </w:trPr>
        <w:tc>
          <w:tcPr>
            <w:tcW w:w="3220" w:type="dxa"/>
            <w:vAlign w:val="bottom"/>
          </w:tcPr>
          <w:p>
            <w:pPr>
              <w:spacing w:after="0"/>
              <w:rPr>
                <w:sz w:val="18"/>
                <w:szCs w:val="18"/>
                <w:color w:val="auto"/>
              </w:rPr>
            </w:pPr>
          </w:p>
        </w:tc>
        <w:tc>
          <w:tcPr>
            <w:tcW w:w="7820" w:type="dxa"/>
            <w:vAlign w:val="bottom"/>
            <w:gridSpan w:val="7"/>
          </w:tcPr>
          <w:p>
            <w:pPr>
              <w:ind w:left="1000"/>
              <w:spacing w:after="0"/>
              <w:rPr>
                <w:sz w:val="20"/>
                <w:szCs w:val="20"/>
                <w:color w:val="auto"/>
              </w:rPr>
            </w:pPr>
            <w:r>
              <w:rPr>
                <w:rFonts w:ascii="Arial" w:cs="Arial" w:eastAsia="Arial" w:hAnsi="Arial"/>
                <w:sz w:val="18"/>
                <w:szCs w:val="18"/>
                <w:color w:val="auto"/>
                <w:w w:val="92"/>
              </w:rPr>
              <w:t>expenses. Each $1 increase (decrease) in the public offering price per share would increase</w:t>
            </w:r>
          </w:p>
        </w:tc>
      </w:tr>
      <w:tr>
        <w:trPr>
          <w:trHeight w:val="216"/>
        </w:trPr>
        <w:tc>
          <w:tcPr>
            <w:tcW w:w="3220" w:type="dxa"/>
            <w:vAlign w:val="bottom"/>
          </w:tcPr>
          <w:p>
            <w:pPr>
              <w:spacing w:after="0"/>
              <w:rPr>
                <w:sz w:val="18"/>
                <w:szCs w:val="18"/>
                <w:color w:val="auto"/>
              </w:rPr>
            </w:pPr>
          </w:p>
        </w:tc>
        <w:tc>
          <w:tcPr>
            <w:tcW w:w="7040" w:type="dxa"/>
            <w:vAlign w:val="bottom"/>
            <w:gridSpan w:val="6"/>
          </w:tcPr>
          <w:p>
            <w:pPr>
              <w:ind w:left="1000"/>
              <w:spacing w:after="0"/>
              <w:rPr>
                <w:sz w:val="20"/>
                <w:szCs w:val="20"/>
                <w:color w:val="auto"/>
              </w:rPr>
            </w:pPr>
            <w:r>
              <w:rPr>
                <w:rFonts w:ascii="Arial" w:cs="Arial" w:eastAsia="Arial" w:hAnsi="Arial"/>
                <w:sz w:val="18"/>
                <w:szCs w:val="18"/>
                <w:color w:val="auto"/>
                <w:w w:val="91"/>
              </w:rPr>
              <w:t>(decrease) our net proceeds, after deducting estimated underwriting discounts and</w:t>
            </w:r>
          </w:p>
        </w:tc>
        <w:tc>
          <w:tcPr>
            <w:tcW w:w="7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2640" w:type="dxa"/>
            <w:vAlign w:val="bottom"/>
          </w:tcPr>
          <w:p>
            <w:pPr>
              <w:ind w:left="1000"/>
              <w:spacing w:after="0"/>
              <w:rPr>
                <w:sz w:val="20"/>
                <w:szCs w:val="20"/>
                <w:color w:val="auto"/>
              </w:rPr>
            </w:pPr>
            <w:r>
              <w:rPr>
                <w:rFonts w:ascii="Arial" w:cs="Arial" w:eastAsia="Arial" w:hAnsi="Arial"/>
                <w:sz w:val="18"/>
                <w:szCs w:val="18"/>
                <w:color w:val="auto"/>
              </w:rPr>
              <w:t>commissions, by $</w:t>
            </w:r>
          </w:p>
        </w:tc>
        <w:tc>
          <w:tcPr>
            <w:tcW w:w="4400" w:type="dxa"/>
            <w:vAlign w:val="bottom"/>
            <w:gridSpan w:val="5"/>
          </w:tcPr>
          <w:p>
            <w:pPr>
              <w:jc w:val="right"/>
              <w:spacing w:after="0"/>
              <w:rPr>
                <w:sz w:val="20"/>
                <w:szCs w:val="20"/>
                <w:color w:val="auto"/>
              </w:rPr>
            </w:pPr>
            <w:r>
              <w:rPr>
                <w:rFonts w:ascii="Arial" w:cs="Arial" w:eastAsia="Arial" w:hAnsi="Arial"/>
                <w:sz w:val="18"/>
                <w:szCs w:val="18"/>
                <w:color w:val="auto"/>
                <w:w w:val="93"/>
              </w:rPr>
              <w:t>million (assuming no exercise of the underwriters’ option to</w:t>
            </w:r>
          </w:p>
        </w:tc>
        <w:tc>
          <w:tcPr>
            <w:tcW w:w="7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7820" w:type="dxa"/>
            <w:vAlign w:val="bottom"/>
            <w:gridSpan w:val="7"/>
          </w:tcPr>
          <w:p>
            <w:pPr>
              <w:ind w:left="1000"/>
              <w:spacing w:after="0"/>
              <w:rPr>
                <w:sz w:val="20"/>
                <w:szCs w:val="20"/>
                <w:color w:val="auto"/>
              </w:rPr>
            </w:pPr>
            <w:r>
              <w:rPr>
                <w:rFonts w:ascii="Arial" w:cs="Arial" w:eastAsia="Arial" w:hAnsi="Arial"/>
                <w:sz w:val="18"/>
                <w:szCs w:val="18"/>
                <w:color w:val="auto"/>
                <w:w w:val="95"/>
              </w:rPr>
              <w:t>purchase additional shares). We intend to use the net proceeds from this offering to repay</w:t>
            </w:r>
          </w:p>
        </w:tc>
      </w:tr>
      <w:tr>
        <w:trPr>
          <w:trHeight w:val="216"/>
        </w:trPr>
        <w:tc>
          <w:tcPr>
            <w:tcW w:w="3220" w:type="dxa"/>
            <w:vAlign w:val="bottom"/>
          </w:tcPr>
          <w:p>
            <w:pPr>
              <w:spacing w:after="0"/>
              <w:rPr>
                <w:sz w:val="18"/>
                <w:szCs w:val="18"/>
                <w:color w:val="auto"/>
              </w:rPr>
            </w:pPr>
          </w:p>
        </w:tc>
        <w:tc>
          <w:tcPr>
            <w:tcW w:w="7040" w:type="dxa"/>
            <w:vAlign w:val="bottom"/>
            <w:gridSpan w:val="6"/>
          </w:tcPr>
          <w:p>
            <w:pPr>
              <w:ind w:left="1000"/>
              <w:spacing w:after="0"/>
              <w:rPr>
                <w:sz w:val="20"/>
                <w:szCs w:val="20"/>
                <w:color w:val="auto"/>
              </w:rPr>
            </w:pPr>
            <w:r>
              <w:rPr>
                <w:rFonts w:ascii="Arial" w:cs="Arial" w:eastAsia="Arial" w:hAnsi="Arial"/>
                <w:sz w:val="18"/>
                <w:szCs w:val="18"/>
                <w:color w:val="auto"/>
                <w:w w:val="92"/>
              </w:rPr>
              <w:t>amounts owed under the IPO Settlement Facility incurred as part of the Corporate</w:t>
            </w:r>
          </w:p>
        </w:tc>
        <w:tc>
          <w:tcPr>
            <w:tcW w:w="78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4060" w:type="dxa"/>
            <w:vAlign w:val="bottom"/>
            <w:gridSpan w:val="3"/>
          </w:tcPr>
          <w:p>
            <w:pPr>
              <w:ind w:left="1000"/>
              <w:spacing w:after="0"/>
              <w:rPr>
                <w:sz w:val="20"/>
                <w:szCs w:val="20"/>
                <w:color w:val="auto"/>
              </w:rPr>
            </w:pPr>
            <w:r>
              <w:rPr>
                <w:rFonts w:ascii="Arial" w:cs="Arial" w:eastAsia="Arial" w:hAnsi="Arial"/>
                <w:sz w:val="18"/>
                <w:szCs w:val="18"/>
                <w:color w:val="auto"/>
                <w:w w:val="95"/>
              </w:rPr>
              <w:t>Reorganization. See “Use of Proceeds.”</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5"/>
        </w:trPr>
        <w:tc>
          <w:tcPr>
            <w:tcW w:w="3220" w:type="dxa"/>
            <w:vAlign w:val="bottom"/>
          </w:tcPr>
          <w:p>
            <w:pPr>
              <w:ind w:left="180"/>
              <w:spacing w:after="0"/>
              <w:rPr>
                <w:sz w:val="20"/>
                <w:szCs w:val="20"/>
                <w:color w:val="auto"/>
              </w:rPr>
            </w:pPr>
            <w:r>
              <w:rPr>
                <w:rFonts w:ascii="Arial" w:cs="Arial" w:eastAsia="Arial" w:hAnsi="Arial"/>
                <w:sz w:val="18"/>
                <w:szCs w:val="18"/>
                <w:color w:val="auto"/>
              </w:rPr>
              <w:t>Concentration of ownership</w:t>
            </w:r>
          </w:p>
        </w:tc>
        <w:tc>
          <w:tcPr>
            <w:tcW w:w="7820" w:type="dxa"/>
            <w:vAlign w:val="bottom"/>
            <w:gridSpan w:val="7"/>
          </w:tcPr>
          <w:p>
            <w:pPr>
              <w:ind w:left="1000"/>
              <w:spacing w:after="0"/>
              <w:rPr>
                <w:sz w:val="20"/>
                <w:szCs w:val="20"/>
                <w:color w:val="auto"/>
              </w:rPr>
            </w:pPr>
            <w:r>
              <w:rPr>
                <w:rFonts w:ascii="Arial" w:cs="Arial" w:eastAsia="Arial" w:hAnsi="Arial"/>
                <w:sz w:val="18"/>
                <w:szCs w:val="18"/>
                <w:color w:val="auto"/>
                <w:w w:val="97"/>
              </w:rPr>
              <w:t>Upon closing of this offering, PFL will own a majority of the voting power of our common</w:t>
            </w:r>
          </w:p>
        </w:tc>
      </w:tr>
      <w:tr>
        <w:trPr>
          <w:trHeight w:val="216"/>
        </w:trPr>
        <w:tc>
          <w:tcPr>
            <w:tcW w:w="3220" w:type="dxa"/>
            <w:vAlign w:val="bottom"/>
          </w:tcPr>
          <w:p>
            <w:pPr>
              <w:spacing w:after="0"/>
              <w:rPr>
                <w:sz w:val="18"/>
                <w:szCs w:val="18"/>
                <w:color w:val="auto"/>
              </w:rPr>
            </w:pPr>
          </w:p>
        </w:tc>
        <w:tc>
          <w:tcPr>
            <w:tcW w:w="7820" w:type="dxa"/>
            <w:vAlign w:val="bottom"/>
            <w:gridSpan w:val="7"/>
          </w:tcPr>
          <w:p>
            <w:pPr>
              <w:ind w:left="1000"/>
              <w:spacing w:after="0"/>
              <w:rPr>
                <w:sz w:val="20"/>
                <w:szCs w:val="20"/>
                <w:color w:val="auto"/>
              </w:rPr>
            </w:pPr>
            <w:r>
              <w:rPr>
                <w:rFonts w:ascii="Arial" w:cs="Arial" w:eastAsia="Arial" w:hAnsi="Arial"/>
                <w:sz w:val="18"/>
                <w:szCs w:val="18"/>
                <w:color w:val="auto"/>
                <w:w w:val="95"/>
              </w:rPr>
              <w:t>stock. We currently intend to avail ourselves of the “controlled company” exemption under</w:t>
            </w:r>
          </w:p>
        </w:tc>
      </w:tr>
      <w:tr>
        <w:trPr>
          <w:trHeight w:val="230"/>
        </w:trPr>
        <w:tc>
          <w:tcPr>
            <w:tcW w:w="3220" w:type="dxa"/>
            <w:vAlign w:val="bottom"/>
          </w:tcPr>
          <w:p>
            <w:pPr>
              <w:spacing w:after="0"/>
              <w:rPr>
                <w:sz w:val="20"/>
                <w:szCs w:val="20"/>
                <w:color w:val="auto"/>
              </w:rPr>
            </w:pPr>
          </w:p>
        </w:tc>
        <w:tc>
          <w:tcPr>
            <w:tcW w:w="4060" w:type="dxa"/>
            <w:vAlign w:val="bottom"/>
            <w:gridSpan w:val="3"/>
          </w:tcPr>
          <w:p>
            <w:pPr>
              <w:ind w:left="1000"/>
              <w:spacing w:after="0"/>
              <w:rPr>
                <w:sz w:val="20"/>
                <w:szCs w:val="20"/>
                <w:color w:val="auto"/>
              </w:rPr>
            </w:pPr>
            <w:r>
              <w:rPr>
                <w:rFonts w:ascii="Arial" w:cs="Arial" w:eastAsia="Arial" w:hAnsi="Arial"/>
                <w:sz w:val="18"/>
                <w:szCs w:val="18"/>
                <w:color w:val="auto"/>
              </w:rPr>
              <w:t>the corporate governance rules of the</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5"/>
        </w:trPr>
        <w:tc>
          <w:tcPr>
            <w:tcW w:w="322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7820" w:type="dxa"/>
            <w:vAlign w:val="bottom"/>
            <w:gridSpan w:val="7"/>
          </w:tcPr>
          <w:p>
            <w:pPr>
              <w:ind w:left="1000"/>
              <w:spacing w:after="0"/>
              <w:rPr>
                <w:sz w:val="20"/>
                <w:szCs w:val="20"/>
                <w:color w:val="auto"/>
              </w:rPr>
            </w:pPr>
            <w:r>
              <w:rPr>
                <w:rFonts w:ascii="Arial" w:cs="Arial" w:eastAsia="Arial" w:hAnsi="Arial"/>
                <w:sz w:val="18"/>
                <w:szCs w:val="18"/>
                <w:color w:val="auto"/>
                <w:w w:val="97"/>
              </w:rPr>
              <w:t>Following closing of this offering and subject to legally available funds, we intend to pay</w:t>
            </w:r>
          </w:p>
        </w:tc>
      </w:tr>
      <w:tr>
        <w:trPr>
          <w:trHeight w:val="216"/>
        </w:trPr>
        <w:tc>
          <w:tcPr>
            <w:tcW w:w="3220" w:type="dxa"/>
            <w:vAlign w:val="bottom"/>
          </w:tcPr>
          <w:p>
            <w:pPr>
              <w:spacing w:after="0"/>
              <w:rPr>
                <w:sz w:val="18"/>
                <w:szCs w:val="18"/>
                <w:color w:val="auto"/>
              </w:rPr>
            </w:pPr>
          </w:p>
        </w:tc>
        <w:tc>
          <w:tcPr>
            <w:tcW w:w="5920" w:type="dxa"/>
            <w:vAlign w:val="bottom"/>
            <w:gridSpan w:val="5"/>
          </w:tcPr>
          <w:p>
            <w:pPr>
              <w:ind w:left="1000"/>
              <w:spacing w:after="0"/>
              <w:rPr>
                <w:sz w:val="20"/>
                <w:szCs w:val="20"/>
                <w:color w:val="auto"/>
              </w:rPr>
            </w:pPr>
            <w:r>
              <w:rPr>
                <w:rFonts w:ascii="Arial" w:cs="Arial" w:eastAsia="Arial" w:hAnsi="Arial"/>
                <w:sz w:val="18"/>
                <w:szCs w:val="18"/>
                <w:color w:val="auto"/>
                <w:w w:val="95"/>
              </w:rPr>
              <w:t>quarterly cash dividends on our common stock initially equal to $</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per share,</w:t>
            </w:r>
          </w:p>
        </w:tc>
        <w:tc>
          <w:tcPr>
            <w:tcW w:w="78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2640" w:type="dxa"/>
            <w:vAlign w:val="bottom"/>
          </w:tcPr>
          <w:p>
            <w:pPr>
              <w:ind w:left="1000"/>
              <w:spacing w:after="0"/>
              <w:rPr>
                <w:sz w:val="20"/>
                <w:szCs w:val="20"/>
                <w:color w:val="auto"/>
              </w:rPr>
            </w:pPr>
            <w:r>
              <w:rPr>
                <w:rFonts w:ascii="Arial" w:cs="Arial" w:eastAsia="Arial" w:hAnsi="Arial"/>
                <w:sz w:val="18"/>
                <w:szCs w:val="18"/>
                <w:color w:val="auto"/>
                <w:w w:val="95"/>
              </w:rPr>
              <w:t>commencing with the</w:t>
            </w:r>
          </w:p>
        </w:tc>
        <w:tc>
          <w:tcPr>
            <w:tcW w:w="420" w:type="dxa"/>
            <w:vAlign w:val="bottom"/>
          </w:tcPr>
          <w:p>
            <w:pPr>
              <w:spacing w:after="0"/>
              <w:rPr>
                <w:sz w:val="20"/>
                <w:szCs w:val="20"/>
                <w:color w:val="auto"/>
              </w:rPr>
            </w:pP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fiscal quarter of 20</w:t>
            </w:r>
          </w:p>
        </w:tc>
        <w:tc>
          <w:tcPr>
            <w:tcW w:w="120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5"/>
        </w:trPr>
        <w:tc>
          <w:tcPr>
            <w:tcW w:w="3220" w:type="dxa"/>
            <w:vAlign w:val="bottom"/>
          </w:tcPr>
          <w:p>
            <w:pPr>
              <w:spacing w:after="0"/>
              <w:rPr>
                <w:sz w:val="24"/>
                <w:szCs w:val="24"/>
                <w:color w:val="auto"/>
              </w:rPr>
            </w:pPr>
          </w:p>
        </w:tc>
        <w:tc>
          <w:tcPr>
            <w:tcW w:w="7820" w:type="dxa"/>
            <w:vAlign w:val="bottom"/>
            <w:gridSpan w:val="7"/>
          </w:tcPr>
          <w:p>
            <w:pPr>
              <w:ind w:left="1000"/>
              <w:spacing w:after="0"/>
              <w:rPr>
                <w:sz w:val="20"/>
                <w:szCs w:val="20"/>
                <w:color w:val="auto"/>
              </w:rPr>
            </w:pPr>
            <w:r>
              <w:rPr>
                <w:rFonts w:ascii="Arial" w:cs="Arial" w:eastAsia="Arial" w:hAnsi="Arial"/>
                <w:sz w:val="18"/>
                <w:szCs w:val="18"/>
                <w:color w:val="auto"/>
                <w:w w:val="95"/>
              </w:rPr>
              <w:t>The declaration, amount and payment of any dividends will be at the sole discretion of our</w:t>
            </w:r>
          </w:p>
        </w:tc>
      </w:tr>
      <w:tr>
        <w:trPr>
          <w:trHeight w:val="230"/>
        </w:trPr>
        <w:tc>
          <w:tcPr>
            <w:tcW w:w="3220" w:type="dxa"/>
            <w:vAlign w:val="bottom"/>
          </w:tcPr>
          <w:p>
            <w:pPr>
              <w:spacing w:after="0"/>
              <w:rPr>
                <w:sz w:val="20"/>
                <w:szCs w:val="20"/>
                <w:color w:val="auto"/>
              </w:rPr>
            </w:pPr>
          </w:p>
        </w:tc>
        <w:tc>
          <w:tcPr>
            <w:tcW w:w="7040" w:type="dxa"/>
            <w:vAlign w:val="bottom"/>
            <w:gridSpan w:val="6"/>
          </w:tcPr>
          <w:p>
            <w:pPr>
              <w:ind w:left="1000"/>
              <w:spacing w:after="0"/>
              <w:rPr>
                <w:sz w:val="20"/>
                <w:szCs w:val="20"/>
                <w:color w:val="auto"/>
              </w:rPr>
            </w:pPr>
            <w:r>
              <w:rPr>
                <w:rFonts w:ascii="Arial" w:cs="Arial" w:eastAsia="Arial" w:hAnsi="Arial"/>
                <w:sz w:val="18"/>
                <w:szCs w:val="18"/>
                <w:color w:val="auto"/>
                <w:w w:val="96"/>
              </w:rPr>
              <w:t>board of directors and subject to certain considerations. See “Dividend Policy.”</w:t>
            </w:r>
          </w:p>
        </w:tc>
        <w:tc>
          <w:tcPr>
            <w:tcW w:w="780" w:type="dxa"/>
            <w:vAlign w:val="bottom"/>
          </w:tcPr>
          <w:p>
            <w:pPr>
              <w:spacing w:after="0"/>
              <w:rPr>
                <w:sz w:val="20"/>
                <w:szCs w:val="20"/>
                <w:color w:val="auto"/>
              </w:rPr>
            </w:pPr>
          </w:p>
        </w:tc>
      </w:tr>
      <w:tr>
        <w:trPr>
          <w:trHeight w:val="445"/>
        </w:trPr>
        <w:tc>
          <w:tcPr>
            <w:tcW w:w="3220" w:type="dxa"/>
            <w:vAlign w:val="bottom"/>
          </w:tcPr>
          <w:p>
            <w:pPr>
              <w:ind w:left="180"/>
              <w:spacing w:after="0"/>
              <w:rPr>
                <w:sz w:val="20"/>
                <w:szCs w:val="20"/>
                <w:color w:val="auto"/>
              </w:rPr>
            </w:pPr>
            <w:r>
              <w:rPr>
                <w:rFonts w:ascii="Arial" w:cs="Arial" w:eastAsia="Arial" w:hAnsi="Arial"/>
                <w:sz w:val="18"/>
                <w:szCs w:val="18"/>
                <w:color w:val="auto"/>
              </w:rPr>
              <w:t>Listing</w:t>
            </w:r>
          </w:p>
        </w:tc>
        <w:tc>
          <w:tcPr>
            <w:tcW w:w="4720" w:type="dxa"/>
            <w:vAlign w:val="bottom"/>
            <w:gridSpan w:val="4"/>
          </w:tcPr>
          <w:p>
            <w:pPr>
              <w:ind w:left="1000"/>
              <w:spacing w:after="0"/>
              <w:rPr>
                <w:sz w:val="20"/>
                <w:szCs w:val="20"/>
                <w:color w:val="auto"/>
              </w:rPr>
            </w:pPr>
            <w:r>
              <w:rPr>
                <w:rFonts w:ascii="Arial" w:cs="Arial" w:eastAsia="Arial" w:hAnsi="Arial"/>
                <w:sz w:val="18"/>
                <w:szCs w:val="18"/>
                <w:color w:val="auto"/>
                <w:w w:val="99"/>
              </w:rPr>
              <w:t>We intend to apply to list our common stock 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under the trading symbol</w:t>
            </w:r>
          </w:p>
        </w:tc>
        <w:tc>
          <w:tcPr>
            <w:tcW w:w="780" w:type="dxa"/>
            <w:vAlign w:val="bottom"/>
          </w:tcPr>
          <w:p>
            <w:pPr>
              <w:spacing w:after="0"/>
              <w:rPr>
                <w:sz w:val="24"/>
                <w:szCs w:val="24"/>
                <w:color w:val="auto"/>
              </w:rPr>
            </w:pPr>
          </w:p>
        </w:tc>
      </w:tr>
      <w:tr>
        <w:trPr>
          <w:trHeight w:val="230"/>
        </w:trPr>
        <w:tc>
          <w:tcPr>
            <w:tcW w:w="3220" w:type="dxa"/>
            <w:vAlign w:val="bottom"/>
          </w:tcPr>
          <w:p>
            <w:pPr>
              <w:spacing w:after="0"/>
              <w:rPr>
                <w:sz w:val="20"/>
                <w:szCs w:val="20"/>
                <w:color w:val="auto"/>
              </w:rPr>
            </w:pPr>
          </w:p>
        </w:tc>
        <w:tc>
          <w:tcPr>
            <w:tcW w:w="2640" w:type="dxa"/>
            <w:vAlign w:val="bottom"/>
          </w:tcPr>
          <w:p>
            <w:pPr>
              <w:ind w:left="1000"/>
              <w:spacing w:after="0"/>
              <w:rPr>
                <w:sz w:val="20"/>
                <w:szCs w:val="20"/>
                <w:color w:val="auto"/>
              </w:rPr>
            </w:pPr>
            <w:r>
              <w:rPr>
                <w:rFonts w:ascii="Arial" w:cs="Arial" w:eastAsia="Arial" w:hAnsi="Arial"/>
                <w:sz w:val="18"/>
                <w:szCs w:val="18"/>
                <w:color w:val="auto"/>
              </w:rPr>
              <w:t>“REYN.”</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0"/>
        </w:trPr>
        <w:tc>
          <w:tcPr>
            <w:tcW w:w="3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604"/>
        </w:trPr>
        <w:tc>
          <w:tcPr>
            <w:tcW w:w="3220" w:type="dxa"/>
            <w:vAlign w:val="bottom"/>
          </w:tcPr>
          <w:p>
            <w:pPr>
              <w:spacing w:after="0"/>
              <w:rPr>
                <w:sz w:val="24"/>
                <w:szCs w:val="24"/>
                <w:color w:val="auto"/>
              </w:rPr>
            </w:pPr>
          </w:p>
        </w:tc>
        <w:tc>
          <w:tcPr>
            <w:tcW w:w="2640" w:type="dxa"/>
            <w:vAlign w:val="bottom"/>
          </w:tcPr>
          <w:p>
            <w:pPr>
              <w:ind w:left="232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23793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2145" cy="2379345"/>
                    </a:xfrm>
                    <a:prstGeom prst="rect">
                      <a:avLst/>
                    </a:prstGeom>
                    <a:noFill/>
                  </pic:spPr>
                </pic:pic>
              </a:graphicData>
            </a:graphic>
          </wp:anchor>
        </w:drawing>
      </w:r>
    </w:p>
    <w:p>
      <w:pPr>
        <w:spacing w:after="0" w:line="3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number of shares of our common stock to be outstanding after this offering:</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ind w:left="180"/>
              <w:spacing w:after="0"/>
              <w:rPr>
                <w:sz w:val="20"/>
                <w:szCs w:val="20"/>
                <w:color w:val="auto"/>
              </w:rPr>
            </w:pPr>
            <w:r>
              <w:rPr>
                <w:rFonts w:ascii="Arial" w:cs="Arial" w:eastAsia="Arial" w:hAnsi="Arial"/>
                <w:sz w:val="18"/>
                <w:szCs w:val="18"/>
                <w:color w:val="auto"/>
              </w:rPr>
              <w:t>is based on</w:t>
            </w:r>
          </w:p>
        </w:tc>
        <w:tc>
          <w:tcPr>
            <w:tcW w:w="8600" w:type="dxa"/>
            <w:vAlign w:val="bottom"/>
            <w:gridSpan w:val="3"/>
          </w:tcPr>
          <w:p>
            <w:pPr>
              <w:ind w:left="500"/>
              <w:spacing w:after="0"/>
              <w:rPr>
                <w:sz w:val="20"/>
                <w:szCs w:val="20"/>
                <w:color w:val="auto"/>
              </w:rPr>
            </w:pPr>
            <w:r>
              <w:rPr>
                <w:rFonts w:ascii="Arial" w:cs="Arial" w:eastAsia="Arial" w:hAnsi="Arial"/>
                <w:sz w:val="18"/>
                <w:szCs w:val="18"/>
                <w:color w:val="auto"/>
                <w:w w:val="92"/>
              </w:rPr>
              <w:t>shares of common stock outstanding prior to this offering (after giving effect to the Corporate Reorganization);</w:t>
            </w:r>
          </w:p>
        </w:tc>
      </w:tr>
      <w:tr>
        <w:trPr>
          <w:trHeight w:val="32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ind w:left="180"/>
              <w:spacing w:after="0"/>
              <w:rPr>
                <w:sz w:val="20"/>
                <w:szCs w:val="20"/>
                <w:color w:val="auto"/>
              </w:rPr>
            </w:pPr>
            <w:r>
              <w:rPr>
                <w:rFonts w:ascii="Arial" w:cs="Arial" w:eastAsia="Arial" w:hAnsi="Arial"/>
                <w:sz w:val="18"/>
                <w:szCs w:val="18"/>
                <w:color w:val="auto"/>
              </w:rPr>
              <w:t>includes</w:t>
            </w:r>
          </w:p>
        </w:tc>
        <w:tc>
          <w:tcPr>
            <w:tcW w:w="8600" w:type="dxa"/>
            <w:vAlign w:val="bottom"/>
            <w:gridSpan w:val="3"/>
          </w:tcPr>
          <w:p>
            <w:pPr>
              <w:ind w:left="300"/>
              <w:spacing w:after="0"/>
              <w:rPr>
                <w:sz w:val="20"/>
                <w:szCs w:val="20"/>
                <w:color w:val="auto"/>
              </w:rPr>
            </w:pPr>
            <w:r>
              <w:rPr>
                <w:rFonts w:ascii="Arial" w:cs="Arial" w:eastAsia="Arial" w:hAnsi="Arial"/>
                <w:sz w:val="18"/>
                <w:szCs w:val="18"/>
                <w:color w:val="auto"/>
                <w:w w:val="92"/>
              </w:rPr>
              <w:t>shares of common stock (based on the midpoint of the price range set forth on the cover of this prospectus) to be</w:t>
            </w:r>
          </w:p>
        </w:tc>
      </w:tr>
      <w:tr>
        <w:trPr>
          <w:trHeight w:val="216"/>
        </w:trPr>
        <w:tc>
          <w:tcPr>
            <w:tcW w:w="220" w:type="dxa"/>
            <w:vAlign w:val="bottom"/>
          </w:tcPr>
          <w:p>
            <w:pPr>
              <w:spacing w:after="0"/>
              <w:rPr>
                <w:sz w:val="18"/>
                <w:szCs w:val="18"/>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w w:val="92"/>
              </w:rPr>
              <w:t>issued upon the closing of this offering to persons, including our senior management, pursuant to retention agreements entered into</w:t>
            </w:r>
          </w:p>
        </w:tc>
      </w:tr>
      <w:tr>
        <w:trPr>
          <w:trHeight w:val="216"/>
        </w:trPr>
        <w:tc>
          <w:tcPr>
            <w:tcW w:w="220" w:type="dxa"/>
            <w:vAlign w:val="bottom"/>
          </w:tcPr>
          <w:p>
            <w:pPr>
              <w:spacing w:after="0"/>
              <w:rPr>
                <w:sz w:val="18"/>
                <w:szCs w:val="18"/>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w w:val="92"/>
              </w:rPr>
              <w:t>with such persons (“IPO Grants”). These IPO Grants will constitute restricted stock, vesting ratably on an annual basis over a three-</w:t>
            </w:r>
          </w:p>
        </w:tc>
      </w:tr>
      <w:tr>
        <w:trPr>
          <w:trHeight w:val="230"/>
        </w:trPr>
        <w:tc>
          <w:tcPr>
            <w:tcW w:w="220" w:type="dxa"/>
            <w:vAlign w:val="bottom"/>
          </w:tcPr>
          <w:p>
            <w:pPr>
              <w:spacing w:after="0"/>
              <w:rPr>
                <w:sz w:val="20"/>
                <w:szCs w:val="20"/>
                <w:color w:val="auto"/>
              </w:rPr>
            </w:pPr>
          </w:p>
        </w:tc>
        <w:tc>
          <w:tcPr>
            <w:tcW w:w="7760" w:type="dxa"/>
            <w:vAlign w:val="bottom"/>
            <w:gridSpan w:val="3"/>
          </w:tcPr>
          <w:p>
            <w:pPr>
              <w:ind w:left="180"/>
              <w:spacing w:after="0"/>
              <w:rPr>
                <w:sz w:val="20"/>
                <w:szCs w:val="20"/>
                <w:color w:val="auto"/>
              </w:rPr>
            </w:pPr>
            <w:r>
              <w:rPr>
                <w:rFonts w:ascii="Arial" w:cs="Arial" w:eastAsia="Arial" w:hAnsi="Arial"/>
                <w:sz w:val="18"/>
                <w:szCs w:val="18"/>
                <w:color w:val="auto"/>
              </w:rPr>
              <w:t>year period, commencing on the first anniversary of the closing date of this offering;</w:t>
            </w:r>
          </w:p>
        </w:tc>
        <w:tc>
          <w:tcPr>
            <w:tcW w:w="2120" w:type="dxa"/>
            <w:vAlign w:val="bottom"/>
          </w:tcPr>
          <w:p>
            <w:pPr>
              <w:spacing w:after="0"/>
              <w:rPr>
                <w:sz w:val="20"/>
                <w:szCs w:val="20"/>
                <w:color w:val="auto"/>
              </w:rPr>
            </w:pPr>
          </w:p>
        </w:tc>
      </w:tr>
      <w:tr>
        <w:trPr>
          <w:trHeight w:val="3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ind w:left="180"/>
              <w:spacing w:after="0"/>
              <w:rPr>
                <w:sz w:val="20"/>
                <w:szCs w:val="20"/>
                <w:color w:val="auto"/>
              </w:rPr>
            </w:pPr>
            <w:r>
              <w:rPr>
                <w:rFonts w:ascii="Arial" w:cs="Arial" w:eastAsia="Arial" w:hAnsi="Arial"/>
                <w:sz w:val="18"/>
                <w:szCs w:val="18"/>
                <w:color w:val="auto"/>
              </w:rPr>
              <w:t>excludes</w:t>
            </w: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shares of common stock reserved for future issuance under our 2020 incentive award plan; and</w:t>
            </w:r>
          </w:p>
        </w:tc>
      </w:tr>
      <w:tr>
        <w:trPr>
          <w:trHeight w:val="32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740" w:type="dxa"/>
            <w:vAlign w:val="bottom"/>
            <w:gridSpan w:val="2"/>
          </w:tcPr>
          <w:p>
            <w:pPr>
              <w:ind w:left="180"/>
              <w:spacing w:after="0"/>
              <w:rPr>
                <w:sz w:val="20"/>
                <w:szCs w:val="20"/>
                <w:color w:val="auto"/>
              </w:rPr>
            </w:pPr>
            <w:r>
              <w:rPr>
                <w:rFonts w:ascii="Arial" w:cs="Arial" w:eastAsia="Arial" w:hAnsi="Arial"/>
                <w:sz w:val="18"/>
                <w:szCs w:val="18"/>
                <w:color w:val="auto"/>
              </w:rPr>
              <w:t>excludes the issuance of up to</w:t>
            </w:r>
          </w:p>
        </w:tc>
        <w:tc>
          <w:tcPr>
            <w:tcW w:w="7140" w:type="dxa"/>
            <w:vAlign w:val="bottom"/>
            <w:gridSpan w:val="2"/>
          </w:tcPr>
          <w:p>
            <w:pPr>
              <w:ind w:left="400"/>
              <w:spacing w:after="0"/>
              <w:rPr>
                <w:sz w:val="20"/>
                <w:szCs w:val="20"/>
                <w:color w:val="auto"/>
              </w:rPr>
            </w:pPr>
            <w:r>
              <w:rPr>
                <w:rFonts w:ascii="Arial" w:cs="Arial" w:eastAsia="Arial" w:hAnsi="Arial"/>
                <w:sz w:val="18"/>
                <w:szCs w:val="18"/>
                <w:color w:val="auto"/>
                <w:w w:val="90"/>
              </w:rPr>
              <w:t>shares of common stock which the underwriters have the option to purchase from us solely to</w:t>
            </w:r>
          </w:p>
        </w:tc>
      </w:tr>
      <w:tr>
        <w:trPr>
          <w:trHeight w:val="216"/>
        </w:trPr>
        <w:tc>
          <w:tcPr>
            <w:tcW w:w="220" w:type="dxa"/>
            <w:vAlign w:val="bottom"/>
          </w:tcPr>
          <w:p>
            <w:pPr>
              <w:spacing w:after="0"/>
              <w:rPr>
                <w:sz w:val="18"/>
                <w:szCs w:val="18"/>
                <w:color w:val="auto"/>
              </w:rPr>
            </w:pPr>
          </w:p>
        </w:tc>
        <w:tc>
          <w:tcPr>
            <w:tcW w:w="7760" w:type="dxa"/>
            <w:vAlign w:val="bottom"/>
            <w:gridSpan w:val="3"/>
          </w:tcPr>
          <w:p>
            <w:pPr>
              <w:ind w:left="180"/>
              <w:spacing w:after="0"/>
              <w:rPr>
                <w:sz w:val="20"/>
                <w:szCs w:val="20"/>
                <w:color w:val="auto"/>
              </w:rPr>
            </w:pPr>
            <w:r>
              <w:rPr>
                <w:rFonts w:ascii="Arial" w:cs="Arial" w:eastAsia="Arial" w:hAnsi="Arial"/>
                <w:sz w:val="18"/>
                <w:szCs w:val="18"/>
                <w:color w:val="auto"/>
                <w:w w:val="96"/>
              </w:rPr>
              <w:t>cover over-allotments. If the underwriters exercise their option to purchase additional shares in full,</w:t>
            </w:r>
          </w:p>
        </w:tc>
        <w:tc>
          <w:tcPr>
            <w:tcW w:w="2120" w:type="dxa"/>
            <w:vAlign w:val="bottom"/>
          </w:tcPr>
          <w:p>
            <w:pPr>
              <w:ind w:left="400"/>
              <w:spacing w:after="0"/>
              <w:rPr>
                <w:sz w:val="20"/>
                <w:szCs w:val="20"/>
                <w:color w:val="auto"/>
              </w:rPr>
            </w:pPr>
            <w:r>
              <w:rPr>
                <w:rFonts w:ascii="Arial" w:cs="Arial" w:eastAsia="Arial" w:hAnsi="Arial"/>
                <w:sz w:val="18"/>
                <w:szCs w:val="18"/>
                <w:color w:val="auto"/>
              </w:rPr>
              <w:t>shares of common</w:t>
            </w:r>
          </w:p>
        </w:tc>
      </w:tr>
      <w:tr>
        <w:trPr>
          <w:trHeight w:val="230"/>
        </w:trPr>
        <w:tc>
          <w:tcPr>
            <w:tcW w:w="220" w:type="dxa"/>
            <w:vAlign w:val="bottom"/>
          </w:tcPr>
          <w:p>
            <w:pPr>
              <w:spacing w:after="0"/>
              <w:rPr>
                <w:sz w:val="20"/>
                <w:szCs w:val="20"/>
                <w:color w:val="auto"/>
              </w:rPr>
            </w:pPr>
          </w:p>
        </w:tc>
        <w:tc>
          <w:tcPr>
            <w:tcW w:w="7760" w:type="dxa"/>
            <w:vAlign w:val="bottom"/>
            <w:gridSpan w:val="3"/>
          </w:tcPr>
          <w:p>
            <w:pPr>
              <w:ind w:left="180"/>
              <w:spacing w:after="0"/>
              <w:rPr>
                <w:sz w:val="20"/>
                <w:szCs w:val="20"/>
                <w:color w:val="auto"/>
              </w:rPr>
            </w:pPr>
            <w:r>
              <w:rPr>
                <w:rFonts w:ascii="Arial" w:cs="Arial" w:eastAsia="Arial" w:hAnsi="Arial"/>
                <w:sz w:val="18"/>
                <w:szCs w:val="18"/>
                <w:color w:val="auto"/>
              </w:rPr>
              <w:t>stock will be outstanding after this offering.</w:t>
            </w:r>
          </w:p>
        </w:tc>
        <w:tc>
          <w:tcPr>
            <w:tcW w:w="2120" w:type="dxa"/>
            <w:vAlign w:val="bottom"/>
          </w:tcPr>
          <w:p>
            <w:pPr>
              <w:spacing w:after="0"/>
              <w:rPr>
                <w:sz w:val="20"/>
                <w:szCs w:val="20"/>
                <w:color w:val="auto"/>
              </w:rPr>
            </w:pPr>
          </w:p>
        </w:tc>
      </w:tr>
    </w:tbl>
    <w:p>
      <w:pPr>
        <w:spacing w:after="0" w:line="202" w:lineRule="exact"/>
        <w:rPr>
          <w:sz w:val="20"/>
          <w:szCs w:val="20"/>
          <w:color w:val="auto"/>
        </w:rPr>
      </w:pPr>
    </w:p>
    <w:p>
      <w:pPr>
        <w:ind w:left="380" w:right="280" w:firstLine="426"/>
        <w:spacing w:after="0" w:line="342" w:lineRule="auto"/>
        <w:rPr>
          <w:sz w:val="20"/>
          <w:szCs w:val="20"/>
          <w:color w:val="auto"/>
        </w:rPr>
      </w:pPr>
      <w:r>
        <w:rPr>
          <w:rFonts w:ascii="Arial" w:cs="Arial" w:eastAsia="Arial" w:hAnsi="Arial"/>
          <w:sz w:val="16"/>
          <w:szCs w:val="16"/>
          <w:color w:val="auto"/>
        </w:rPr>
        <w:t>Unless we specifically state otherwise, all information in this prospectus, except for our historical combined financial statements included elsewhere in this prospectus, assumes the consummation of the Corporate Reorganization immediately prior to the closing of this offering.</w:t>
      </w: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24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52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2145" cy="6521450"/>
                    </a:xfrm>
                    <a:prstGeom prst="rect">
                      <a:avLst/>
                    </a:prstGeom>
                    <a:noFill/>
                  </pic:spPr>
                </pic:pic>
              </a:graphicData>
            </a:graphic>
          </wp:anchor>
        </w:drawing>
      </w:r>
    </w:p>
    <w:p>
      <w:pPr>
        <w:spacing w:after="0" w:line="308"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SUMMARY HISTORICAL AND UNAUDITED PRO FORMA COMBINED FINANCIAL DATA</w:t>
      </w:r>
    </w:p>
    <w:p>
      <w:pPr>
        <w:spacing w:after="0" w:line="229"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6"/>
          <w:szCs w:val="16"/>
          <w:color w:val="auto"/>
        </w:rPr>
        <w:t>Set forth below are summary historical financial and other data. The combined balance sheet data as of December 31, 2018 and 2017 and the combined statements of income data and the combined statements of cash flows data for the years ended December 31, 2018, 2017 and 2016 have been derived from our annual combined financial statements included elsewhere in this prospectus. The combined balance sheet data as of December 31, 2016 has been derived from our financial records, which were derived from the financial records of RGHL Group and are not included in this prospectus. The combined balance sheet data as of September 30, 2019 and the combined statements of income data and the combined statements of cash flows data for the nine months ended September 30, 2019 and 2018 have been derived from our interim condensed combined financial statements included elsewhere in this prospectus. The interim condensed combined financial statements were prepared on a basis consistent with that used in preparing our annual combined financial statements and include all adjustments, consisting of normal and recurring items, that we consider necessary for a fair presentation of our financial position and results of operations for the interim periods. The historical financial data includes costs of our business, which include the allocation of certain expenses from RGHL Group. We believe these allocations were made on a reasonable basis. The summary financial data may not be indicative of our future performance as a stand-alone public company. It should be read in conjunction with the discussion in “Management’s Discussion and Analysis of Financial Condition and Results of Operations,” “Unaudited Pro Forma Combined Financial Data” and the annual combined financial statements and corresponding notes and the interim condensed combined financial statements and corresponding notes included elsewhere in this prospectus.</w:t>
      </w:r>
    </w:p>
    <w:p>
      <w:pPr>
        <w:spacing w:after="0" w:line="172"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Also set forth below are summary unaudited pro forma combined statements of income data for the nine months ended September 30, 2019 and the year ended December 31, 2018, which assume that the Corporate Reorganization and this offering had occurred as of January 1, 2018. The summary unaudited pro forma combined balance sheet data as of September 30, 2019 assumes that the Corporate Reorganization and this offering occurred as of September 30, 2019. The pro forma adjustments are based upon available information and assumptions that we believe are reasonable. The summary unaudited pro forma combined financial data does not purport to represent what the financial position or results of operations of RCP would have been if we had operated as a stand-alone public company during the periods presented or if the transactions described therein had actually occurred as of the dates indicated, nor does it project the financial position at any future date or the results of operations for any future period. Please see the notes to the “Unaudited Pro Forma Combined Financial Data” included elsewhere in this prospectus for a complete description of the adjustments reflected in the unaudited pro forma combined financial data.</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8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13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c>
          <w:tcPr>
            <w:tcW w:w="98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8"/>
            <w:vMerge w:val="restart"/>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gridSpan w:val="9"/>
          </w:tcPr>
          <w:p>
            <w:pPr>
              <w:jc w:val="center"/>
              <w:ind w:left="125"/>
              <w:spacing w:after="0" w:line="142" w:lineRule="exact"/>
              <w:rPr>
                <w:sz w:val="20"/>
                <w:szCs w:val="20"/>
                <w:color w:val="auto"/>
              </w:rPr>
            </w:pPr>
            <w:r>
              <w:rPr>
                <w:rFonts w:ascii="Arial" w:cs="Arial" w:eastAsia="Arial" w:hAnsi="Arial"/>
                <w:sz w:val="14"/>
                <w:szCs w:val="14"/>
                <w:b w:val="1"/>
                <w:bCs w:val="1"/>
                <w:color w:val="auto"/>
                <w:w w:val="92"/>
              </w:rPr>
              <w:t>(In millions, except share and per share data)</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Income Data:</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4"/>
                <w:szCs w:val="14"/>
                <w:color w:val="auto"/>
              </w:rPr>
              <w:t>Net revenues</w:t>
            </w:r>
            <w:r>
              <w:rPr>
                <w:rFonts w:ascii="Arial" w:cs="Arial" w:eastAsia="Arial" w:hAnsi="Arial"/>
                <w:sz w:val="23"/>
                <w:szCs w:val="23"/>
                <w:color w:val="auto"/>
                <w:vertAlign w:val="superscript"/>
              </w:rPr>
              <w:t>(1)</w:t>
            </w: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44"/>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2,981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2,809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2,792</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Related party net revenues</w:t>
            </w:r>
            <w:r>
              <w:rPr>
                <w:rFonts w:ascii="Arial" w:cs="Arial" w:eastAsia="Arial" w:hAnsi="Arial"/>
                <w:sz w:val="23"/>
                <w:szCs w:val="23"/>
                <w:color w:val="auto"/>
                <w:vertAlign w:val="superscript"/>
              </w:rPr>
              <w:t>(1)</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Total net revenues</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3,142</w:t>
            </w:r>
          </w:p>
        </w:tc>
        <w:tc>
          <w:tcPr>
            <w:tcW w:w="1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2,957</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2,935</w:t>
            </w: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(2,310)</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6"/>
              </w:rPr>
              <w:t>(2,095)</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(2,048)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Gross profit</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862</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Non-operating expense, net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Income before income taxes</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0" w:type="dxa"/>
            <w:vAlign w:val="bottom"/>
            <w:vMerge w:val="continue"/>
          </w:tcPr>
          <w:p>
            <w:pPr>
              <w:spacing w:after="0"/>
              <w:rPr>
                <w:sz w:val="17"/>
                <w:szCs w:val="17"/>
                <w:color w:val="auto"/>
              </w:rPr>
            </w:pP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176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459"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890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2145" cy="6890385"/>
                    </a:xfrm>
                    <a:prstGeom prst="rect">
                      <a:avLst/>
                    </a:prstGeom>
                    <a:noFill/>
                  </pic:spPr>
                </pic:pic>
              </a:graphicData>
            </a:graphic>
          </wp:anchor>
        </w:drawing>
      </w:r>
    </w:p>
    <w:p>
      <w:pPr>
        <w:spacing w:after="0" w:line="304" w:lineRule="exact"/>
        <w:rPr>
          <w:sz w:val="20"/>
          <w:szCs w:val="20"/>
          <w:color w:val="auto"/>
        </w:rPr>
      </w:pPr>
    </w:p>
    <w:tbl>
      <w:tblPr>
        <w:tblLayout w:type="fixed"/>
        <w:tblInd w:w="5460" w:type="dxa"/>
        <w:tblCellMar>
          <w:top w:w="0" w:type="dxa"/>
          <w:left w:w="0" w:type="dxa"/>
          <w:bottom w:w="0" w:type="dxa"/>
          <w:right w:w="0" w:type="dxa"/>
        </w:tblCellMar>
      </w:tblPr>
      <w:tr>
        <w:trPr>
          <w:trHeight w:val="171"/>
        </w:trPr>
        <w:tc>
          <w:tcPr>
            <w:tcW w:w="19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Historical</w:t>
            </w: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124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w:t>
            </w:r>
          </w:p>
        </w:tc>
        <w:tc>
          <w:tcPr>
            <w:tcW w:w="1060" w:type="dxa"/>
            <w:vAlign w:val="bottom"/>
            <w:gridSpan w:val="2"/>
            <w:vMerge w:val="continue"/>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2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71"/>
        </w:trPr>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9"/>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6"/>
        </w:trPr>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6"/>
          </w:tcPr>
          <w:p>
            <w:pPr>
              <w:jc w:val="right"/>
              <w:ind w:right="28"/>
              <w:spacing w:after="0" w:line="146" w:lineRule="exact"/>
              <w:rPr>
                <w:sz w:val="20"/>
                <w:szCs w:val="20"/>
                <w:color w:val="auto"/>
              </w:rPr>
            </w:pPr>
            <w:r>
              <w:rPr>
                <w:rFonts w:ascii="Arial" w:cs="Arial" w:eastAsia="Arial" w:hAnsi="Arial"/>
                <w:sz w:val="14"/>
                <w:szCs w:val="14"/>
                <w:b w:val="1"/>
                <w:bCs w:val="1"/>
                <w:color w:val="auto"/>
                <w:w w:val="99"/>
              </w:rPr>
              <w:t>(In millions, except share and per share data)</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0"/>
        <w:spacing w:after="0"/>
        <w:rPr>
          <w:sz w:val="20"/>
          <w:szCs w:val="20"/>
          <w:color w:val="auto"/>
        </w:rPr>
      </w:pPr>
      <w:r>
        <w:rPr>
          <w:rFonts w:ascii="Arial" w:cs="Arial" w:eastAsia="Arial" w:hAnsi="Arial"/>
          <w:sz w:val="16"/>
          <w:szCs w:val="16"/>
          <w:b w:val="1"/>
          <w:bCs w:val="1"/>
          <w:color w:val="auto"/>
        </w:rPr>
        <w:t>Per share:</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Earnings per share:</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Basic</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Diluted</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Weighted average number of shares used in calculating earnings per share:</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Basic</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Diluted</w:t>
      </w:r>
    </w:p>
    <w:p>
      <w:pPr>
        <w:spacing w:after="0" w:line="119"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Balance Sheet Data (as of end of period):</w:t>
            </w: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14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429</w:t>
            </w:r>
          </w:p>
        </w:tc>
        <w:tc>
          <w:tcPr>
            <w:tcW w:w="20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371</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receivables—non-current</w:t>
            </w: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2,401</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1,929</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1,784</w:t>
            </w: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4"/>
                <w:szCs w:val="14"/>
                <w:color w:val="auto"/>
              </w:rPr>
              <w:t>Total assets</w:t>
            </w:r>
            <w:r>
              <w:rPr>
                <w:rFonts w:ascii="Arial" w:cs="Arial" w:eastAsia="Arial" w:hAnsi="Arial"/>
                <w:sz w:val="23"/>
                <w:szCs w:val="23"/>
                <w:color w:val="auto"/>
                <w:vertAlign w:val="superscript"/>
              </w:rPr>
              <w:t>(2)</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6,421</w:t>
            </w:r>
          </w:p>
        </w:tc>
        <w:tc>
          <w:tcPr>
            <w:tcW w:w="20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5,911</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5,738</w:t>
            </w: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Long-term debt, including current portion</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2,030</w:t>
            </w:r>
          </w:p>
        </w:tc>
        <w:tc>
          <w:tcPr>
            <w:tcW w:w="20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2,049</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2,067</w:t>
            </w: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borrowings, including current portion</w:t>
            </w: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3,950</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3,927</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3,957</w:t>
            </w:r>
          </w:p>
        </w:tc>
      </w:tr>
      <w:tr>
        <w:trPr>
          <w:trHeight w:val="206"/>
        </w:trPr>
        <w:tc>
          <w:tcPr>
            <w:tcW w:w="4220" w:type="dxa"/>
            <w:vAlign w:val="bottom"/>
          </w:tcPr>
          <w:p>
            <w:pPr>
              <w:ind w:left="20"/>
              <w:spacing w:after="0"/>
              <w:rPr>
                <w:sz w:val="20"/>
                <w:szCs w:val="20"/>
                <w:color w:val="auto"/>
              </w:rPr>
            </w:pPr>
            <w:r>
              <w:rPr>
                <w:rFonts w:ascii="Arial" w:cs="Arial" w:eastAsia="Arial" w:hAnsi="Arial"/>
                <w:sz w:val="16"/>
                <w:szCs w:val="16"/>
                <w:color w:val="auto"/>
              </w:rPr>
              <w:t>Total equity (deficit)</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6"/>
              </w:rPr>
              <w:t>(1,027)</w:t>
            </w:r>
          </w:p>
        </w:tc>
        <w:tc>
          <w:tcPr>
            <w:tcW w:w="200" w:type="dxa"/>
            <w:vAlign w:val="bottom"/>
          </w:tcPr>
          <w:p>
            <w:pPr>
              <w:spacing w:after="0"/>
              <w:rPr>
                <w:sz w:val="17"/>
                <w:szCs w:val="17"/>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(1,298)</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(1,517)</w:t>
            </w:r>
          </w:p>
        </w:tc>
      </w:tr>
      <w:tr>
        <w:trPr>
          <w:trHeight w:val="104"/>
        </w:trPr>
        <w:tc>
          <w:tcPr>
            <w:tcW w:w="4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Net cash provided by (used in):</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4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(554)</w:t>
            </w:r>
          </w:p>
        </w:tc>
        <w:tc>
          <w:tcPr>
            <w:tcW w:w="200" w:type="dxa"/>
            <w:vAlign w:val="bottom"/>
          </w:tcPr>
          <w:p>
            <w:pPr>
              <w:spacing w:after="0"/>
              <w:rPr>
                <w:sz w:val="17"/>
                <w:szCs w:val="17"/>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31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Other Financial Data:</w:t>
            </w:r>
            <w:r>
              <w:rPr>
                <w:rFonts w:ascii="Arial" w:cs="Arial" w:eastAsia="Arial" w:hAnsi="Arial"/>
                <w:sz w:val="27"/>
                <w:szCs w:val="27"/>
                <w:b w:val="1"/>
                <w:bCs w:val="1"/>
                <w:color w:val="auto"/>
                <w:vertAlign w:val="superscript"/>
              </w:rPr>
              <w:t>(3)</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Adjusted EBITDA (non-GAAP)</w:t>
            </w:r>
            <w:r>
              <w:rPr>
                <w:rFonts w:ascii="Arial" w:cs="Arial" w:eastAsia="Arial" w:hAnsi="Arial"/>
                <w:sz w:val="23"/>
                <w:szCs w:val="23"/>
                <w:color w:val="auto"/>
                <w:vertAlign w:val="superscript"/>
              </w:rPr>
              <w:t>(4)</w:t>
            </w:r>
          </w:p>
        </w:tc>
        <w:tc>
          <w:tcPr>
            <w:tcW w:w="14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359"/>
        </w:trPr>
        <w:tc>
          <w:tcPr>
            <w:tcW w:w="4220" w:type="dxa"/>
            <w:vAlign w:val="bottom"/>
          </w:tcPr>
          <w:p>
            <w:pPr>
              <w:ind w:left="20"/>
              <w:spacing w:after="0"/>
              <w:rPr>
                <w:sz w:val="20"/>
                <w:szCs w:val="20"/>
                <w:color w:val="auto"/>
              </w:rPr>
            </w:pPr>
            <w:r>
              <w:rPr>
                <w:rFonts w:ascii="Arial" w:cs="Arial" w:eastAsia="Arial" w:hAnsi="Arial"/>
                <w:sz w:val="16"/>
                <w:szCs w:val="16"/>
                <w:color w:val="auto"/>
              </w:rPr>
              <w:t>Adjusted Free Cash Flow (non-GAAP)</w:t>
            </w:r>
            <w:r>
              <w:rPr>
                <w:rFonts w:ascii="Arial" w:cs="Arial" w:eastAsia="Arial" w:hAnsi="Arial"/>
                <w:sz w:val="27"/>
                <w:szCs w:val="27"/>
                <w:color w:val="auto"/>
                <w:vertAlign w:val="superscript"/>
              </w:rPr>
              <w:t>(5)</w:t>
            </w:r>
          </w:p>
        </w:tc>
        <w:tc>
          <w:tcPr>
            <w:tcW w:w="14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377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272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296</w:t>
            </w:r>
          </w:p>
        </w:tc>
      </w:tr>
    </w:tbl>
    <w:p>
      <w:pPr>
        <w:spacing w:after="0" w:line="23" w:lineRule="exact"/>
        <w:rPr>
          <w:sz w:val="20"/>
          <w:szCs w:val="20"/>
          <w:color w:val="auto"/>
        </w:rPr>
      </w:pPr>
    </w:p>
    <w:p>
      <w:pPr>
        <w:ind w:left="800" w:right="20" w:hanging="414"/>
        <w:spacing w:after="0" w:line="264"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On January 1, 2018, we adopted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other related Accounting Standards Updates regarding Accounting Standards Codification Topic 606 (“ASC 606”), using the modified retrospective method. Results as of and for the year ended December 31, 2018 and periods thereafter are presented under ASC 606, while prior period amounts are not adjusted and continue to be reported under ASC 605, Revenue Recognition, the accounting standard in effect for those periods presented. Our adoption of ASC 606 resulted in a $5 million adjustment to Net Parent deficit. There was no other material financial statement impact from adopting the new revenue recognition accounting standard. For further details regarding the impact of the adoption of ASC 606, refer to Note 2—Summary of Significant Accounting Policies of our annual combined financial statements included elsewhere in this prospectus.</w:t>
      </w:r>
    </w:p>
    <w:p>
      <w:pPr>
        <w:spacing w:after="0" w:line="5" w:lineRule="exact"/>
        <w:rPr>
          <w:rFonts w:ascii="Arial" w:cs="Arial" w:eastAsia="Arial" w:hAnsi="Arial"/>
          <w:sz w:val="16"/>
          <w:szCs w:val="16"/>
          <w:color w:val="auto"/>
        </w:rPr>
      </w:pPr>
    </w:p>
    <w:p>
      <w:pPr>
        <w:ind w:left="800" w:hanging="414"/>
        <w:spacing w:after="0" w:line="269"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On January 1, 2019, we adopted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other related Accounting Standard Updates regarding Accounting Standards Codification Topic 842 (“ASC 842”), using the modified retrospective method without the recasting of comparative periods’ financial information, as permitted by the transition guidance. Results as of and for the nine months ended September 30, 2019 are presented under ASC 842, while prior period amounts are not adjusted and continue to be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 the accounting standard in effect for those periods presented. For further details regarding the impact of the adoption of ASC 842, refer to Note 2—Summary of Significant Accounting Policies of our interim condensed combined financial statements included elsewhere in this prospectus.</w:t>
      </w:r>
    </w:p>
    <w:p>
      <w:pPr>
        <w:spacing w:after="0" w:line="29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40" w:lineRule="exact"/>
        <w:rPr>
          <w:sz w:val="20"/>
          <w:szCs w:val="20"/>
          <w:color w:val="auto"/>
        </w:rPr>
      </w:pPr>
    </w:p>
    <w:p>
      <w:pPr>
        <w:ind w:left="800" w:right="80" w:hanging="414"/>
        <w:spacing w:after="0" w:line="324"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It is management’s intent to provide non-GAAP financial measures to enhance the understanding of our GAAP financial information, and it should be considered in addition to, and not instead of, the financial statements prepared in accordance with GAAP included elsewhere in this prospectus. Each non-GAAP financial measure is presented along with the corresponding most directly comparable GAAP measure so as not to imply that more emphasis should be placed on the non-GAAP measure. The non-GAAP financial measures presented may be determined or calculated differently by other companies.</w:t>
      </w:r>
    </w:p>
    <w:p>
      <w:pPr>
        <w:spacing w:after="0" w:line="200" w:lineRule="exact"/>
        <w:rPr>
          <w:sz w:val="20"/>
          <w:szCs w:val="20"/>
          <w:color w:val="auto"/>
        </w:rPr>
      </w:pPr>
    </w:p>
    <w:p>
      <w:pPr>
        <w:spacing w:after="0" w:line="3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24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6762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2145" cy="6762115"/>
                    </a:xfrm>
                    <a:prstGeom prst="rect">
                      <a:avLst/>
                    </a:prstGeom>
                    <a:noFill/>
                  </pic:spPr>
                </pic:pic>
              </a:graphicData>
            </a:graphic>
          </wp:anchor>
        </w:drawing>
      </w:r>
    </w:p>
    <w:p>
      <w:pPr>
        <w:spacing w:after="0" w:line="317" w:lineRule="exact"/>
        <w:rPr>
          <w:sz w:val="20"/>
          <w:szCs w:val="20"/>
          <w:color w:val="auto"/>
        </w:rPr>
      </w:pPr>
    </w:p>
    <w:p>
      <w:pPr>
        <w:ind w:left="800" w:right="160" w:hanging="414"/>
        <w:spacing w:after="0" w:line="273"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define “Adjusted EBITDA” as our net income calculated in accordance with GAAP, plus the sum of income tax expense, net interest expense, depreciation and amortization and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and the allocated related party management fee.</w:t>
      </w:r>
    </w:p>
    <w:p>
      <w:pPr>
        <w:spacing w:after="0" w:line="81" w:lineRule="exact"/>
        <w:rPr>
          <w:rFonts w:ascii="Arial" w:cs="Arial" w:eastAsia="Arial" w:hAnsi="Arial"/>
          <w:sz w:val="16"/>
          <w:szCs w:val="16"/>
          <w:color w:val="auto"/>
        </w:rPr>
      </w:pPr>
    </w:p>
    <w:p>
      <w:pPr>
        <w:jc w:val="both"/>
        <w:ind w:left="820" w:right="200"/>
        <w:spacing w:after="0" w:line="305" w:lineRule="auto"/>
        <w:rPr>
          <w:rFonts w:ascii="Arial" w:cs="Arial" w:eastAsia="Arial" w:hAnsi="Arial"/>
          <w:sz w:val="16"/>
          <w:szCs w:val="16"/>
          <w:color w:val="auto"/>
        </w:rPr>
      </w:pPr>
      <w:r>
        <w:rPr>
          <w:rFonts w:ascii="Arial" w:cs="Arial" w:eastAsia="Arial" w:hAnsi="Arial"/>
          <w:sz w:val="15"/>
          <w:szCs w:val="15"/>
          <w:color w:val="auto"/>
        </w:rPr>
        <w:t>We have included Adjusted EBITDA in this prospectus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w:t>
      </w:r>
    </w:p>
    <w:p>
      <w:pPr>
        <w:spacing w:after="0" w:line="58" w:lineRule="exact"/>
        <w:rPr>
          <w:rFonts w:ascii="Arial" w:cs="Arial" w:eastAsia="Arial" w:hAnsi="Arial"/>
          <w:sz w:val="16"/>
          <w:szCs w:val="16"/>
          <w:color w:val="auto"/>
        </w:rPr>
      </w:pPr>
    </w:p>
    <w:p>
      <w:pPr>
        <w:ind w:left="820" w:right="320"/>
        <w:spacing w:after="0" w:line="293" w:lineRule="auto"/>
        <w:rPr>
          <w:rFonts w:ascii="Arial" w:cs="Arial" w:eastAsia="Arial" w:hAnsi="Arial"/>
          <w:sz w:val="16"/>
          <w:szCs w:val="16"/>
          <w:color w:val="auto"/>
        </w:rPr>
      </w:pPr>
      <w:r>
        <w:rPr>
          <w:rFonts w:ascii="Arial" w:cs="Arial" w:eastAsia="Arial" w:hAnsi="Arial"/>
          <w:sz w:val="16"/>
          <w:szCs w:val="16"/>
          <w:color w:val="auto"/>
        </w:rPr>
        <w:t>The following table presents a reconciliation of net income, the most directly comparable GAAP financial measure, to Adjusted EBITDA for each of the periods indicated:</w:t>
      </w:r>
    </w:p>
    <w:p>
      <w:pPr>
        <w:spacing w:after="0" w:line="186"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w w:val="93"/>
              </w:rPr>
              <w:t>Historical</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0"/>
                <w:szCs w:val="10"/>
                <w:color w:val="auto"/>
              </w:rPr>
            </w:pPr>
          </w:p>
        </w:tc>
        <w:tc>
          <w:tcPr>
            <w:tcW w:w="198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2"/>
              </w:rPr>
              <w:t>Year ended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income—GAAP</w:t>
            </w:r>
          </w:p>
        </w:tc>
        <w:tc>
          <w:tcPr>
            <w:tcW w:w="1920" w:type="dxa"/>
            <w:vAlign w:val="bottom"/>
            <w:gridSpan w:val="2"/>
            <w:shd w:val="clear" w:color="auto" w:fill="CCEEFF"/>
          </w:tcPr>
          <w:p>
            <w:pPr>
              <w:jc w:val="right"/>
              <w:ind w:right="72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468"/>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$ 79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(84)</w:t>
            </w:r>
          </w:p>
        </w:tc>
        <w:tc>
          <w:tcPr>
            <w:tcW w:w="3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Factoring discount</w:t>
            </w:r>
            <w:r>
              <w:rPr>
                <w:rFonts w:ascii="Arial" w:cs="Arial" w:eastAsia="Arial" w:hAnsi="Arial"/>
                <w:sz w:val="23"/>
                <w:szCs w:val="23"/>
                <w:color w:val="auto"/>
                <w:vertAlign w:val="superscript"/>
              </w:rPr>
              <w:t>(a)</w:t>
            </w: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4"/>
                <w:szCs w:val="14"/>
                <w:color w:val="auto"/>
              </w:rPr>
              <w:t>Allocated related party management fee</w:t>
            </w:r>
            <w:r>
              <w:rPr>
                <w:rFonts w:ascii="Arial" w:cs="Arial" w:eastAsia="Arial" w:hAnsi="Arial"/>
                <w:sz w:val="23"/>
                <w:szCs w:val="23"/>
                <w:color w:val="auto"/>
                <w:vertAlign w:val="superscript"/>
              </w:rPr>
              <w:t>(b)</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Unrealized losses (gains) on derivatives</w:t>
            </w:r>
            <w:r>
              <w:rPr>
                <w:rFonts w:ascii="Arial" w:cs="Arial" w:eastAsia="Arial" w:hAnsi="Arial"/>
                <w:sz w:val="23"/>
                <w:szCs w:val="23"/>
                <w:color w:val="auto"/>
                <w:vertAlign w:val="superscript"/>
              </w:rPr>
              <w:t>(c)</w:t>
            </w: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4"/>
                <w:szCs w:val="14"/>
                <w:color w:val="auto"/>
              </w:rPr>
              <w:t>Business rationalization costs</w:t>
            </w:r>
            <w:r>
              <w:rPr>
                <w:rFonts w:ascii="Arial" w:cs="Arial" w:eastAsia="Arial" w:hAnsi="Arial"/>
                <w:sz w:val="23"/>
                <w:szCs w:val="23"/>
                <w:color w:val="auto"/>
                <w:vertAlign w:val="superscript"/>
              </w:rPr>
              <w:t>(d)</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Defined benefit plan settlement loss</w:t>
            </w:r>
            <w:r>
              <w:rPr>
                <w:rFonts w:ascii="Arial" w:cs="Arial" w:eastAsia="Arial" w:hAnsi="Arial"/>
                <w:sz w:val="23"/>
                <w:szCs w:val="23"/>
                <w:color w:val="auto"/>
                <w:vertAlign w:val="superscript"/>
              </w:rPr>
              <w:t>(e)</w:t>
            </w: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4"/>
                <w:szCs w:val="14"/>
                <w:color w:val="auto"/>
              </w:rPr>
              <w:t>Other</w:t>
            </w:r>
            <w:r>
              <w:rPr>
                <w:rFonts w:ascii="Arial" w:cs="Arial" w:eastAsia="Arial" w:hAnsi="Arial"/>
                <w:sz w:val="23"/>
                <w:szCs w:val="23"/>
                <w:color w:val="auto"/>
                <w:vertAlign w:val="superscript"/>
              </w:rPr>
              <w:t>(f)</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EBITDA (Non-GAAP)</w:t>
            </w:r>
          </w:p>
        </w:tc>
        <w:tc>
          <w:tcPr>
            <w:tcW w:w="1920" w:type="dxa"/>
            <w:vAlign w:val="bottom"/>
            <w:gridSpan w:val="2"/>
            <w:shd w:val="clear" w:color="auto" w:fill="CCEEFF"/>
          </w:tcPr>
          <w:p>
            <w:pPr>
              <w:jc w:val="right"/>
              <w:ind w:right="72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468"/>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647</w:t>
            </w: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656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220" w:right="140" w:hanging="415"/>
        <w:spacing w:after="0" w:line="266" w:lineRule="auto"/>
        <w:tabs>
          <w:tab w:leader="none" w:pos="12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Reflects the loss on sale that we incur when we sell our U.S. trade receivables through RGHL Group’s securitization facility. For further information, refer to Note 9 – Other Expense, Net in our annual combined financial statements included elsewhere in this prospectus.</w:t>
      </w:r>
    </w:p>
    <w:p>
      <w:pPr>
        <w:spacing w:after="0" w:line="1" w:lineRule="exact"/>
        <w:rPr>
          <w:rFonts w:ascii="Arial" w:cs="Arial" w:eastAsia="Arial" w:hAnsi="Arial"/>
          <w:sz w:val="16"/>
          <w:szCs w:val="16"/>
          <w:color w:val="auto"/>
        </w:rPr>
      </w:pPr>
    </w:p>
    <w:p>
      <w:pPr>
        <w:ind w:left="1220" w:right="80" w:hanging="415"/>
        <w:spacing w:after="0" w:line="264" w:lineRule="auto"/>
        <w:tabs>
          <w:tab w:leader="none" w:pos="12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Reflects our allocation, from RGHL Group, of a management fee that is charged by Rank to RGHL Group. We will not be required to pay any portion of this management fee after closing of this offering. For further information, refer to Note 9—Other Expense, Net in our annual combined financial statements included elsewhere in this prospectus.</w:t>
      </w:r>
    </w:p>
    <w:p>
      <w:pPr>
        <w:ind w:left="1220" w:right="160" w:hanging="415"/>
        <w:spacing w:after="0" w:line="264" w:lineRule="auto"/>
        <w:tabs>
          <w:tab w:leader="none" w:pos="12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Reflects the mark-to-market movements in our commodity derivatives. For further information, refer to Note 7—Financial Instruments in our annual combined financial statements included elsewhere in this prospectus.</w:t>
      </w:r>
    </w:p>
    <w:p>
      <w:pPr>
        <w:ind w:left="1220" w:hanging="415"/>
        <w:spacing w:after="0"/>
        <w:tabs>
          <w:tab w:leader="none" w:pos="12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Reflects primarily employee termination costs associated with rationalizing our operations in Canada.</w:t>
      </w:r>
    </w:p>
    <w:p>
      <w:pPr>
        <w:spacing w:after="0" w:line="18" w:lineRule="exact"/>
        <w:rPr>
          <w:rFonts w:ascii="Arial" w:cs="Arial" w:eastAsia="Arial" w:hAnsi="Arial"/>
          <w:sz w:val="16"/>
          <w:szCs w:val="16"/>
          <w:color w:val="auto"/>
        </w:rPr>
      </w:pPr>
    </w:p>
    <w:p>
      <w:pPr>
        <w:ind w:left="1220" w:right="220" w:hanging="415"/>
        <w:spacing w:after="0" w:line="264" w:lineRule="auto"/>
        <w:tabs>
          <w:tab w:leader="none" w:pos="12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Reflects the settlement loss recognized on merging our defined benefit plan into a plan sponsored by RGHL Group. For further information, refer to Note 8—Benefit Plans in our annual combined financial statements included elsewhere in this prospectus.</w:t>
      </w:r>
    </w:p>
    <w:p>
      <w:pPr>
        <w:ind w:left="1220" w:right="240" w:hanging="415"/>
        <w:spacing w:after="0" w:line="288" w:lineRule="auto"/>
        <w:tabs>
          <w:tab w:leader="none" w:pos="12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the amortization of actuarial gains related to our postretirement benefit plan. For further information, refer to Note 8—Benefit Plans in our annual combined financial statements included elsewhere in this prospectus.</w:t>
      </w:r>
    </w:p>
    <w:p>
      <w:pPr>
        <w:spacing w:after="0" w:line="81" w:lineRule="exact"/>
        <w:rPr>
          <w:rFonts w:ascii="Arial" w:cs="Arial" w:eastAsia="Arial" w:hAnsi="Arial"/>
          <w:sz w:val="16"/>
          <w:szCs w:val="16"/>
          <w:color w:val="auto"/>
        </w:rPr>
      </w:pPr>
    </w:p>
    <w:p>
      <w:pPr>
        <w:ind w:left="800" w:right="60" w:hanging="414"/>
        <w:spacing w:after="0" w:line="270"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define “Adjusted Free Cash Flow” as our net cash provided by operating activities, less capital expenditures as set forth in the combined statements of cash flows less the increase in income taxes payable computed under the stand-alone return basis as set forth in the combined statements of cash flows. The adjustment for the increase in income taxes payable is included in our computation of Adjusted Free Cash Flow to be more representative of the after-tax cash flows for a stand-alone company. As detailed in Note 2—Summary of Significant Accounting Policies of our annual combined financial statements, our U.S. operations were included in a consolidated U.S. federal tax return and the settlement of our U.S. federal current tax is recognized directly as a movement in Net Parent deficit.</w:t>
      </w:r>
    </w:p>
    <w:p>
      <w:pPr>
        <w:spacing w:after="0" w:line="81" w:lineRule="exact"/>
        <w:rPr>
          <w:rFonts w:ascii="Arial" w:cs="Arial" w:eastAsia="Arial" w:hAnsi="Arial"/>
          <w:sz w:val="16"/>
          <w:szCs w:val="16"/>
          <w:color w:val="auto"/>
        </w:rPr>
      </w:pPr>
    </w:p>
    <w:p>
      <w:pPr>
        <w:ind w:left="820" w:right="20"/>
        <w:spacing w:after="0" w:line="278" w:lineRule="auto"/>
        <w:rPr>
          <w:rFonts w:ascii="Arial" w:cs="Arial" w:eastAsia="Arial" w:hAnsi="Arial"/>
          <w:sz w:val="16"/>
          <w:szCs w:val="16"/>
          <w:color w:val="auto"/>
        </w:rPr>
      </w:pPr>
      <w:r>
        <w:rPr>
          <w:rFonts w:ascii="Arial" w:cs="Arial" w:eastAsia="Arial" w:hAnsi="Arial"/>
          <w:sz w:val="16"/>
          <w:szCs w:val="16"/>
          <w:color w:val="auto"/>
        </w:rPr>
        <w:t>We have included Adjusted Free Cash Flow in this prospectus because we believe that Adjusted Free Cash Flow provides management and investors a useful measurement of cash generated from operations that is available for mandatory payment obligations and investment opportunities, such as funding acquisitions, paying dividends, repaying debt and repurchasing our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7002145" cy="1813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2145" cy="1813560"/>
                    </a:xfrm>
                    <a:prstGeom prst="rect">
                      <a:avLst/>
                    </a:prstGeom>
                    <a:noFill/>
                  </pic:spPr>
                </pic:pic>
              </a:graphicData>
            </a:graphic>
          </wp:anchor>
        </w:drawing>
      </w:r>
    </w:p>
    <w:p>
      <w:pPr>
        <w:spacing w:after="0" w:line="312" w:lineRule="exact"/>
        <w:rPr>
          <w:sz w:val="20"/>
          <w:szCs w:val="20"/>
          <w:color w:val="auto"/>
        </w:rPr>
      </w:pPr>
    </w:p>
    <w:p>
      <w:pPr>
        <w:ind w:left="380" w:right="660" w:firstLine="426"/>
        <w:spacing w:after="0" w:line="277" w:lineRule="auto"/>
        <w:rPr>
          <w:sz w:val="20"/>
          <w:szCs w:val="20"/>
          <w:color w:val="auto"/>
        </w:rPr>
      </w:pPr>
      <w:r>
        <w:rPr>
          <w:rFonts w:ascii="Arial" w:cs="Arial" w:eastAsia="Arial" w:hAnsi="Arial"/>
          <w:sz w:val="18"/>
          <w:szCs w:val="18"/>
          <w:color w:val="auto"/>
        </w:rPr>
        <w:t>The following table presents a reconciliation of net cash provided by operating activities, the most directly comparable GAAP financial measure, to Adjusted Free Cash Flow for each of the 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7"/>
              </w:rPr>
              <w:t>Historical</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1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6"/>
              </w:rPr>
              <w:t>Year ended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Borders>
              <w:bottom w:val="single" w:sz="8" w:color="auto"/>
            </w:tcBorders>
          </w:tcPr>
          <w:p>
            <w:pPr>
              <w:jc w:val="right"/>
              <w:ind w:right="125"/>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left="160"/>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activities—GAAP</w:t>
            </w:r>
          </w:p>
        </w:tc>
        <w:tc>
          <w:tcPr>
            <w:tcW w:w="304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$393</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(82)</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(56)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Change in income taxes payable</w:t>
            </w: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2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272</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340" w:type="dxa"/>
            <w:vAlign w:val="bottom"/>
          </w:tcPr>
          <w:p>
            <w:pPr>
              <w:jc w:val="right"/>
              <w:ind w:right="1310"/>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of the other information set forth in this prospectus before deciding to invest in shares of our common stock. If any of the following risks actually occurs, our business, financial condition and results of operations could be materially adversely affected. In such case, the trading price of our common stock could decline, and you may lose all or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on our ability to anticipate and respond to changes in consumer preferences.</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52"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offer to our customers products that consumers want at competitive prices;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introduce new and appealing products and innovate successfully on our existing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maintain consumer interest in our brands;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brand recognition and loyalty.</w:t>
      </w:r>
    </w:p>
    <w:p>
      <w:pPr>
        <w:spacing w:after="0" w:line="22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We may not be able to implement this strategy successfully, which could materially and adversely affect our sales and business, financial condition and results of operations.</w:t>
      </w:r>
    </w:p>
    <w:p>
      <w:pPr>
        <w:spacing w:after="0" w:line="27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62"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We do not have written agreements with many of our customers.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rely on a relatively small number of customers for a significant portion of our revenue. Sales to our top ten customers accounted for 69% of our total revenue in fiscal year 2018. Our two largest customers, Walmart and Sam’s Club, individually accounted for 28% and 12%, respectively, of our total revenue in fiscal year 2018. Sales to Sam’s Club are concentrated more heavily in our Hefty Tableware segment. The loss of any of our significant customers would have a material adverse effect on our business, financial condition and results of operations.</w:t>
      </w:r>
    </w:p>
    <w:p>
      <w:pPr>
        <w:spacing w:after="0" w:line="17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addition, over the last several years, there has been a trend toward consolidation among our customers in the retail industry, and we expect that this trend will continue. Consolidation among our customers could increase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their ability to apply pricing pressure, and thereby force us to reduce our selling prices or lose sales. In addition, following a consolidation, our customers may close stores, reduce inventory or switch suppliers of consumer products. Any of these factors could negatively impact our business, financial condition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competitive markets.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operate in competitive markets, and our main competitors include The Clorox Company, S.C. Johnson &amp; Sons, Inc., Poly-America, Handi-Foil Corporation, Republic Plastics, Ltd., Trinidad Benham Corporation, Inteplast Group, Ltd. and Dart Container Corporation. Although capital costs and intellectual property and technology may create barriers to entry, we face the threat of competition from new entrants to our markets as well as from existing competitors, including overseas competitors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of any of our key manufacturing facilities or of those of our key suppliers could have an adverse effect on our business.</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Some of our products are manufactured at a single location. For example, our Malvern, Arkansas plant is our sole producer of foil reroll for our Louisville, Kentucky plant, which in turn is our sole producer of household foil. The loss of the use of all or a portion of any of our key manufacturing facilities, especially one that is a sole producer, or the loss of the use of key suppliers, due to an accident, labor issues, weather conditions, natural disaster or otherwise could have a material adverse effect on our business, financial condition and results of operations.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interruption in our supply of raw materials could harm our business, financial condition and results of operations.</w:t>
      </w:r>
    </w:p>
    <w:p>
      <w:pPr>
        <w:spacing w:after="0" w:line="117"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We are dependent on our suppliers for an uninterrupted supply of key raw materials in a timely manner. The supply of these materials could be disrupted for a wide variety of reasons, including political and economic instability, the financial stability of our suppliers, their ability to meet our standards, labor problems, the availability and prices of raw materials, currency exchange rates, transport availability and cost, transport security and inflation,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raw materials for an extended period of time could have a material adverse effect on our business, financial condition and results of operations.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business is impacted by fluctuations in raw material, energy and freight costs, including the impact of tariffs and similar matters.</w:t>
      </w:r>
    </w:p>
    <w:p>
      <w:pPr>
        <w:spacing w:after="0" w:line="1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Fluctuations in raw material and energy costs could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Raw material costs are also impacted by governmental actions, such as tariffs and trade sanctions. For example, the recent imposition by the U.S. government of tariffs on products imported from certain countries and trade sanctions against certain countries have introduced greater</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200" w:right="200"/>
        <w:spacing w:after="0" w:line="286" w:lineRule="auto"/>
        <w:rPr>
          <w:sz w:val="20"/>
          <w:szCs w:val="20"/>
          <w:color w:val="auto"/>
        </w:rPr>
      </w:pPr>
      <w:r>
        <w:rPr>
          <w:rFonts w:ascii="Arial" w:cs="Arial" w:eastAsia="Arial" w:hAnsi="Arial"/>
          <w:sz w:val="17"/>
          <w:szCs w:val="17"/>
          <w:color w:val="auto"/>
        </w:rPr>
        <w:t>uncertainty with respect to policies affecting trade between the United States and other countries and have impacted the cost of certain raw materials, including aluminum and resin. Major developments in trade relations, including the imposition of new or increased tariffs by the United States and/or other countries, could have a material adverse effect on our business, financial condition and results of operations.</w:t>
      </w:r>
    </w:p>
    <w:p>
      <w:pPr>
        <w:spacing w:after="0" w:line="166"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typically do not enter into long-term fixed price purchase contracts for our principal raw materials. Sales contracts for our products generally do not contain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mitigate the effect of production cost increases, including raw materials, but these increases are not always possible or may not cover the increased raw material costs.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the recent reduced trucking capacity, due to a shortage of drivers, the recent enforcement deadline for a federal regulation requiring drivers to electronically log their driving hours and adverse weather conditions, among other reasons, has caused an increase in the cost of transportation for us and many other companies.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brands are critical to our success.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in our balance sheet, which could materially and adversely affect our business, financial condition and results of operations.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be impacted by changes in consumer lifestyle and environmental concerns.</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a consumer products company and any reduction in consumer demand for the types of products we offer as a result of changes in consumer lifestyle, environmental concerns or other considerations could have a significant impact on our business, financial condition and results of operations. For example, there have been recent concerns about the environmental impact of single-use disposable products and products made from plastic, particularly polystyrene foam. These concerns, and the actions taken in response (including regulations banning the sale of polystyrene foam in certain jurisdictions), impact several of our products, especially our Hefty Tableware segment. Sustainability concerns, including the recycling of products, have received increased focus in recent years and may play an increasing role in brand management and consumer purchasing decisions. In addition, changes in consumer lifestyle may decrease the demand for certain of our products, which in turn could materially and adversely affect our business, financial condition and results of operations.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business may be affected by economic downturns in the markets that we serve and in the regions that supply our raw materials.</w:t>
      </w:r>
    </w:p>
    <w:p>
      <w:pPr>
        <w:spacing w:after="0" w:line="129"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w:t>
      </w:r>
    </w:p>
    <w:p>
      <w:pPr>
        <w:spacing w:after="0" w:line="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States in particular, could lead to declines in consumer spending and consumption and cause our customers to purchase less of our products.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profitability and cash flows could suffer if we are unable to continue to generate cost savings in our manufacturing and distribution processes.</w:t>
      </w:r>
    </w:p>
    <w:p>
      <w:pPr>
        <w:spacing w:after="0" w:line="15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anticipate that cost savings will result from reducing material costs and manufacturing inefficiencies and from realizing productivity gains, distribution efficiencies and overhead reductions. However, if we cannot successfully develop and implement cost savings plans, or if the cost of making these changes increases, we will not realize all anticipated benefits, which could materially and adversely affect our business, financial condition and results of operations.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hedging activities may result in significant losses and period-to-period earnings volatility.</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may enter into hedging transactions to limit our exposure to raw material price risks. Historically, our commodity hedges are primarily related to diesel, resin and aluminum. If we fail to effectively monitor and manage our hedging activities or if we execute a position and raw material prices subsequently decline, we could incur significant losses, which could in turn materially and adversely affect our business, financial condition and results of operations, and we could experience significant fluctuations in our earnings from period to period. Factors that could affect the impact and effectiveness of our hedging activities include the accuracy of our operational forecasts of raw material needs and volatility of the commodities and raw materials pricing markets.</w:t>
      </w:r>
    </w:p>
    <w:p>
      <w:pPr>
        <w:spacing w:after="0" w:line="30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Sales growth objectives may be difficult to achieve, and we may not be able to achieve our innovation goals, develop and introduce new products and line extensions or expand into adjacent categories and countries.</w:t>
      </w:r>
    </w:p>
    <w:p>
      <w:pPr>
        <w:spacing w:after="0" w:line="6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operate in mature markets that are subject to high levels of competition. Our future performance and growth, including our ability to meet our internal objectives of generating 20% of our revenue each year from products that are less than three years old, depends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w:t>
      </w:r>
    </w:p>
    <w:p>
      <w:pPr>
        <w:spacing w:after="0" w:line="192"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could be subject to foreign market risks, including, among others, foreign currency fluctuations, economic or political instability and the imposition of tariffs and trade restrictions, which could adversely affect our financial results.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subject to governmental regulation and we may incur material liabilities under, or costs in order to comply with, existing or future laws and regulations.</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pacing w:after="0" w:line="274"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regulations and permits.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 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w:t>
      </w:r>
    </w:p>
    <w:p>
      <w:pPr>
        <w:spacing w:after="0" w:line="16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 Such legislation, as well as voluntary initiatives, aimed at reducing the level of plastic wastes,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results.</w:t>
      </w:r>
    </w:p>
    <w:p>
      <w:pPr>
        <w:spacing w:after="0" w:line="297"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We may incur liabilities, experience harm to our reputation and brands, or be forced to recall products as a result of real or perceived product quality or other product-related issues.</w:t>
      </w:r>
    </w:p>
    <w:p>
      <w:pPr>
        <w:spacing w:after="0" w:line="6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Although we have control measures and systems in place to ensure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For instance, in 2015, we voluntarily withdrew certain of our Hefty disposable cups when we identified that an incorrect grade of colorant was used on some of our disposable cups, causing small amounts of ink to transfer from the cup to other surfaces. The colorant presented no health or safety risks to consumers</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which was determined through both internal assessment and an external toxicology audit and we effectively remediated this situation. However, if a similar event occurs in the future, it could cause long-term damage to our brands. In addition, if any of our competitors or customers supply faulty or contaminated products to the market, our industry could be negatively impacted, which in turn could have adverse effects on our business.</w:t>
      </w:r>
    </w:p>
    <w:p>
      <w:pPr>
        <w:spacing w:after="0" w:line="147"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affected by seasonality.</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 As a result of this seasonality, any factors negatively affecting us during these periods of any year, including unfavorable economic conditions,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86"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Loss of our key management and other personnel, or an inability to attract new management and other personnel, could negatively impact our business, financial condition and results of operations.</w:t>
      </w:r>
    </w:p>
    <w:p>
      <w:pPr>
        <w:spacing w:after="0" w:line="6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depend on our senior executive officers and other key personnel to operate our businesses, develop new products and technologies and service our customers. The loss of any of these key personnel could adversely affect our operations. 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may have difficulty acquiring product lines or businesses, which could impact our business, financial condition and results of operations.</w:t>
      </w:r>
    </w:p>
    <w:p>
      <w:pPr>
        <w:spacing w:after="0" w:line="140" w:lineRule="exact"/>
        <w:rPr>
          <w:sz w:val="20"/>
          <w:szCs w:val="20"/>
          <w:color w:val="auto"/>
        </w:rPr>
      </w:pPr>
    </w:p>
    <w:p>
      <w:pPr>
        <w:jc w:val="both"/>
        <w:ind w:left="200" w:right="180" w:firstLine="441"/>
        <w:spacing w:after="0" w:line="257" w:lineRule="auto"/>
        <w:rPr>
          <w:sz w:val="20"/>
          <w:szCs w:val="20"/>
          <w:color w:val="auto"/>
        </w:rPr>
      </w:pPr>
      <w:r>
        <w:rPr>
          <w:rFonts w:ascii="Arial" w:cs="Arial" w:eastAsia="Arial" w:hAnsi="Arial"/>
          <w:sz w:val="18"/>
          <w:szCs w:val="18"/>
          <w:color w:val="auto"/>
        </w:rPr>
        <w:t>We may pursue acquisitions of product lines or businesses from third parties. Acquisitions involve numerous risks, including difficulties in the assimilation of the operations, technologies, services and products of the acquired product lines or businesses, estimation and assumption of liabilities and contingencies, personnel turnover and the diversion of management’s attention from other business operations. We may be unable to successfully integrate and manage certain product lines or businesses that we may acquire in the future, or be unable to achieve anticipated benefits or cost savings from acquisitions in the time frame we anticipate, or at all.</w:t>
      </w:r>
    </w:p>
    <w:p>
      <w:pPr>
        <w:spacing w:after="0" w:line="296"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6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will only be protected by these rights in those jurisdictions in 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88"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In the event of such a challenge, we could incur significant costs to defend our intellectual property rights, even if we are ultimately successful. Additionally, there is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67" w:lineRule="exact"/>
        <w:rPr>
          <w:sz w:val="20"/>
          <w:szCs w:val="20"/>
          <w:color w:val="auto"/>
        </w:rPr>
      </w:pPr>
    </w:p>
    <w:p>
      <w:pPr>
        <w:ind w:left="200" w:right="200" w:firstLine="441"/>
        <w:spacing w:after="0" w:line="290" w:lineRule="auto"/>
        <w:rPr>
          <w:sz w:val="20"/>
          <w:szCs w:val="20"/>
          <w:color w:val="auto"/>
        </w:rPr>
      </w:pPr>
      <w:r>
        <w:rPr>
          <w:rFonts w:ascii="Arial" w:cs="Arial" w:eastAsia="Arial" w:hAnsi="Arial"/>
          <w:sz w:val="16"/>
          <w:szCs w:val="16"/>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 While we protect our intellectual property rights, including through litigation, where necessary, we cannot economically prevent all infringement, misuse or other violations, and any litigation could be protracted and costly and could have a material adverse effect on our business and results of operations regardless of its outcome.</w:t>
      </w:r>
    </w:p>
    <w:p>
      <w:pPr>
        <w:spacing w:after="0" w:line="16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Although we believe that our intellectual property rights are sufficient to allow us to conduct our business without incurring liability to third parties, 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Even if we are not found to infringe, misuse or otherwise violate a third party’s intellectual property rights, we could incur material legal costs and related expenses to defend against such claims and we could incur significant costs associated with discontinuing to use, provide or manufacture certain products, services or brands. In any case, such claims could be protracted and costly and could have a material adverse effect on our business and results of operations regardless of their outcome.</w:t>
      </w:r>
    </w:p>
    <w:p>
      <w:pPr>
        <w:spacing w:after="0" w:line="30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rights licensed from third parties, and disputes regarding or termination of these licenses could result in loss of rights, which could harm our business.</w:t>
      </w:r>
    </w:p>
    <w:p>
      <w:pPr>
        <w:spacing w:after="0" w:line="6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dependent in part on intellectual property rights licensed from third parties. Our licenses to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in-licensed intellectual property rights, and therefore we may be reliant on our licensors to conduct such activities.</w:t>
      </w:r>
    </w:p>
    <w:p>
      <w:pPr>
        <w:spacing w:after="0" w:line="225"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7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Breaches of our information systems security measures could disrupt our internal operations.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depend on information technology for processing and distributing information in our business, including to and from our customers and suppliers. This information technology could be subject to theft, damage or interruption from a variety of sources, including malicious computer viruses, security breaches, defects in design, employee malfeasance or human or technical errors. Additionally, we could be at risk if a customer’s or supplier’s information technology system is attacked or compromised. Cybersecurity incidents have increased in number and severity, and it is expected that these trends will continue. Although we have taken measures to protect our data and to protect our computer systems from attacks, they may not be sufficient to prevent unauthorized access to our systems or theft of our data. If we or third parties with whom we do business were to fall victim to cyber-attacks or experience other cybersecurity incidents, such incidents could result in unauthorized access to, disclosure or loss of or damage to company, customer or other third party data; theft of confidential data, including personal information and intellectual property; loss of access to critical data or systems; and other business delays or disruptions. The loss or disclosure of personal information could also expose us to liability or penalties under laws, rules and regulations related to solicitation, collection, processing or use of consumer, customer, vendor or employee information or related data. In addition, we may incur large expenditures to investigate or remediate, to recover data, to repair or replace networks or information technology systems, or to protect against similar future events. If these events were to occur, we could incur substantial costs or suffer other consequences that negatively impact our business, financial condition and results of operations.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significant debt, which could adversely affect our financial condition and ability to operate our business.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Upon closing of this offering, we expect to have approximately $ of outstanding indebtedness under the New Term Loan Facility, and we expect to have material additional borrowing capacity under the New Revolving Facility. For a description of this indebtedness, see “Management’s Discussion and Analysis of Financial Condition and Results of Operations—Sources of Liquidity.” Our debt level and related debt service obligations:</w:t>
      </w:r>
    </w:p>
    <w:p>
      <w:pPr>
        <w:spacing w:after="0" w:line="52" w:lineRule="exact"/>
        <w:rPr>
          <w:sz w:val="20"/>
          <w:szCs w:val="20"/>
          <w:color w:val="auto"/>
        </w:rPr>
      </w:pPr>
    </w:p>
    <w:p>
      <w:pPr>
        <w:ind w:left="1180" w:right="260" w:hanging="436"/>
        <w:spacing w:after="0" w:line="308" w:lineRule="auto"/>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will require us to dedicate significant cash flow to the payment of principal of, and interest on, our debt, which will reduce the funds we have available for other purposes, including working capital, capital expenditures and general corporate purposes;</w:t>
      </w:r>
    </w:p>
    <w:p>
      <w:pPr>
        <w:spacing w:after="0" w:line="51" w:lineRule="exact"/>
        <w:rPr>
          <w:rFonts w:ascii="Arial" w:cs="Arial" w:eastAsia="Arial" w:hAnsi="Arial"/>
          <w:sz w:val="17"/>
          <w:szCs w:val="17"/>
          <w:color w:val="auto"/>
        </w:rPr>
      </w:pPr>
    </w:p>
    <w:p>
      <w:pPr>
        <w:ind w:left="1180" w:right="32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limit our flexibility in planning for or reacting to changes in our business and market conditions or in funding our strategic growth plan;</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impose on us financial and operational restrictions;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expose us to interest rate risk on our debt obligations bearing interest at variable rates.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increase in market interest rates could increase our interest costs on future debt.</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Borrowings under our New Credit Facilities will be at variable rates of interest and we may incur additional variable interest rate indebtedness in the future. This exposes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w:t>
      </w:r>
    </w:p>
    <w:p>
      <w:pPr>
        <w:spacing w:after="0" w:line="262"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Goodwill and indefinite-lived intangible assets are a material component of our balance sheet and impairments of these assets could have a significant impact on our results.</w:t>
      </w:r>
    </w:p>
    <w:p>
      <w:pPr>
        <w:spacing w:after="0" w:line="6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have concluded that our goodwill and indefinite-lived intangible assets are not impaired, future events could cause us to conclude that the goodwill associated with a given segment, or one of our indefinite- lived intangible assets, may have become impaired. Any resulting impairment charge, although non-cash, could have a material adverse effect on our results of operations and financial condition.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jointly and severally liable for certain pension obligations of our affiliates.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Two members of RGHL Group, Pactiv LLC (“Pactiv”), and Evergreen Packaging LLC (“Evergreen”), also sponsor defined benefit pension plans</w:t>
      </w:r>
    </w:p>
    <w:p>
      <w:pPr>
        <w:spacing w:after="0" w:line="46" w:lineRule="exact"/>
        <w:rPr>
          <w:sz w:val="20"/>
          <w:szCs w:val="20"/>
          <w:color w:val="auto"/>
        </w:rPr>
      </w:pPr>
    </w:p>
    <w:p>
      <w:pPr>
        <w:ind w:left="200" w:right="700"/>
        <w:spacing w:after="0" w:line="250" w:lineRule="auto"/>
        <w:rPr>
          <w:sz w:val="20"/>
          <w:szCs w:val="20"/>
          <w:color w:val="auto"/>
        </w:rPr>
      </w:pPr>
      <w:r>
        <w:rPr>
          <w:rFonts w:ascii="Arial" w:cs="Arial" w:eastAsia="Arial" w:hAnsi="Arial"/>
          <w:sz w:val="18"/>
          <w:szCs w:val="18"/>
          <w:color w:val="auto"/>
        </w:rPr>
        <w:t>covering a portion of their U.S. employees and retirees. As of , the combined benefit obligation of these plans was and the combined plan asset value was for a combined underfunding of , in each case on an accounting basis. As we are in the same</w:t>
      </w:r>
    </w:p>
    <w:p>
      <w:pPr>
        <w:spacing w:after="0" w:line="1" w:lineRule="exact"/>
        <w:rPr>
          <w:sz w:val="20"/>
          <w:szCs w:val="20"/>
          <w:color w:val="auto"/>
        </w:rPr>
      </w:pPr>
    </w:p>
    <w:p>
      <w:pPr>
        <w:ind w:left="200" w:right="80"/>
        <w:spacing w:after="0" w:line="252" w:lineRule="auto"/>
        <w:rPr>
          <w:sz w:val="20"/>
          <w:szCs w:val="20"/>
          <w:color w:val="auto"/>
        </w:rPr>
      </w:pPr>
      <w:r>
        <w:rPr>
          <w:rFonts w:ascii="Arial" w:cs="Arial" w:eastAsia="Arial" w:hAnsi="Arial"/>
          <w:sz w:val="18"/>
          <w:szCs w:val="18"/>
          <w:color w:val="auto"/>
        </w:rPr>
        <w:t>“controlled group” as Pactiv and Evergreen, third parties may seek to hold us jointly and severally liable for their pension liabilities as long as we remain members of the same controlled group. These pension liabilities could include an obligation to make ongoing contributions to fund the pension plans sponsored by Pactiv and Evergreen and for any unfunded liabilities that may exist at the time Pactiv or Evergreen terminates an underfunded pension plan. Under this theory, we could incur significant liabilities for events beyond our control that are not related to or known by us. As of the date of this prospectus, Pactiv’s and Evergreen’s pension plans are in compliance with the minimum funding standards of the Employee Retirement Income Security Act of 1974 (“ERISA”).</w:t>
      </w:r>
    </w:p>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Some of our workforce is covered by collective bargaining agreements, and our business could be harmed in the event of a prolonged work stoppage.</w:t>
      </w:r>
    </w:p>
    <w:p>
      <w:pPr>
        <w:spacing w:after="0" w:line="152"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Approximately 23% of our employees are covered by collective bargaining agreements. While we believe we have good relationships with our unionized employees and we have not experienced a significant union-related work stoppage over the last ten years,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legislation initiatives or challenges to our tax positions could adversely affect our operations and financial condition.</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81"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For example, the United States federal government recently enacted tax reform that, among other things, reduced U.S. federal corporate income tax rates, imposed limits on tax deductions for interest expense, changed the rules related to capital expenditure cost recovery and changed many of the rules related to the taxation of business income generated outside of the United States. There are a number of uncertainties and ambiguities as to the interpretation and application of many of the provisions of the newly enacted tax reform measure. Given the unpredictability of these possible changes and their potential interdependency, it remains difficult to assess the overall effect such tax changes will have on our earnings and cash flow, and the extent to which such changes could adversely impact our results of operations. As the impacts of the new law are determined, and as regulations and other guidance interpreting the new law are issued and finalized, our financial results could be impacted.</w:t>
      </w:r>
    </w:p>
    <w:p>
      <w:pPr>
        <w:spacing w:after="0" w:line="16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insurance coverage may not adequately protect us against business and operating risks.</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 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claims and proceedings could adversely impact our business.</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As a large company with a long history of serving consumers, we may be subject to a wide variety of legal claims and proceedings, including disputes relating to intellectual property, contracts, product liability,</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marketing, advertising, foreign exchange controls, antitrust and trade regulation, as well as labor and employment, pension, data privacy and security, environmental and tax matters and consumer class actions.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may not be an active, liquid trading market for our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Prior to this offering, there has been no public market for shares of our common stock. We cannot predict the extent to which investor interest in</w:t>
      </w:r>
    </w:p>
    <w:p>
      <w:pPr>
        <w:spacing w:after="0" w:line="46" w:lineRule="exact"/>
        <w:rPr>
          <w:sz w:val="20"/>
          <w:szCs w:val="20"/>
          <w:color w:val="auto"/>
        </w:rPr>
      </w:pPr>
    </w:p>
    <w:p>
      <w:pPr>
        <w:jc w:val="both"/>
        <w:ind w:left="200" w:right="140"/>
        <w:spacing w:after="0" w:line="281" w:lineRule="auto"/>
        <w:rPr>
          <w:sz w:val="20"/>
          <w:szCs w:val="20"/>
          <w:color w:val="auto"/>
        </w:rPr>
      </w:pPr>
      <w:r>
        <w:rPr>
          <w:rFonts w:ascii="Arial" w:cs="Arial" w:eastAsia="Arial" w:hAnsi="Arial"/>
          <w:sz w:val="16"/>
          <w:szCs w:val="16"/>
          <w:color w:val="auto"/>
        </w:rPr>
        <w:t>our company will lead to the development of a trading market on the or how liquid that market may become. If an active trading market does not develop, you may have difficulty selling any of our common stock that you purchase. The initial public offering price of our common stock will be determined by negotiation between us and the underwriters and may not be indicative of prices that will prevail following the closing of this offering.</w:t>
      </w:r>
    </w:p>
    <w:p>
      <w:pPr>
        <w:spacing w:after="0" w:line="2"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The market price of shares of our common stock may decline below the initial public offering price, and you may not be able to resell your shares of our common stock at or above the initial public offering price.</w:t>
      </w:r>
    </w:p>
    <w:p>
      <w:pPr>
        <w:spacing w:after="0" w:line="292"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We expect that our common stock price will fluctuate significantly, and you may not be able to resell your common stock at or above the initial public offering price.</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trading price of our common stock is likely to be volatile and subject to wide price fluctuations in response to various factors, including those described above in “—Risks Relating to Our Business and Industry.” In addition, the trading volume in our common stock may fluctuate and cause significant price variations to occur. If the market price of our common stock declines significantly, you may be unable to resell your common stock at or above the initial public offering price, if at all. In addition to the factors described above in “—Risks Relating to Our Business and Industry,” some of the factors that could negatively affect our share price or result in fluctuations in the price or trading volume of our common stock include:</w:t>
      </w:r>
    </w:p>
    <w:p>
      <w:pPr>
        <w:spacing w:after="0" w:line="64"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or changes in securities analysts’ reports or recommendations;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meet the financial estimates of analysts who follow our company;</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restructurings, significant contracts, joint marketing relationships, joint ventures or capital commitments;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common stock relative to other investment alternatives;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public reactions to our press releases, other public announcements and filings with the SEC;</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and political conditions or events.</w:t>
      </w:r>
    </w:p>
    <w:p>
      <w:pPr>
        <w:spacing w:after="0" w:line="22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The stock market in general has from time to time experienced extreme price and volume fluctuations, including in recent months.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30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they publish inaccurate or unfavorable reports about our business, the price of our common stock and trading volume could decline.</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our market and our competitors. We do not have any control over these analysts. If one or more of the analysts who cover us downgrade our shares of common stock or change their opinion of our common stock, our common stock price would likely decline. If one or more of these analysts cease coverage of our company or fail to regularly publish reports on us, we could lose visibility in the financial markets, which could cause our common stock price or trading volume to decline.</w:t>
      </w:r>
    </w:p>
    <w:p>
      <w:pPr>
        <w:spacing w:after="0" w:line="296"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Substantial future sales by PFL or others of our common stock, or the perception that such sales may occur, could depress the price of our common stock.</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Following the closing of this offering, PFL will control a majority of the voting power of our outstanding common stock. Subject to the restrictions described in the paragraph below, future sales of PFL’s shares in the public market will be subject to the volume and other restrictions of Rule 144 under the Securities Act of 1933 (“Securities Act”) for so long as PFL is deemed to be our affiliate, unless the shares to be sold are registered with the SEC. We do not know whether or when PFL will sell shares of our common stock following this offering. The sale by PFL or others of a substantial number of shares of our common stock after this offering, or a perception that such sales could occur, could significantly reduce the market price of our common stock. Subject to the lock-up agreements discussed below and our agreements with RGHL Group described in “Certain Relationships and Related Party Transactions,” we are not restricted from issuing additional common stock, including any securities that are convertible into or exchangeable for, or that represent the right to receive, common stock or any substantially similar securities. The perception of a potential sell-down by PFL could depress the market price of our common stock and make it more difficult for us to sell equity securities in the future at a time and at a price that we deem appropriate.</w:t>
      </w:r>
    </w:p>
    <w:p>
      <w:pPr>
        <w:spacing w:after="0" w:line="17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Upon the closing of this offering, except as otherwise described herein, all shares of common stock that are being offered hereby will be freely tradable without restriction, assuming they are not held by our “affiliates,” as that term is defined in Rule 144 under the Securities Act. In addition, we intend to grant registration rights to PFL, pursuant to which PFL will have the right to demand that we register common stock held by PFL under the Securities Act as well as the right to demand that we include any such common stock in any registration statement that we file with the SEC, subject to certain exceptions. See “Shares Eligible for Future Sale—Registration Rights.” Any common stock registered pursuant to the registration rights agreement described in</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“Certain Relationships and Related Party Transactions” will be freely tradable in the public market, subject to applicable lock-up periods, if any. In addition, in connection with this offering, we, our directors and our executive officers and PFL have each agreed, subject to certain exceptions, to be subject to a 180-day lock-up restriction. See “Shares Eligible for Future Sale—Lock-up Agreements.” Credit Suisse Securities (USA) LLC, Goldman Sachs &amp; Co. LLC and J.P. Morgan Securities LLC may waive these restrictions at their discretion. The market price of our common stock may decline significantly when this lock-up restriction lapses.</w:t>
      </w:r>
    </w:p>
    <w:p>
      <w:pPr>
        <w:spacing w:after="0" w:line="29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Investors purchasing common stock in this offering will experience immediate and substantial dilution as a result of this offering and any future equity issuances.</w:t>
      </w:r>
    </w:p>
    <w:p>
      <w:pPr>
        <w:spacing w:after="0" w:line="62"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The initial public offering price of our common stock is substantially higher than the pro forma net tangible book value per share of our common stock. Dilution is the difference between the initial public offering price per share of common stock and the pro forma net tangible book value per share of common stock after this offering. If you purchase shares of common stock in this offering, you will incur immediate and substantial dilution in the</w:t>
      </w:r>
    </w:p>
    <w:p>
      <w:pPr>
        <w:ind w:left="200" w:right="580"/>
        <w:spacing w:after="0" w:line="255" w:lineRule="auto"/>
        <w:rPr>
          <w:sz w:val="20"/>
          <w:szCs w:val="20"/>
          <w:color w:val="auto"/>
        </w:rPr>
      </w:pPr>
      <w:r>
        <w:rPr>
          <w:rFonts w:ascii="Arial" w:cs="Arial" w:eastAsia="Arial" w:hAnsi="Arial"/>
          <w:sz w:val="18"/>
          <w:szCs w:val="18"/>
          <w:color w:val="auto"/>
        </w:rPr>
        <w:t>amount of $ per share of common stock. In addition, if we issue additional equity securities in the future, including to our employees and directors under our equity incentive plan, investors purchasing shares of common stock in this offering will experience additional dilution. See “Dilution.”</w:t>
      </w:r>
    </w:p>
    <w:p>
      <w:pPr>
        <w:spacing w:after="0" w:line="298"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3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Provisions in our amended and restated certificate of incorporation and bylaws, as will be amended and restated prior to the closing of this offering, may have the effect of delaying or preventing a change of control or changes in our management. Our amended and restated certificate of incorporation and amended and restated bylaws will include provisions that:</w:t>
      </w:r>
    </w:p>
    <w:p>
      <w:pPr>
        <w:spacing w:after="0" w:line="87"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for a staggered board;</w:t>
      </w:r>
    </w:p>
    <w:p>
      <w:pPr>
        <w:spacing w:after="0" w:line="130" w:lineRule="exact"/>
        <w:rPr>
          <w:rFonts w:ascii="Arial" w:cs="Arial" w:eastAsia="Arial" w:hAnsi="Arial"/>
          <w:sz w:val="18"/>
          <w:szCs w:val="18"/>
          <w:color w:val="auto"/>
        </w:rPr>
      </w:pPr>
    </w:p>
    <w:p>
      <w:pPr>
        <w:ind w:left="1180" w:hanging="436"/>
        <w:spacing w:after="0" w:line="286"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at least 66</w:t>
      </w:r>
      <w:r>
        <w:rPr>
          <w:rFonts w:ascii="Arial" w:cs="Arial" w:eastAsia="Arial" w:hAnsi="Arial"/>
          <w:sz w:val="14"/>
          <w:szCs w:val="14"/>
          <w:color w:val="auto"/>
        </w:rPr>
        <w:t>2/3</w:t>
      </w:r>
      <w:r>
        <w:rPr>
          <w:rFonts w:ascii="Arial" w:cs="Arial" w:eastAsia="Arial" w:hAnsi="Arial"/>
          <w:sz w:val="17"/>
          <w:szCs w:val="17"/>
          <w:color w:val="auto"/>
        </w:rPr>
        <w:t>% of the votes that all of our stockholders would be entitled to cast in an annual election of directors in order to amend our certificate of incorporation and bylaws after the date on which PFL (together with all other entities beneficially owned by Mr. Graeme Hart and his heirs) beneficially owns less than 50% of the voting power of our common stock;</w:t>
      </w:r>
    </w:p>
    <w:p>
      <w:pPr>
        <w:spacing w:after="0" w:line="70" w:lineRule="exact"/>
        <w:rPr>
          <w:rFonts w:ascii="Arial" w:cs="Arial" w:eastAsia="Arial" w:hAnsi="Arial"/>
          <w:sz w:val="17"/>
          <w:szCs w:val="17"/>
          <w:color w:val="auto"/>
        </w:rPr>
      </w:pPr>
    </w:p>
    <w:p>
      <w:pPr>
        <w:ind w:left="1180" w:right="120" w:hanging="436"/>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 after the date on which PFL (together with all other entities beneficially owned by Mr. Graeme Hart and his heirs) beneficially owns less than 50% of the voting power of our common stock;</w:t>
      </w:r>
    </w:p>
    <w:p>
      <w:pPr>
        <w:spacing w:after="0" w:line="29" w:lineRule="exact"/>
        <w:rPr>
          <w:rFonts w:ascii="Arial" w:cs="Arial" w:eastAsia="Arial" w:hAnsi="Arial"/>
          <w:sz w:val="16"/>
          <w:szCs w:val="16"/>
          <w:color w:val="auto"/>
        </w:rPr>
      </w:pPr>
    </w:p>
    <w:p>
      <w:pPr>
        <w:ind w:left="1180" w:right="160" w:hanging="436"/>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 action by written consent, instead requiring stockholder actions to be taken solely at a duly convened meeting of our stockholders, after the date on which PFL (together with all other entities beneficially owned by Mr. Graeme Hart and his heirs) beneficially owns less than 50% of the voting power of our common stock;</w:t>
      </w:r>
    </w:p>
    <w:p>
      <w:pPr>
        <w:spacing w:after="0" w:line="86"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may be limited in their ability to obtain a premium for their shares of common stock. See “Description of Capital Stock.”</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Furthermore, in connection with this offering, we will enter into a shareholders agreement with PFL. The shareholders agreement will provide PFL with the right to nominate a certain number of directors to our board of directors so long as PFL (together with all other entities beneficially owned by Mr. Graeme Hart and his heirs) beneficially owns at least 10% of the outstanding shares of our common stock. See “Certain Relationships and Related Party Transactions—Shareholders Agreement.”</w:t>
      </w:r>
    </w:p>
    <w:p>
      <w:pPr>
        <w:spacing w:after="0" w:line="29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Securities and Exchange Act of 1934 (“Exchange Act”), the Securities Act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7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ind w:left="200" w:right="80" w:firstLine="441"/>
        <w:spacing w:after="0" w:line="284"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closing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 In addition, we will be subject to other reporting and corporate governance requirements, including certain requirements of</w:t>
      </w:r>
    </w:p>
    <w:p>
      <w:pPr>
        <w:spacing w:after="0" w:line="5"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the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 These rules and regulations could also make it more difficult for us to attract and retain qualified independent members of our board of directors. Additionally, we expect these rules and regulations to make it more difficult and more expensive for us to obtain director and officer liability insurance. We may be required to accept reduced coverage or incur substantially higher costs to obtain coverage. Furthermore, because we have not operated as a company with equity listed on a national securities exchange in the past, we might not be successful in implementing these requirements. The increased costs of compliance with public company reporting</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requirements and our potential failure to satisfy these requirements could have a material adverse effect on our operations, business, financial condition and results of operations.</w:t>
      </w:r>
    </w:p>
    <w:p>
      <w:pPr>
        <w:spacing w:after="0" w:line="27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over financial reporting in accordance with Section 404 of the Sarbanes-Oxley Act could have a material adverse effect on our business and reputation.</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When evaluating our internal controls over financial reporting, we may identify material weaknesses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intend to pay regular dividends on our common stock, but our ability to do so may be limited.</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Following the closing of this offering, we intend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See “Dividend Policy.”</w:t>
      </w:r>
    </w:p>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ability to pay dividends may also be restricted by the terms of any future credit agreement, including the New Credit Facilities, or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286"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could incur significant liabilities if we take certain actions that result in assessment of U.S. federal income tax on certain internal transactions undertaken by RGHL Group in preparation for this offering.</w:t>
      </w:r>
    </w:p>
    <w:p>
      <w:pPr>
        <w:spacing w:after="0" w:line="6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historically operated as a subsidiary of Reynolds Group Holdings Inc. (“RGHI”). In preparation for this offering, RGHL Group will effect certain distributions pursuant to the Corporate Reorganization to transfer its</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interests in us to PFL in a manner that is intended to qualify as tax-free to PFL, RGHL and RGHI under Sections 368(a)(1)(D) and 355 of the Internal Revenue Code of 1986, as amended (“Code”). RGHL will receive a tax opinion as to the tax treatment of these distributions, which will rely on certain facts, assumptions, representations and undertakings from Mr. Graeme Hart, RGHL Group and us regarding the past and future conduct of the companies’ respective businesses and other matters. If any of these facts, assumptions, representations or undertakings are incorrect or not otherwise satisfied, RGHL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including as a result of certain significant changes in the stock ownership of RGHL, RGHI or us after the distributions. If the distributions are determined to be taxable for U.S. federal income tax purposes, PFL, RGHL and RGHI could incur significant U.S. federal income tax liabilities, and we could also incur significant liabilities. Under the tax matters agreement between RGHL and us (“Tax Matters Agreement”), we will generally be required to indemnify RGHL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 For a discussion of the Tax Matters Agreement, please refer to the section entitled “Certain Relationships and Related Party Transactions—Tax Matters Agreement.”</w:t>
      </w:r>
    </w:p>
    <w:p>
      <w:pPr>
        <w:spacing w:after="0" w:line="29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may be affected by significant restrictions, including on our ability to engage in certain corporate transactions for a two-year period after the Corporate Reorganization, in order to avoid triggering significant tax-related liabilities.</w:t>
      </w:r>
    </w:p>
    <w:p>
      <w:pPr>
        <w:spacing w:after="0" w:line="62"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To preserve the tax-free treatment for U.S. federal income tax purposes to RGHL Group of the distributions to be effected pursuant to the Corporate Reorganization, under the Tax Matters Agreement that we will enter into with RGHL, we will be restricted from taking any action that prevents these distributions from being tax-free for U.S. federal income tax purposes. Under the Tax Matters Agreement, for the two-year period following these distributions, we will be subject to specific restrictions on our ability to enter into acquisition, merger, liquidation, sale and stock redemption transactions with respect to our stock. These restrictions may limit our ability to pursue certain strategic transactions or other transactions that we may believe to be in the best interests of our stockholders or that might increase the value of our business. These restrictions will not limit the acquisition of other businesses by us for cash consideration. Furthermore, we will be subject to specific restrictions on discontinuing the active conduct of our trade or business, the issuance or sale of stock or other securities (including securities convertible into our stock but excluding certain compensatory arrangements), and sales of assets outside the ordinary course of business. Such restrictions may reduce our strategic and operating flexibility, including our options for raising equity capital. For a discussion of the Tax Matters Agreement, please refer to the section entitled “Certain Relationships and Related Party Transactions—Tax Matters Agreement.”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Relationship with RGHL Group, PFL and Rank</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PFL controls the direction of our business and PFL’s concentrated ownership of our common stock will prevent you and other stockholders from influencing significant decisions.</w:t>
      </w:r>
    </w:p>
    <w:p>
      <w:pPr>
        <w:spacing w:after="0" w:line="62" w:lineRule="exact"/>
        <w:rPr>
          <w:sz w:val="20"/>
          <w:szCs w:val="20"/>
          <w:color w:val="auto"/>
        </w:rPr>
      </w:pPr>
    </w:p>
    <w:p>
      <w:pPr>
        <w:ind w:left="200" w:right="160" w:firstLine="441"/>
        <w:spacing w:after="0" w:line="274" w:lineRule="auto"/>
        <w:rPr>
          <w:sz w:val="20"/>
          <w:szCs w:val="20"/>
          <w:color w:val="auto"/>
        </w:rPr>
      </w:pPr>
      <w:r>
        <w:rPr>
          <w:rFonts w:ascii="Arial" w:cs="Arial" w:eastAsia="Arial" w:hAnsi="Arial"/>
          <w:sz w:val="17"/>
          <w:szCs w:val="17"/>
          <w:color w:val="auto"/>
        </w:rPr>
        <w:t>Upon closing of this offering, PFL will own, and control the voting power of, approximately % of our outstanding shares of common stock (or approximately % if the underwriters’ option to purchase additional shares of common stock is exercised in full). As long as PFL continues to</w:t>
      </w:r>
    </w:p>
    <w:p>
      <w:pPr>
        <w:ind w:left="200" w:right="400"/>
        <w:spacing w:after="0" w:line="261" w:lineRule="auto"/>
        <w:rPr>
          <w:sz w:val="20"/>
          <w:szCs w:val="20"/>
          <w:color w:val="auto"/>
        </w:rPr>
      </w:pPr>
      <w:r>
        <w:rPr>
          <w:rFonts w:ascii="Arial" w:cs="Arial" w:eastAsia="Arial" w:hAnsi="Arial"/>
          <w:sz w:val="18"/>
          <w:szCs w:val="18"/>
          <w:color w:val="auto"/>
        </w:rPr>
        <w:t>control a majority of the voting power of our outstanding common stock, it will generally be able to determine the outcome of all corporate actions requiring stockholder approval, including the election and removal of directors.</w:t>
      </w:r>
    </w:p>
    <w:p>
      <w:pPr>
        <w:spacing w:after="0" w:line="18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PFL and its affiliates engage in a broad spectrum of activities. In the ordinary course of their business activities, PFL and its affiliates may engage in activities where their interests may not be the same as, or may</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conflict with, the interests of our other stockholders. Investors in this offering will not be able to affect the outcome of any stockholder vote while PFL controls the majority of the voting power of our outstanding common stock. As a result, PFL will be able to control, directly or indirectly and subject to applicable law, the composition of our board of directors, which in turn will be able to control all matters affecting us, including, among others:</w:t>
      </w:r>
    </w:p>
    <w:p>
      <w:pPr>
        <w:spacing w:after="0" w:line="52"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determination with respect to our business direction and policies, including the appointment and removal of officers and directors;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adoption of amendments to our amended and restated certificate of incorporation;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 of assets;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and benefit programs and other human resources policy decisions;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determinations with respect to tax matters.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In addition, the concentration of PFL’s ownership could also discourage others from making tender offers, which could prevent holders from receiving a premium for their common stock.</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7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If we are no longer affiliated with RGHL Group, we may be unable to continue to benefit from that relationship, which may adversely affect our operations and have a material adverse effect on us.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affiliation with RGHL Group provides us with increased scale and reach. We leverage our combined scale to coordinate purchases across our operations to reduce costs. If we no longer benefit from this relationship, whether because we are no longer affiliated with RGHL Group or otherwise, it may result in increased costs for us and higher prices to our customers because we may be unable to obtain goods, services, and technology from unaffiliated third parties on terms as favorable as those previously obtained. As a result of any the above factors, we may be precluded from pursuing certain opportunities that we would otherwise pursue, including growth opportunities, which in turn may adversely affect our business, financial condition and results of operations.</w:t>
      </w:r>
    </w:p>
    <w:p>
      <w:pPr>
        <w:spacing w:after="0" w:line="301"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b w:val="1"/>
          <w:bCs w:val="1"/>
          <w:i w:val="1"/>
          <w:i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73"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have entered into various transactions with Rank and other related parties that are members of RGHL Group, including, among others, agreements relating to:</w:t>
      </w:r>
    </w:p>
    <w:p>
      <w:pPr>
        <w:spacing w:after="0" w:line="76"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lease for our corporate headquarters in Lake Forest, Illinois;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lease for a facility used for certain research and development activities in Canandaigua, New York;</w:t>
      </w:r>
    </w:p>
    <w:p>
      <w:pPr>
        <w:spacing w:after="0" w:line="130"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RGHL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and we will provide certain services to RGHL Group, including human resources; compliance; and procurement, in each case for up to 24 months;</w:t>
      </w:r>
    </w:p>
    <w:p>
      <w:pPr>
        <w:spacing w:after="0" w:line="92" w:lineRule="exact"/>
        <w:rPr>
          <w:rFonts w:ascii="Arial" w:cs="Arial" w:eastAsia="Arial" w:hAnsi="Arial"/>
          <w:sz w:val="18"/>
          <w:szCs w:val="18"/>
          <w:color w:val="auto"/>
        </w:rPr>
      </w:pPr>
    </w:p>
    <w:p>
      <w:pPr>
        <w:ind w:left="1180" w:right="540" w:hanging="436"/>
        <w:spacing w:after="0" w:line="308" w:lineRule="auto"/>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Rank TSA whereby, upon our request, Rank will provide certain administrative services to us, including financial reporting and consulting, insurance procurement and human resources support, and related services for up to 24 months;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transition and support agreement for our Red Bluff, California and Huntersville, North Carolina facilities;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right="46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agreements where we sell certain products (primarily aluminum foil containers and roll foil) to, and purchase certain products (primarily tableware) from Pactiv;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logistics agreements whereby Pactiv provides certain warehousing and transportation services to us.</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At the conclusion of the RGHL TSA, Rank TSA and logistics agreements, we will have to perform such services with internal resources or contract with third party providers. There could be disruptions upon transition, and there can be no assurance that we will be able to perform or obtain the necessary services at the same or lower cost. Such related party transactions may also potentially involve conflicts of interest. In the event of a dispute under any of these related party agreements, RGHL Group could decide the matter in a way adverse to us, and our ability to enforce our contractual rights may be limited.</w:t>
      </w:r>
    </w:p>
    <w:p>
      <w:pPr>
        <w:spacing w:after="0" w:line="19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It is also likely that we may enter into related party transactions in the future. Although material related party transactions that we may enter into will be subject to board approval, as necessary,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see “Certain Relationships and Related Party Transactions.”</w:t>
      </w:r>
    </w:p>
    <w:p>
      <w:pPr>
        <w:spacing w:after="0" w:line="333" w:lineRule="exact"/>
        <w:rPr>
          <w:sz w:val="20"/>
          <w:szCs w:val="20"/>
          <w:color w:val="auto"/>
        </w:rPr>
      </w:pPr>
    </w:p>
    <w:p>
      <w:pPr>
        <w:ind w:left="200" w:right="44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stand-alone public company, and our historical and pro forma combined financial data is not necessarily representative of the results we would have achieved as a stand-alone public company and may not be a reliable indicator of our future results.</w:t>
      </w:r>
    </w:p>
    <w:p>
      <w:pPr>
        <w:spacing w:after="0" w:line="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historically operated as part of RGHL Group and not as a stand-alone entity. We have no operating history as a separate publicly traded company. The combined historical information in this prospectus refers to our business as part of RGHL Group. We derived the historical and pro forma combined financial data included in this prospectus from the consolidated financial statements and accounting records of RGHL Group. This information does not necessarily reflect the financial position, results of operations, and cash flows we would have achieved as a public company during the periods presented, or those that we will achieve in the future.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is primarily because of the following factors:</w:t>
      </w:r>
    </w:p>
    <w:p>
      <w:pPr>
        <w:spacing w:after="0" w:line="131" w:lineRule="exact"/>
        <w:rPr>
          <w:sz w:val="20"/>
          <w:szCs w:val="20"/>
          <w:color w:val="auto"/>
        </w:rPr>
      </w:pPr>
    </w:p>
    <w:p>
      <w:pPr>
        <w:ind w:left="1180" w:right="40" w:hanging="436"/>
        <w:spacing w:after="0" w:line="279" w:lineRule="auto"/>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RGHL Group historically performed or supported various corporate services for us, including executive management, supply chain, information technology, legal, finance and accounting, human resources, risk management, tax, treasury, and other services. Our historical and pro forma combined financial data reflects allocations of corporate expenses from RGHL Group for these and similar functions. These allocations may not reflect the costs we will incur for similar services in the future as a public company.</w:t>
      </w:r>
    </w:p>
    <w:p>
      <w:pPr>
        <w:spacing w:after="0" w:line="76" w:lineRule="exact"/>
        <w:rPr>
          <w:rFonts w:ascii="Arial" w:cs="Arial" w:eastAsia="Arial" w:hAnsi="Arial"/>
          <w:sz w:val="17"/>
          <w:szCs w:val="17"/>
          <w:color w:val="auto"/>
        </w:rPr>
      </w:pPr>
    </w:p>
    <w:p>
      <w:pPr>
        <w:jc w:val="both"/>
        <w:ind w:left="1180" w:right="160" w:hanging="436"/>
        <w:spacing w:after="0" w:line="276" w:lineRule="auto"/>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have entered into certain agreements with RGHL Group (including Pactiv, which will remain one of our largest customers) and Rank, including supply agreements to sell products (mostly aluminum foil containers and aluminum foil) and purchase products (mostly tableware). Upon the expiration of these agreements, we will be required to negotiate new arrangements with RGHL Group, Rank and/or unaffiliated third parties, and these new arrangements may not reflect terms as favorable as those previously obtained from RGHL Group and Rank. For additional information, see “Certain Relationships and Related Party Transactions.”</w:t>
      </w:r>
    </w:p>
    <w:p>
      <w:pPr>
        <w:spacing w:after="0" w:line="77" w:lineRule="exact"/>
        <w:rPr>
          <w:rFonts w:ascii="Arial" w:cs="Arial" w:eastAsia="Arial" w:hAnsi="Arial"/>
          <w:sz w:val="17"/>
          <w:szCs w:val="17"/>
          <w:color w:val="auto"/>
        </w:rPr>
      </w:pPr>
    </w:p>
    <w:p>
      <w:pPr>
        <w:ind w:left="1180" w:right="120" w:hanging="436"/>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relied upon RGHL Group for working capital requirements and other cash requirements. Subsequent to this offering, RGHL Group will not be providing us with funds to finance our working capital or other cash requirements. After this offering, our access to and cost of debt financing may be</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right="40"/>
        <w:spacing w:after="0" w:line="259" w:lineRule="auto"/>
        <w:rPr>
          <w:sz w:val="20"/>
          <w:szCs w:val="20"/>
          <w:color w:val="auto"/>
        </w:rPr>
      </w:pPr>
      <w:r>
        <w:rPr>
          <w:rFonts w:ascii="Arial" w:cs="Arial" w:eastAsia="Arial" w:hAnsi="Arial"/>
          <w:sz w:val="18"/>
          <w:szCs w:val="18"/>
          <w:color w:val="auto"/>
        </w:rPr>
        <w:t>different from the historical access to and cost of debt financing under RGHL Group. Differences in access to and cost of debt financing may result in differences in the interest rate charged to us on financings, as well as the amounts of indebtedness, types of financing structures and debt markets that may be available to us, which could have an adverse effect on our business, financial condition and results of operations and cash flows.</w:t>
      </w:r>
    </w:p>
    <w:p>
      <w:pPr>
        <w:spacing w:after="0" w:line="92" w:lineRule="exact"/>
        <w:rPr>
          <w:sz w:val="20"/>
          <w:szCs w:val="20"/>
          <w:color w:val="auto"/>
        </w:rPr>
      </w:pPr>
    </w:p>
    <w:p>
      <w:pPr>
        <w:ind w:left="1180" w:right="180" w:hanging="436"/>
        <w:spacing w:after="0" w:line="279" w:lineRule="auto"/>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Historically, we have sold substantially all of our U.S. trade receivables through RGHL Group’s securitization facility. This non-recourse factoring arrangement satisfied all of the conditions that result in the derecognition of our trade receivables. Prior to the closing of this offering, we will repurchase all U.S. trade receivables outstanding as of the time of the repurchase of such trade receivables. After the closing of this offering, we will collect our trade receivables in the ordinary course of business.</w:t>
      </w:r>
    </w:p>
    <w:p>
      <w:pPr>
        <w:spacing w:after="0" w:line="76" w:lineRule="exact"/>
        <w:rPr>
          <w:rFonts w:ascii="Arial" w:cs="Arial" w:eastAsia="Arial" w:hAnsi="Arial"/>
          <w:sz w:val="17"/>
          <w:szCs w:val="17"/>
          <w:color w:val="auto"/>
        </w:rPr>
      </w:pPr>
    </w:p>
    <w:p>
      <w:pPr>
        <w:ind w:left="1180" w:right="120" w:hanging="436"/>
        <w:spacing w:after="0" w:line="25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historical and pro forma combined financial data has not been adjusted and does not reflect changes that we expect to experience as a result of our transition to becoming a public company. These changes include (1) changes in our cost structure, personnel needs, tax structure, and business operations, (2) changes in our management, (3) potential increased costs associated with reduced economies of scale, and (4) increased costs associated with corporate governance, investor and public relations, and public company reporting and compliance.</w:t>
      </w:r>
    </w:p>
    <w:p>
      <w:pPr>
        <w:spacing w:after="0" w:line="188"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Therefore, our historical and pro forma combined financial data may not necessarily be indicative of our future financial position, results of operations, or cash flows, and the occurrence of any of the risks discussed in this “Risk Factors” section, or any other event, could cause our future financial position, results of operations, or cash flows to materially differ from our historical and pro forma combined financial data. While we have been profitable as part of RGHL Group, we cannot assure you that our profits will continue at a similar level when we are a stand-alone public company.</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additional information about the past financial performance of our business and the basis of presentation of the historical combined financial statements and the unaudited pro forma combined financial statements of our business, see the sections entitled “Selected Historical Combined Financial Data,” “Unaudited Pro Forma Combined Financial Data,” “Management’s Discussion and Analysis of Financial Condition and Results of Operations” and the historical combined financial statements and accompanying notes included elsewhere in this prospectus.</w:t>
      </w:r>
    </w:p>
    <w:p>
      <w:pPr>
        <w:spacing w:after="0" w:line="28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Our ability to operate our business effectively may suffer if we do not, quickly and cost effectively, establish our own financial, administrative, and other support functions, and we cannot assure you that the transitional services RGHL Group and Rank have agreed to provide us will be sufficient for our needs.</w:t>
      </w:r>
    </w:p>
    <w:p>
      <w:pPr>
        <w:spacing w:after="0" w:line="73"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Historically, we have relied on financial, administrative, and other resources of RGHL Group to operate our business. In conjunction with our anticipated separation from RGHL Group, we intend to create our own financial, administrative and other support systems or contract with third parties to replace RGHL Group’s systems. Prior to the closing of this offering, we will enter into agreements with RGHL Group and Rank under which RGHL Group and Rank will provide certain transitional services to us, such as supply chain, information technology, legal, finance and accounting, human resources, tax, treasury and other services, as well as access to certain information technology systems shared with RGHL Group and subject to data access controls. See “Certain Relationships and Related Party Transactions—Transactions to be Entered into in Connection with this Offering” for a description of these services. These services and data access controls may not be sufficient to meet our needs. After our agreements with RGHL Group and Rank expire, we may not be able to obtain these services at prices or on terms that are as favorable. Any failure or significant downtime in our own financial, administrative or other support systems or in RGHL Group’s or Rank’s financial, administrative or other support systems during the transitional period could negatively impact our results of operations.</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60"/>
        <w:spacing w:after="0" w:line="308" w:lineRule="auto"/>
        <w:rPr>
          <w:sz w:val="20"/>
          <w:szCs w:val="20"/>
          <w:color w:val="auto"/>
        </w:rPr>
      </w:pPr>
      <w:r>
        <w:rPr>
          <w:rFonts w:ascii="Arial" w:cs="Arial" w:eastAsia="Arial" w:hAnsi="Arial"/>
          <w:sz w:val="17"/>
          <w:szCs w:val="17"/>
          <w:b w:val="1"/>
          <w:bCs w:val="1"/>
          <w:i w:val="1"/>
          <w:iCs w:val="1"/>
          <w:color w:val="auto"/>
        </w:rPr>
        <w:t>If PFL sells a controlling interest in our company to a third party in a private transaction, you may not realize any change-of-control premium on shares of our common stock and we may become subject to the control of a presently unknown third party.</w:t>
      </w:r>
    </w:p>
    <w:p>
      <w:pPr>
        <w:spacing w:after="0" w:line="38" w:lineRule="exact"/>
        <w:rPr>
          <w:sz w:val="20"/>
          <w:szCs w:val="20"/>
          <w:color w:val="auto"/>
        </w:rPr>
      </w:pPr>
    </w:p>
    <w:p>
      <w:pPr>
        <w:ind w:left="200" w:right="140" w:firstLine="441"/>
        <w:spacing w:after="0" w:line="274" w:lineRule="auto"/>
        <w:rPr>
          <w:sz w:val="20"/>
          <w:szCs w:val="20"/>
          <w:color w:val="auto"/>
        </w:rPr>
      </w:pPr>
      <w:r>
        <w:rPr>
          <w:rFonts w:ascii="Arial" w:cs="Arial" w:eastAsia="Arial" w:hAnsi="Arial"/>
          <w:sz w:val="17"/>
          <w:szCs w:val="17"/>
          <w:color w:val="auto"/>
        </w:rPr>
        <w:t>Upon closing of this offering, PFL will own, and control the voting power of, approximately % of our outstanding shares of common stock (or approximately % if the underwriters’ option to purchase additional shares of common stock is exercised in full). PFL will have the ability,</w:t>
      </w:r>
    </w:p>
    <w:p>
      <w:pPr>
        <w:ind w:left="200" w:right="240"/>
        <w:spacing w:after="0" w:line="261" w:lineRule="auto"/>
        <w:rPr>
          <w:sz w:val="20"/>
          <w:szCs w:val="20"/>
          <w:color w:val="auto"/>
        </w:rPr>
      </w:pPr>
      <w:r>
        <w:rPr>
          <w:rFonts w:ascii="Arial" w:cs="Arial" w:eastAsia="Arial" w:hAnsi="Arial"/>
          <w:sz w:val="18"/>
          <w:szCs w:val="18"/>
          <w:color w:val="auto"/>
        </w:rPr>
        <w:t>should it choose to do so, to sell some or all of its shares of our common stock in a privately negotiated transaction, which, if sufficient in size, could result in a change of control of our company.</w:t>
      </w:r>
    </w:p>
    <w:p>
      <w:pPr>
        <w:spacing w:after="0" w:line="184"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The ability of PFL to privately sell its shares of our common stock, with no requirement for a concurrent offer to be made to acquire all of the shares of our common stock that will be publicly traded hereafter, could prevent you from realizing any change-of-control premium on your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30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b w:val="1"/>
          <w:bCs w:val="1"/>
          <w:i w:val="1"/>
          <w:iCs w:val="1"/>
          <w:color w:val="auto"/>
        </w:rPr>
        <w:t>We will be a “controlled company” within the meaning of the rules of and, as a result, will qualify for, and intend to rely on, exemptions from certain corporate governance requirements. You will not have the same protections afforded to stockholders of companies that are subject to such requirements.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closing of this offering, PFL will continue to control a majority of the voting power of our outstanding common stock. As a result, we will</w:t>
      </w:r>
    </w:p>
    <w:p>
      <w:pPr>
        <w:spacing w:after="0" w:line="46" w:lineRule="exact"/>
        <w:rPr>
          <w:sz w:val="20"/>
          <w:szCs w:val="20"/>
          <w:color w:val="auto"/>
        </w:rPr>
      </w:pPr>
    </w:p>
    <w:p>
      <w:pPr>
        <w:jc w:val="both"/>
        <w:ind w:left="200" w:right="240"/>
        <w:spacing w:after="0" w:line="255" w:lineRule="auto"/>
        <w:rPr>
          <w:sz w:val="20"/>
          <w:szCs w:val="20"/>
          <w:color w:val="auto"/>
        </w:rPr>
      </w:pPr>
      <w:r>
        <w:rPr>
          <w:rFonts w:ascii="Arial" w:cs="Arial" w:eastAsia="Arial" w:hAnsi="Arial"/>
          <w:sz w:val="18"/>
          <w:szCs w:val="18"/>
          <w:color w:val="auto"/>
        </w:rPr>
        <w:t>be a “controlled company” within the meaning of the corporate governance standards of the . Under these rules, a listed company of which more than 50% of the voting power is held by an individual, group or another company is a “controlled company” and may elect not to comply with certain corporate governance requirements, including:</w:t>
      </w:r>
    </w:p>
    <w:p>
      <w:pPr>
        <w:spacing w:after="0" w:line="96"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our compensation, nominating and corporate governance committee be composed entirely of independent directors;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our compensation, nominating and corporate governance committee.</w:t>
      </w:r>
    </w:p>
    <w:p>
      <w:pPr>
        <w:spacing w:after="0" w:line="23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While PFL controls a majority of the voting power of our outstanding common stock, we intend to rely on these exemptions and, as a result, will not have a majority of independent directors on our board of directors or a compensation, nominating and corporate governance committee consisting entirely of independent directors. Upon the closing of this offering, we expect that five of our seven directors will not qualify as “independent directors”</w:t>
      </w:r>
    </w:p>
    <w:p>
      <w:pPr>
        <w:ind w:left="200" w:right="100"/>
        <w:spacing w:after="0" w:line="261" w:lineRule="auto"/>
        <w:rPr>
          <w:sz w:val="20"/>
          <w:szCs w:val="20"/>
          <w:color w:val="auto"/>
        </w:rPr>
      </w:pPr>
      <w:r>
        <w:rPr>
          <w:rFonts w:ascii="Arial" w:cs="Arial" w:eastAsia="Arial" w:hAnsi="Arial"/>
          <w:sz w:val="18"/>
          <w:szCs w:val="18"/>
          <w:color w:val="auto"/>
        </w:rPr>
        <w:t>under the applicable rules of the . Accordingly, you will not have the same protections afforded to stockholders of companies that are subject to all of the corporate governance requirements of the .</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RGHL Group may compete with us, and its competitive position in certain markets may constrain our ability to build and maintain partnerships.</w:t>
      </w:r>
    </w:p>
    <w:p>
      <w:pPr>
        <w:spacing w:after="0" w:line="14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RGHL Group will not be restricted from competing with us in the consumer products industry, including as a result of acquiring a company that operates as a manufacturer of consumer products. Due to the significant resources of RGHL Group, including financial resources and know-how resulting from the previous management of our business, RGHL Group could have a significant competitive advantage should it decide to engage in the type of business we conduct, which may materially and adversely affect our business, financial condition and</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results of operations. For example, we purchase certain products, primarily tableware and cups, from Pactiv. While Pactiv has historically sold these products in the food services business-to-business channel, it could seek to sell such products in the retail channel or otherwise compete with us, especially where we sell private label or store brand products. As our supplier, Pactiv would have information about products, including pricing, that could give it a competitive advantage.</w:t>
      </w:r>
    </w:p>
    <w:p>
      <w:pPr>
        <w:spacing w:after="0" w:line="18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In addition, we may partner with companies that compete with RGHL Group in certain markets. Our affiliation with RGHL Group may affect our ability to effectively partner with these companies. These companies may favor our competitors because of our relationship with RGHL Group.</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Conflicts of interest may arise because one of our directors will hold a management or board position with RGHL Group entities.</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One of our directors is also a director of RGHL and other RGHL Group entities. The interests of this director in RGHL, other RGHL Group entities and us could create, or appear to create, conflicts of interest with respect to decisions involving both us and RGHL or RGHL Group entities that could have different implications for RGHL or RGHL Group entities and us. These decisions could, for example, relate to:</w:t>
      </w:r>
    </w:p>
    <w:p>
      <w:pPr>
        <w:spacing w:after="0" w:line="71"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disagreement over corporate opportunities;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between us and RGHL Group;</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retention or recruiting;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dividend policy;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services and arrangements from which we benefit as a result of our relationship with RGHL Group.</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Conflicts of interest could also arise if we enter into any new commercial arrangements with RGHL Group in the future, or if RGHL Group decides to compete with us in any of our product categories. The presence of directors or officers of entities affiliated with RGHL on our board of directors could create, or appear to create, conflicts of interest and conflicts in allocating their time with respect to matters involving both us and any one of them, or involving us and RGHL, that could have different implications for any of these entities than they do for us. Provisions of our amended and restated certificate of incorporation and amended and restated bylaws that will be in effect prior to the closing of this offering address corporate opportunities that are presented to our directors who are also directors or officers of RGHL and certain of its subsidiaries. See “Description of Capital Stock.” We cannot assure you that our amended and restated certificate of incorporation will adequately address potential conflicts of interest or that potential conflicts of interest will be resolved in our favor or that we will be able to take advantage of corporate opportunities presented to individuals who are directors of both us and entities affiliated with RGHL. As a result, we may be precluded from pursuing certain advantageous transactions or growth initiatives.</w:t>
      </w:r>
    </w:p>
    <w:p>
      <w:pPr>
        <w:spacing w:after="0" w:line="30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Our inability to resolve in a manner favorable to us any potential conflicts or disputes that arise between us and RGHL Group, PFL or Rank with respect to our past and ongoing relationships may adversely affect our business and prospects.</w:t>
      </w:r>
    </w:p>
    <w:p>
      <w:pPr>
        <w:spacing w:after="0" w:line="62"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Potential conflicts or disputes may arise between RGHL Group, PFL or Rank and us in a number of areas relating to our past or ongoing relationships, including:</w:t>
      </w:r>
    </w:p>
    <w:p>
      <w:pPr>
        <w:spacing w:after="0" w:line="76" w:lineRule="exact"/>
        <w:rPr>
          <w:sz w:val="20"/>
          <w:szCs w:val="20"/>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employee benefit, indemnification and other matters arising from our relationship with RGHL Group, PFL or Rank;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quality and pricing of services RGHL Group and Rank have agreed to provide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opportunities that may be attractive to us and RGHL Group;</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joint sales and marketing activities with RGHL Group.</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resolution of any potential conflicts or disputes between us, RGHL Group, PFL or Rank or their subsidiaries over these or other matters may be less favorable to us than the resolution we might achieve if we were dealing with an unaffiliated third party.</w:t>
      </w:r>
    </w:p>
    <w:p>
      <w:pPr>
        <w:spacing w:after="0" w:line="17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agreements we have entered into with RGHL Group and Rank, which are described in this prospectus, are of varying durations and may be amended upon agreement of the parties. PFL or certain of its subsidiaries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these agreements, if required, on terms as favorable to us as those we would be able to negotiate with an unaffiliated third party. For more information, see “Certain Relationships and Related Party Transactions.”</w:t>
      </w:r>
    </w:p>
    <w:p>
      <w:pPr>
        <w:spacing w:after="0" w:line="12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240" w:top="459" w:right="5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made statements under the captions “Prospectus Summary,” “Risk Factors,” “Unaudited Pro Forma Combined Financial Data,” “Management’s Discussion and Analysis of Financial Condition and Results of Operations,” “Business,” and in other sections of this prospectus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“Risk Factors.” You should specifically consider the numerous risks outlined under “Risk Factors.” These risks and uncertainties include factors related to:</w:t>
      </w:r>
    </w:p>
    <w:p>
      <w:pPr>
        <w:spacing w:after="0" w:line="83"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any of our key manufacturing facilities;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downturns in our target markets;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prospectus to conform our prior statements to actual results or revised expectations.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7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768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89"/>
              </w:rPr>
              <w:t>Confidential Treatment Requested by Reynolds Consumer Products Inc.</w:t>
            </w:r>
          </w:p>
        </w:tc>
        <w:tc>
          <w:tcPr>
            <w:tcW w:w="20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768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90"/>
              </w:rPr>
              <w:t>Pursuant to 17 C.F.R. Section 200.83</w:t>
            </w:r>
          </w:p>
        </w:tc>
        <w:tc>
          <w:tcPr>
            <w:tcW w:w="208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5360" w:type="dxa"/>
            <w:vAlign w:val="bottom"/>
          </w:tcPr>
          <w:p>
            <w:pPr>
              <w:jc w:val="center"/>
              <w:ind w:left="3250"/>
              <w:spacing w:after="0"/>
              <w:rPr>
                <w:sz w:val="20"/>
                <w:szCs w:val="20"/>
                <w:color w:val="auto"/>
              </w:rPr>
            </w:pPr>
            <w:r>
              <w:rPr>
                <w:rFonts w:ascii="Arial" w:cs="Arial" w:eastAsia="Arial" w:hAnsi="Arial"/>
                <w:sz w:val="18"/>
                <w:szCs w:val="18"/>
                <w:b w:val="1"/>
                <w:bCs w:val="1"/>
                <w:color w:val="auto"/>
                <w:w w:val="95"/>
              </w:rPr>
              <w:t>USE OF PROCEEDS</w:t>
            </w:r>
          </w:p>
        </w:tc>
        <w:tc>
          <w:tcPr>
            <w:tcW w:w="2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6720" w:type="dxa"/>
            <w:vAlign w:val="bottom"/>
            <w:gridSpan w:val="2"/>
          </w:tcPr>
          <w:p>
            <w:pPr>
              <w:ind w:left="640"/>
              <w:spacing w:after="0"/>
              <w:rPr>
                <w:sz w:val="20"/>
                <w:szCs w:val="20"/>
                <w:color w:val="auto"/>
              </w:rPr>
            </w:pPr>
            <w:r>
              <w:rPr>
                <w:rFonts w:ascii="Arial" w:cs="Arial" w:eastAsia="Arial" w:hAnsi="Arial"/>
                <w:sz w:val="18"/>
                <w:szCs w:val="18"/>
                <w:color w:val="auto"/>
                <w:w w:val="94"/>
              </w:rPr>
              <w:t>We estimate that the net proceeds to us from this offering will be approximately $</w:t>
            </w:r>
          </w:p>
        </w:tc>
        <w:tc>
          <w:tcPr>
            <w:tcW w:w="2320" w:type="dxa"/>
            <w:vAlign w:val="bottom"/>
          </w:tcPr>
          <w:p>
            <w:pPr>
              <w:ind w:left="160"/>
              <w:spacing w:after="0"/>
              <w:rPr>
                <w:sz w:val="20"/>
                <w:szCs w:val="20"/>
                <w:color w:val="auto"/>
              </w:rPr>
            </w:pPr>
            <w:r>
              <w:rPr>
                <w:rFonts w:ascii="Arial" w:cs="Arial" w:eastAsia="Arial" w:hAnsi="Arial"/>
                <w:sz w:val="18"/>
                <w:szCs w:val="18"/>
                <w:color w:val="auto"/>
              </w:rPr>
              <w:t>million, or approximately $</w:t>
            </w:r>
          </w:p>
        </w:tc>
        <w:tc>
          <w:tcPr>
            <w:tcW w:w="2080" w:type="dxa"/>
            <w:vAlign w:val="bottom"/>
          </w:tcPr>
          <w:p>
            <w:pPr>
              <w:ind w:left="180"/>
              <w:spacing w:after="0"/>
              <w:rPr>
                <w:sz w:val="20"/>
                <w:szCs w:val="20"/>
                <w:color w:val="auto"/>
              </w:rPr>
            </w:pPr>
            <w:r>
              <w:rPr>
                <w:rFonts w:ascii="Arial" w:cs="Arial" w:eastAsia="Arial" w:hAnsi="Arial"/>
                <w:sz w:val="18"/>
                <w:szCs w:val="18"/>
                <w:color w:val="auto"/>
                <w:w w:val="94"/>
              </w:rPr>
              <w:t>million if the underwriters</w:t>
            </w:r>
          </w:p>
        </w:tc>
      </w:tr>
    </w:tbl>
    <w:p>
      <w:pPr>
        <w:ind w:left="200" w:right="260"/>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their option to purchase additional shares in full, assuming an initial public offering price at the midpoint of the range set forth on the cover page of this prospectus, after deducting estimated underwriting discounts and commissions and estimated offering expenses.</w:t>
      </w:r>
    </w:p>
    <w:p>
      <w:pPr>
        <w:spacing w:after="0" w:line="162" w:lineRule="exact"/>
        <w:rPr>
          <w:sz w:val="20"/>
          <w:szCs w:val="20"/>
          <w:color w:val="auto"/>
        </w:rPr>
      </w:pPr>
    </w:p>
    <w:p>
      <w:pPr>
        <w:jc w:val="both"/>
        <w:ind w:left="200" w:right="160" w:firstLine="441"/>
        <w:spacing w:after="0" w:line="291" w:lineRule="auto"/>
        <w:rPr>
          <w:sz w:val="20"/>
          <w:szCs w:val="20"/>
          <w:color w:val="auto"/>
        </w:rPr>
      </w:pPr>
      <w:r>
        <w:rPr>
          <w:rFonts w:ascii="Arial" w:cs="Arial" w:eastAsia="Arial" w:hAnsi="Arial"/>
          <w:sz w:val="16"/>
          <w:szCs w:val="16"/>
          <w:color w:val="auto"/>
        </w:rPr>
        <w:t>We intend to use the net proceeds from this offering to repay amounts owed under the IPO Settlement Facility incurred as part of the Corporate Reorganization. The IPO Settlement Facility is scheduled to mature on the first business day after the closing date of this offering and will accrue</w:t>
      </w:r>
    </w:p>
    <w:p>
      <w:pPr>
        <w:ind w:left="200"/>
        <w:spacing w:after="0"/>
        <w:tabs>
          <w:tab w:leader="none" w:pos="2900" w:val="left"/>
        </w:tabs>
        <w:rPr>
          <w:sz w:val="20"/>
          <w:szCs w:val="20"/>
          <w:color w:val="auto"/>
        </w:rPr>
      </w:pPr>
      <w:r>
        <w:rPr>
          <w:rFonts w:ascii="Arial" w:cs="Arial" w:eastAsia="Arial" w:hAnsi="Arial"/>
          <w:sz w:val="18"/>
          <w:szCs w:val="18"/>
          <w:color w:val="auto"/>
        </w:rPr>
        <w:t>interest at a rate equal to</w:t>
      </w:r>
      <w:r>
        <w:rPr>
          <w:sz w:val="20"/>
          <w:szCs w:val="20"/>
          <w:color w:val="auto"/>
        </w:rPr>
        <w:tab/>
      </w:r>
      <w:r>
        <w:rPr>
          <w:rFonts w:ascii="Arial" w:cs="Arial" w:eastAsia="Arial" w:hAnsi="Arial"/>
          <w:sz w:val="16"/>
          <w:szCs w:val="16"/>
          <w:color w:val="auto"/>
        </w:rPr>
        <w:t>. We intend to use the net proceeds of the New Term Loan Facility to settle related party borrowings, including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amounts arising as part of the Corporate Reorganization prior to the closing of this offering. Related party borrowings owed to RGHL Group will be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settled as part of the Corporate Reorganization prior to this offering. Each $1 increase (decrease) in the public offering price per share would increase</w:t>
      </w:r>
    </w:p>
    <w:p>
      <w:pPr>
        <w:spacing w:after="0" w:line="32" w:lineRule="exact"/>
        <w:rPr>
          <w:sz w:val="20"/>
          <w:szCs w:val="20"/>
          <w:color w:val="auto"/>
        </w:rPr>
      </w:pPr>
    </w:p>
    <w:p>
      <w:pPr>
        <w:jc w:val="both"/>
        <w:ind w:left="200" w:right="540"/>
        <w:spacing w:after="0" w:line="255" w:lineRule="auto"/>
        <w:rPr>
          <w:sz w:val="20"/>
          <w:szCs w:val="20"/>
          <w:color w:val="auto"/>
        </w:rPr>
      </w:pPr>
      <w:r>
        <w:rPr>
          <w:rFonts w:ascii="Arial" w:cs="Arial" w:eastAsia="Arial" w:hAnsi="Arial"/>
          <w:sz w:val="18"/>
          <w:szCs w:val="18"/>
          <w:color w:val="auto"/>
        </w:rPr>
        <w:t>(decrease) our net proceeds, after deducting estimated underwriting discounts and commissions, by $ million (assuming no exercise of the underwriters’ option to purchase additional shares) and would reduce (increase) the amount of related party borrowings that would otherwise be capitalized as additional paid-in capital.</w:t>
      </w:r>
    </w:p>
    <w:p>
      <w:pPr>
        <w:spacing w:after="0" w:line="19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intend to use the net proceeds from the underwriters’ exercise of their option to purchase additional shares, if any, to repay a portion of the New Term Loan Facility. See “Management’s Discussion and Analysis of Financial Condition and Results of Operations—Sources of Liquidity—New Credit Facilities.”</w:t>
      </w:r>
    </w:p>
    <w:p>
      <w:pPr>
        <w:spacing w:after="0" w:line="11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240" w:top="446"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Following the closing of this offering and subject to legally available funds, we intend to pay quarterly cash dividends on our common stock</w:t>
      </w:r>
    </w:p>
    <w:p>
      <w:pPr>
        <w:spacing w:after="0" w:line="35" w:lineRule="exact"/>
        <w:rPr>
          <w:sz w:val="20"/>
          <w:szCs w:val="20"/>
          <w:color w:val="auto"/>
        </w:rPr>
      </w:pPr>
    </w:p>
    <w:p>
      <w:pPr>
        <w:ind w:left="200"/>
        <w:spacing w:after="0"/>
        <w:tabs>
          <w:tab w:leader="none" w:pos="1900" w:val="left"/>
          <w:tab w:leader="none" w:pos="5020" w:val="left"/>
          <w:tab w:leader="none" w:pos="7100" w:val="left"/>
        </w:tabs>
        <w:rPr>
          <w:sz w:val="20"/>
          <w:szCs w:val="20"/>
          <w:color w:val="auto"/>
        </w:rPr>
      </w:pPr>
      <w:r>
        <w:rPr>
          <w:rFonts w:ascii="Arial" w:cs="Arial" w:eastAsia="Arial" w:hAnsi="Arial"/>
          <w:sz w:val="18"/>
          <w:szCs w:val="18"/>
          <w:color w:val="auto"/>
        </w:rPr>
        <w:t>initially equal to $</w:t>
      </w:r>
      <w:r>
        <w:rPr>
          <w:sz w:val="20"/>
          <w:szCs w:val="20"/>
          <w:color w:val="auto"/>
        </w:rPr>
        <w:tab/>
      </w:r>
      <w:r>
        <w:rPr>
          <w:rFonts w:ascii="Arial" w:cs="Arial" w:eastAsia="Arial" w:hAnsi="Arial"/>
          <w:sz w:val="18"/>
          <w:szCs w:val="18"/>
          <w:color w:val="auto"/>
        </w:rPr>
        <w:t>per share, commencing with the</w:t>
      </w:r>
      <w:r>
        <w:rPr>
          <w:sz w:val="20"/>
          <w:szCs w:val="20"/>
          <w:color w:val="auto"/>
        </w:rPr>
        <w:tab/>
      </w:r>
      <w:r>
        <w:rPr>
          <w:rFonts w:ascii="Arial" w:cs="Arial" w:eastAsia="Arial" w:hAnsi="Arial"/>
          <w:sz w:val="18"/>
          <w:szCs w:val="18"/>
          <w:color w:val="auto"/>
        </w:rPr>
        <w:t>quarter of fiscal year 20</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Any declaration and payment of future dividends to holders of our common stock will be at the discretion of our board of directors and will depend on many factors, including general and economic conditions, our financial condition and operating results, our available cash and current and anticipated cash needs, capital requirements, contractual, legal, tax and regulatory restrictions, including restrictive covenants contained in our financing agreements and such other factors as our board of directors may deem relevant. See “Risk Factors—Risks Relating to Our Common Stock and this Offering—We intend to pay regular dividends on our common stock, but our ability to do so may be limited.”</w:t>
      </w:r>
    </w:p>
    <w:p>
      <w:pPr>
        <w:spacing w:after="0" w:line="173"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capitalization as of September 30, 2019:</w:t>
      </w:r>
    </w:p>
    <w:p>
      <w:pPr>
        <w:spacing w:after="0" w:line="131" w:lineRule="exact"/>
        <w:rPr>
          <w:sz w:val="20"/>
          <w:szCs w:val="20"/>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execution of the RGHL TSA and the Rank TSA;</w:t>
      </w:r>
    </w:p>
    <w:p>
      <w:pPr>
        <w:spacing w:after="0" w:line="130" w:lineRule="exact"/>
        <w:rPr>
          <w:rFonts w:ascii="Arial" w:cs="Arial" w:eastAsia="Arial" w:hAnsi="Arial"/>
          <w:sz w:val="18"/>
          <w:szCs w:val="18"/>
          <w:color w:val="auto"/>
        </w:rPr>
      </w:pPr>
    </w:p>
    <w:p>
      <w:pPr>
        <w:ind w:left="1620" w:right="200" w:hanging="322"/>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execution of plant and asset transfer agreements (and related support agreements), manufacturing and supply agreements and certain other arrangements with RGHL Group;</w:t>
      </w:r>
    </w:p>
    <w:p>
      <w:pPr>
        <w:spacing w:after="0" w:line="75" w:lineRule="exact"/>
        <w:rPr>
          <w:rFonts w:ascii="Arial" w:cs="Arial" w:eastAsia="Arial" w:hAnsi="Arial"/>
          <w:sz w:val="18"/>
          <w:szCs w:val="18"/>
          <w:color w:val="auto"/>
        </w:rPr>
      </w:pPr>
    </w:p>
    <w:p>
      <w:pPr>
        <w:ind w:left="1620" w:right="80" w:hanging="322"/>
        <w:spacing w:after="0" w:line="264"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the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1620" w:hanging="322"/>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1620" w:right="320" w:hanging="322"/>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consummation of the Stock Split;</w:t>
      </w:r>
    </w:p>
    <w:p>
      <w:pPr>
        <w:spacing w:after="0" w:line="130" w:lineRule="exact"/>
        <w:rPr>
          <w:rFonts w:ascii="Arial" w:cs="Arial" w:eastAsia="Arial" w:hAnsi="Arial"/>
          <w:sz w:val="18"/>
          <w:szCs w:val="18"/>
          <w:color w:val="auto"/>
        </w:rPr>
      </w:pPr>
    </w:p>
    <w:p>
      <w:pPr>
        <w:ind w:left="1620" w:right="480" w:hanging="322"/>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entry into the New Credit Facilities and the incurrence of debt under the New Term Loan Facility and the IPO Settlement Facility;</w:t>
      </w:r>
    </w:p>
    <w:p>
      <w:pPr>
        <w:spacing w:after="0" w:line="75" w:lineRule="exact"/>
        <w:rPr>
          <w:rFonts w:ascii="Arial" w:cs="Arial" w:eastAsia="Arial" w:hAnsi="Arial"/>
          <w:sz w:val="18"/>
          <w:szCs w:val="18"/>
          <w:color w:val="auto"/>
        </w:rPr>
      </w:pPr>
    </w:p>
    <w:p>
      <w:pPr>
        <w:ind w:left="1620" w:right="200" w:hanging="322"/>
        <w:spacing w:after="0" w:line="308" w:lineRule="auto"/>
        <w:tabs>
          <w:tab w:leader="none" w:pos="16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repayment of related party borrowings owing to RGHL Group and the capitalization, as additional paid-in capital without the issuance of any additional shares, of the remaining balance of the related party borrowings owing to RGHL Group;</w:t>
      </w:r>
    </w:p>
    <w:p>
      <w:pPr>
        <w:sectPr>
          <w:pgSz w:w="11900" w:h="16838" w:orient="portrait"/>
          <w:cols w:equalWidth="0" w:num="1">
            <w:col w:w="11100"/>
          </w:cols>
          <w:pgMar w:left="240" w:top="459" w:right="559" w:bottom="1440" w:gutter="0" w:footer="0" w:header="0"/>
        </w:sectPr>
      </w:pPr>
    </w:p>
    <w:p>
      <w:pPr>
        <w:spacing w:after="0" w:line="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sale by us of shares of common stock in this offering, at an assumed initial public offering price of $ per share, the midpoint of the range set forth on the cover page of this prospectus, representing the receipt of $ million in net proceeds after deducting the underwriting discount and the estimated offering expenses payable by us, as well as the application of such net proceeds as described in “Use of Proceeds”; and</w:t>
      </w:r>
    </w:p>
    <w:p>
      <w:pPr>
        <w:spacing w:after="0" w:line="92" w:lineRule="exact"/>
        <w:rPr>
          <w:sz w:val="20"/>
          <w:szCs w:val="20"/>
          <w:color w:val="auto"/>
        </w:rPr>
      </w:pPr>
    </w:p>
    <w:p>
      <w:pPr>
        <w:sectPr>
          <w:pgSz w:w="11900" w:h="16838" w:orient="portrait"/>
          <w:cols w:equalWidth="0" w:num="2">
            <w:col w:w="1360" w:space="260"/>
            <w:col w:w="9480"/>
          </w:cols>
          <w:pgMar w:left="240" w:top="459" w:right="559" w:bottom="1440" w:gutter="0" w:footer="0" w:header="0"/>
          <w:type w:val="continuous"/>
        </w:sectPr>
      </w:pPr>
    </w:p>
    <w:p>
      <w:pPr>
        <w:ind w:left="1620" w:hanging="322"/>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issuance of the IPO Grants.</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00"/>
          </w:cols>
          <w:pgMar w:left="240" w:top="459" w:right="5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pro forma information set forth in the table below is illustrative only and will be adjusted based on the actual initial public offering price and other terms of this offering determined at pricing. This table should be read in conjunction with “Use of Proceeds,” “Selected Historical Combined Financial Data,” “Unaudited Pro Forma Combined Financial Data,” “Management’s Discussion and Analysis of Financial Condition and Results of Operations,” and our annual and interim combined financial statements and notes thereto included elsewhere in this prospectus.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 millions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 and 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5"/>
              </w:rPr>
              <w:t>data)</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67"/>
              <w:spacing w:after="0"/>
              <w:rPr>
                <w:sz w:val="20"/>
                <w:szCs w:val="20"/>
                <w:color w:val="auto"/>
              </w:rPr>
            </w:pPr>
            <w:r>
              <w:rPr>
                <w:rFonts w:ascii="Arial" w:cs="Arial" w:eastAsia="Arial" w:hAnsi="Arial"/>
                <w:sz w:val="14"/>
                <w:szCs w:val="14"/>
                <w:b w:val="1"/>
                <w:bCs w:val="1"/>
                <w:color w:val="auto"/>
              </w:rPr>
              <w:t>Actual</w:t>
            </w: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RGHL Group Credit Agreement—U.S. term loan</w:t>
            </w:r>
            <w:r>
              <w:rPr>
                <w:rFonts w:ascii="Arial" w:cs="Arial" w:eastAsia="Arial" w:hAnsi="Arial"/>
                <w:sz w:val="15"/>
                <w:szCs w:val="15"/>
                <w:color w:val="auto"/>
                <w:w w:val="96"/>
              </w:rPr>
              <w:t>(1)</w:t>
            </w: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Related party borrowings</w:t>
            </w:r>
            <w:r>
              <w:rPr>
                <w:rFonts w:ascii="Arial" w:cs="Arial" w:eastAsia="Arial" w:hAnsi="Arial"/>
                <w:sz w:val="15"/>
                <w:szCs w:val="15"/>
                <w:color w:val="auto"/>
              </w:rPr>
              <w:t>(2)</w:t>
            </w:r>
          </w:p>
        </w:tc>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Credit Facilities</w:t>
            </w:r>
            <w:r>
              <w:rPr>
                <w:rFonts w:ascii="Arial" w:cs="Arial" w:eastAsia="Arial" w:hAnsi="Arial"/>
                <w:sz w:val="15"/>
                <w:szCs w:val="15"/>
                <w:color w:val="auto"/>
              </w:rPr>
              <w:t>(3)</w:t>
            </w:r>
          </w:p>
        </w:tc>
        <w:tc>
          <w:tcPr>
            <w:tcW w:w="10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per share,</w:t>
            </w:r>
          </w:p>
        </w:tc>
        <w:tc>
          <w:tcPr>
            <w:tcW w:w="25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shares authorized,</w:t>
            </w:r>
          </w:p>
        </w:tc>
        <w:tc>
          <w:tcPr>
            <w:tcW w:w="316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shares outstanding on a pro forma</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basis</w:t>
            </w: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Parent deficit</w:t>
            </w:r>
          </w:p>
        </w:tc>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Total stockholders’ (deficit) equity</w:t>
            </w:r>
            <w:r>
              <w:rPr>
                <w:rFonts w:ascii="Arial" w:cs="Arial" w:eastAsia="Arial" w:hAnsi="Arial"/>
                <w:sz w:val="15"/>
                <w:szCs w:val="15"/>
                <w:color w:val="auto"/>
              </w:rPr>
              <w:t>(4)</w:t>
            </w: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capitalization</w:t>
            </w:r>
          </w:p>
        </w:tc>
        <w:tc>
          <w:tcPr>
            <w:tcW w:w="10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5"/>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80" w:type="dxa"/>
            <w:vAlign w:val="bottom"/>
            <w:gridSpan w:val="5"/>
          </w:tcPr>
          <w:p>
            <w:pPr>
              <w:spacing w:after="0"/>
              <w:rPr>
                <w:sz w:val="20"/>
                <w:szCs w:val="20"/>
                <w:color w:val="auto"/>
              </w:rPr>
            </w:pPr>
            <w:r>
              <w:rPr>
                <w:rFonts w:ascii="Arial" w:cs="Arial" w:eastAsia="Arial" w:hAnsi="Arial"/>
                <w:sz w:val="18"/>
                <w:szCs w:val="18"/>
                <w:color w:val="auto"/>
                <w:w w:val="94"/>
              </w:rPr>
              <w:t>(1)   Our portion of the RGHL Group Credit Agreement consists of a U.S. term loan of $</w:t>
            </w:r>
          </w:p>
        </w:tc>
        <w:tc>
          <w:tcPr>
            <w:tcW w:w="4460" w:type="dxa"/>
            <w:vAlign w:val="bottom"/>
            <w:gridSpan w:val="6"/>
          </w:tcPr>
          <w:p>
            <w:pPr>
              <w:ind w:left="300"/>
              <w:spacing w:after="0"/>
              <w:rPr>
                <w:sz w:val="20"/>
                <w:szCs w:val="20"/>
                <w:color w:val="auto"/>
              </w:rPr>
            </w:pPr>
            <w:r>
              <w:rPr>
                <w:rFonts w:ascii="Arial" w:cs="Arial" w:eastAsia="Arial" w:hAnsi="Arial"/>
                <w:sz w:val="18"/>
                <w:szCs w:val="18"/>
                <w:color w:val="auto"/>
              </w:rPr>
              <w:t>million of principal amount, net of deferred financing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w w:val="95"/>
              </w:rPr>
              <w:t>transaction costs and original issue discounts of $</w:t>
            </w:r>
          </w:p>
        </w:tc>
        <w:tc>
          <w:tcPr>
            <w:tcW w:w="1560" w:type="dxa"/>
            <w:vAlign w:val="bottom"/>
          </w:tcPr>
          <w:p>
            <w:pPr>
              <w:ind w:left="140"/>
              <w:spacing w:after="0"/>
              <w:rPr>
                <w:sz w:val="20"/>
                <w:szCs w:val="20"/>
                <w:color w:val="auto"/>
              </w:rPr>
            </w:pPr>
            <w:r>
              <w:rPr>
                <w:rFonts w:ascii="Arial" w:cs="Arial" w:eastAsia="Arial" w:hAnsi="Arial"/>
                <w:sz w:val="18"/>
                <w:szCs w:val="18"/>
                <w:color w:val="auto"/>
              </w:rPr>
              <w:t>million.</w:t>
            </w: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w w:val="97"/>
              </w:rPr>
              <w:t>(2)   Related party borrowings consist of $</w:t>
            </w: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million of principal amount.</w:t>
            </w: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(3)   New Credit Facilities consist of a $</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million New Term Loan Facility and a $</w:t>
            </w:r>
          </w:p>
        </w:tc>
        <w:tc>
          <w:tcPr>
            <w:tcW w:w="4460" w:type="dxa"/>
            <w:vAlign w:val="bottom"/>
            <w:gridSpan w:val="6"/>
          </w:tcPr>
          <w:p>
            <w:pPr>
              <w:ind w:left="100"/>
              <w:spacing w:after="0"/>
              <w:rPr>
                <w:sz w:val="20"/>
                <w:szCs w:val="20"/>
                <w:color w:val="auto"/>
              </w:rPr>
            </w:pPr>
            <w:r>
              <w:rPr>
                <w:rFonts w:ascii="Arial" w:cs="Arial" w:eastAsia="Arial" w:hAnsi="Arial"/>
                <w:sz w:val="18"/>
                <w:szCs w:val="18"/>
                <w:color w:val="auto"/>
              </w:rPr>
              <w:t>million New Revolving Facility (which New Revolving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gridSpan w:val="5"/>
          </w:tcPr>
          <w:p>
            <w:pPr>
              <w:ind w:left="420"/>
              <w:spacing w:after="0"/>
              <w:rPr>
                <w:sz w:val="20"/>
                <w:szCs w:val="20"/>
                <w:color w:val="auto"/>
              </w:rPr>
            </w:pPr>
            <w:r>
              <w:rPr>
                <w:rFonts w:ascii="Arial" w:cs="Arial" w:eastAsia="Arial" w:hAnsi="Arial"/>
                <w:sz w:val="18"/>
                <w:szCs w:val="18"/>
                <w:color w:val="auto"/>
                <w:w w:val="93"/>
              </w:rPr>
              <w:t>Facility is expected to be undrawn upon the closing of this offering), net of deferred financing transaction costs of $</w:t>
            </w:r>
          </w:p>
        </w:tc>
        <w:tc>
          <w:tcPr>
            <w:tcW w:w="920" w:type="dxa"/>
            <w:vAlign w:val="bottom"/>
            <w:gridSpan w:val="2"/>
          </w:tcPr>
          <w:p>
            <w:pPr>
              <w:jc w:val="right"/>
              <w:ind w:right="87"/>
              <w:spacing w:after="0"/>
              <w:rPr>
                <w:sz w:val="20"/>
                <w:szCs w:val="20"/>
                <w:color w:val="auto"/>
              </w:rPr>
            </w:pPr>
            <w:r>
              <w:rPr>
                <w:rFonts w:ascii="Arial" w:cs="Arial" w:eastAsia="Arial" w:hAnsi="Arial"/>
                <w:sz w:val="18"/>
                <w:szCs w:val="18"/>
                <w:color w:val="auto"/>
              </w:rPr>
              <w:t>million.</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40" w:right="60" w:hanging="436"/>
        <w:spacing w:after="0" w:line="25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described in “Use of Proceeds,” we intend to use the net proceeds from this offering to repay amounts owed under the IPO Settlement Facility incurred as part of the Corporate Reorganization. We intend to use the net proceeds of the New Term Loan Facility to settle related party borrowings, including amounts arising as part of the Corporate Reorganization prior to the closing of this offering. Related party borrowings owed to RGHL Group will be settled as part of the Corporate Reorganization prior to this offering. Excluding the impact of underwriting discounts and commissions payable by us, (i) any increase or decrease in the assumed initial public offering price, and (ii) any increase or decrease in the number of shares of our common stock offered by us, is not expected to materially impact our pro forma cash and cash equivalents, additional paid-in capital, total stockholders’ equity and total capitalization. The impact of any change described in clause (i) or (ii) above will be offset as a result of the capitalization, as additional paid-in capital without the issuance of any additional shares, of any related party borrowings we have with RGHL Group.</w:t>
      </w:r>
    </w:p>
    <w:p>
      <w:pPr>
        <w:spacing w:after="0" w:line="13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If you invest in shares of our common stock, your investment will be immediately diluted to the extent of the difference between the initial public offering price per share of common stock and the pro forma net tangible book value per share of common stock after this offering. Dilution results from the fact that the per share offering price of the shares of common stock is substantially in excess of the pro forma net tangible book value per share after this offering.</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pro forma net tangible book value as of September 30, 2019 was $ million or $ per share of common stock. Pro forma net tangible book value per share represents tangible assets, less liabilities, divided by the aggregate number of shares of common stock outstanding immediately prior to this offering (after giving effect to the Corporate Reorganization).</w:t>
      </w:r>
    </w:p>
    <w:p>
      <w:pPr>
        <w:spacing w:after="0" w:line="181"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6"/>
          <w:szCs w:val="16"/>
          <w:color w:val="auto"/>
        </w:rPr>
        <w:t>After giving effect to the Corporate Reorganization and the sale by us of the shares of our common stock in this offering, at an assumed initial public offering price of $ per share, the midpoint of the range set forth on the cover page of this prospectus, and the receipt and application of the net proceeds, our pro forma net tangible book value as of September 30, 2019 would have been $ million or $ per share. This represents an immediate increase in pro forma net tangible book value to existing stockholders of $ per share and an immediate dilution to new investors of</w:t>
      </w:r>
    </w:p>
    <w:p>
      <w:pPr>
        <w:spacing w:after="0" w:line="2" w:lineRule="exact"/>
        <w:rPr>
          <w:sz w:val="20"/>
          <w:szCs w:val="20"/>
          <w:color w:val="auto"/>
        </w:rPr>
      </w:pPr>
    </w:p>
    <w:p>
      <w:pPr>
        <w:ind w:left="200" w:right="100" w:firstLine="4"/>
        <w:spacing w:after="0" w:line="255" w:lineRule="auto"/>
        <w:tabs>
          <w:tab w:leader="none" w:pos="6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 share. Dilution per share represents the difference between the price per share to be paid by new investors for the shares of our common stock sold in this offering and the pro forma net tangible book value per share immediately after this offering. The following table illustrates this per share dilution:</w:t>
      </w: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5"/>
              </w:rPr>
              <w:t>Pro forma net tangible book value per share as of September 30, 2019 (after giving effect to the Corporate Reorganization)</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after offering</w:t>
            </w:r>
          </w:p>
        </w:tc>
        <w:tc>
          <w:tcPr>
            <w:tcW w:w="5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following table sets forth, on a pro forma basis, as of September 30, 2019, the number of shares of our common stock purchased from us, the total consideration paid, or to be paid, and the average price per share paid, or to be paid, by the existing stockholders and by the new investors, at an assumed initial public offering price of $ per share, the midpoint of the range set forth on the cover page of this prospectus, before deducting estimated underwriting discounts and commissions and offering expenses payable by us: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94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Total Consideration</w:t>
            </w:r>
          </w:p>
        </w:tc>
        <w:tc>
          <w:tcPr>
            <w:tcW w:w="118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2"/>
              </w:rPr>
              <w:t>Average Price</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10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Per Share</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tables assume no exercise of the underwriters’ option to purchase additional shares.</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2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following table presents our selected historical combined financial data. As detailed in our annual and interim combined financial statements included elsewhere in this prospectus, prior to this offering, our operations are not structured under a single consolidating parent entity.</w:t>
      </w:r>
    </w:p>
    <w:p>
      <w:pPr>
        <w:spacing w:after="0" w:line="124"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combined statement of income data and summary cash flow data for each of the years ended December 31, 2018, 2017, and 2016, and the combined balance sheet data as of December 31, 2018 and 2017, are derived from our annual combined financial statements included elsewhere in this prospectus. The unaudited combined statement of income data and summary cash flow data for the years ended December 31, 2015 and 2014, and the unaudited combined balance sheet data as of December 31, 2016, 2015, and 2014, are derived from our financial records, which were derived from the financial records of RGHL Group, and are not included in this prospectus. The unaudited combined financial data as of December 31, 2016, 2015 and 2014 and for the years ended December 31, 2015 and 2014 were prepared on the same basis as our annual combined financial statements.</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combined statement of income data and summary cash flow data for the nine months ended September 30, 2019 and 2018, and the combined balance sheet data as of September 30, 2019, have been derived from our interim condensed combined financial statements included elsewhere in this prospectus. The selected combined balance sheet data as of September 30, 2018 has been derived from our financial records, which were derived from the financial records of RGHL Group, and are not included in this prospectus.</w:t>
      </w:r>
    </w:p>
    <w:p>
      <w:pPr>
        <w:spacing w:after="0" w:line="18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The interim condensed combined financial statements as of September 30, 2019 and for the nine months ended September 30, 2019 and 2018 were prepared on the same basis as our annual combined financial statements. In our opinion, such financial statements include all adjustments, consisting only of normal recurring adjustments, that we consider necessary for a fair presentation of the financial information set forth in those statements.</w:t>
      </w:r>
    </w:p>
    <w:p>
      <w:pPr>
        <w:spacing w:after="0" w:line="1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historical combined financial statements have been prepared on a stand-alone basis in accordance with GAAP and are derived from RGHL Group’s consolidated financial statements and accounting records using the historical results of operations and assets and liabilities attributed to our operations, and include allocations of expenses from RGHL Group. We believe these allocations were made on a reasonable basis. Our historical results are not necessarily indicative of our results in any future period. You should read the following selected historical combined financial data together with our combined annual and interim financial statements and the related notes included elsewhere in this prospectus and the “Capitalization,” “Unaudited Pro Forma Combined Financial Data,” and “Management’s Discussion and Analysis of Financial Condition and Results of Operations” sections of this prospectus.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vMerge w:val="restart"/>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0"/>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gridSpan w:val="2"/>
          </w:tcPr>
          <w:p>
            <w:pPr>
              <w:jc w:val="right"/>
              <w:ind w:right="12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w w:val="81"/>
              </w:rPr>
              <w:t>(In</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millions)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revenues</w:t>
            </w:r>
            <w:r>
              <w:rPr>
                <w:rFonts w:ascii="Arial" w:cs="Arial" w:eastAsia="Arial" w:hAnsi="Arial"/>
                <w:sz w:val="15"/>
                <w:szCs w:val="15"/>
                <w:color w:val="auto"/>
              </w:rPr>
              <w:t>(1),(3)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6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2,981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2,809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2,792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net revenues</w:t>
            </w:r>
            <w:r>
              <w:rPr>
                <w:rFonts w:ascii="Arial" w:cs="Arial" w:eastAsia="Arial" w:hAnsi="Arial"/>
                <w:sz w:val="15"/>
                <w:szCs w:val="15"/>
                <w:color w:val="auto"/>
              </w:rPr>
              <w:t>(2),(3)</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Total net revenues</w:t>
            </w:r>
            <w:r>
              <w:rPr>
                <w:rFonts w:ascii="Arial" w:cs="Arial" w:eastAsia="Arial" w:hAnsi="Arial"/>
                <w:sz w:val="15"/>
                <w:szCs w:val="15"/>
                <w:color w:val="auto"/>
              </w:rPr>
              <w:t>(3)</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r>
              <w:rPr>
                <w:rFonts w:ascii="Arial" w:cs="Arial" w:eastAsia="Arial" w:hAnsi="Arial"/>
                <w:sz w:val="15"/>
                <w:szCs w:val="15"/>
                <w:color w:val="auto"/>
              </w:rPr>
              <w:t>(2)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7"/>
              </w:rPr>
              <w:t>(2,310)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(2,241)</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5"/>
                <w:szCs w:val="15"/>
                <w:color w:val="auto"/>
              </w:rPr>
              <w:t>(2),(4)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expense, net</w:t>
            </w:r>
            <w:r>
              <w:rPr>
                <w:rFonts w:ascii="Arial" w:cs="Arial" w:eastAsia="Arial" w:hAnsi="Arial"/>
                <w:sz w:val="15"/>
                <w:szCs w:val="15"/>
                <w:color w:val="auto"/>
              </w:rPr>
              <w:t>(4)</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Non-operating expense,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15"/>
                <w:szCs w:val="15"/>
                <w:color w:val="auto"/>
              </w:rPr>
              <w:t>(5),(6)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6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Related party receivables—non-current</w:t>
            </w:r>
            <w:r>
              <w:rPr>
                <w:rFonts w:ascii="Arial" w:cs="Arial" w:eastAsia="Arial" w:hAnsi="Arial"/>
                <w:sz w:val="15"/>
                <w:szCs w:val="15"/>
                <w:color w:val="auto"/>
              </w:rPr>
              <w:t>(6)</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(7)</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15"/>
                <w:szCs w:val="15"/>
                <w:color w:val="auto"/>
              </w:rPr>
              <w:t>(5)</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Related party borrowings, including current portion</w:t>
            </w:r>
            <w:r>
              <w:rPr>
                <w:rFonts w:ascii="Arial" w:cs="Arial" w:eastAsia="Arial" w:hAnsi="Arial"/>
                <w:sz w:val="15"/>
                <w:szCs w:val="15"/>
                <w:color w:val="auto"/>
              </w:rPr>
              <w:t>(6)</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7"/>
              </w:rPr>
              <w:t>(1,027)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(1,640)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(1,765)</w:t>
            </w:r>
          </w:p>
        </w:tc>
        <w:tc>
          <w:tcPr>
            <w:tcW w:w="0" w:type="dxa"/>
            <w:vAlign w:val="bottom"/>
          </w:tcPr>
          <w:p>
            <w:pPr>
              <w:spacing w:after="0"/>
              <w:rPr>
                <w:sz w:val="1"/>
                <w:szCs w:val="1"/>
                <w:color w:val="auto"/>
              </w:rPr>
            </w:pP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Cash Flow Data:</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6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Financing activities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240" w:hanging="436"/>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net revenues are derived primarily from sales of our cooking, waste &amp; storage and tableware products to third-party customers, primarily in the United States. Revenues are reported net of estimated sales incentives.</w:t>
      </w:r>
    </w:p>
    <w:p>
      <w:pPr>
        <w:spacing w:after="0" w:line="75" w:lineRule="exact"/>
        <w:rPr>
          <w:rFonts w:ascii="Arial" w:cs="Arial" w:eastAsia="Arial" w:hAnsi="Arial"/>
          <w:sz w:val="18"/>
          <w:szCs w:val="18"/>
          <w:color w:val="auto"/>
        </w:rPr>
      </w:pPr>
    </w:p>
    <w:p>
      <w:pPr>
        <w:ind w:left="640" w:right="60" w:hanging="436"/>
        <w:spacing w:after="0" w:line="264"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Related party net revenues represent the sale of our finished products to RGHL Group. Those transactions have historically taken place at an agreed upon price, which may not be equivalent to the terms that would prevail in an arm’s length transaction. In connection with this offering, we have entered, or will enter, into</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640"/>
        <w:spacing w:after="0" w:line="276" w:lineRule="auto"/>
        <w:rPr>
          <w:sz w:val="20"/>
          <w:szCs w:val="20"/>
          <w:color w:val="auto"/>
        </w:rPr>
      </w:pPr>
      <w:r>
        <w:rPr>
          <w:rFonts w:ascii="Arial" w:cs="Arial" w:eastAsia="Arial" w:hAnsi="Arial"/>
          <w:sz w:val="17"/>
          <w:szCs w:val="17"/>
          <w:color w:val="auto"/>
        </w:rPr>
        <w:t>agreements that document and/or amend certain ongoing commercial arrangements we have with certain RGHL Group subsidiaries. These manufacturing and supply agreements will become effective no later than the closing of this offering. Following the closing of this offering, these agreements will impact our related party net revenues, our cost of sales and our selling, general and administrative expenses. For further information, see “Certain Relationships and Related Party Transactions,” “Unaudited Pro Forma Combined Financial Data” and Note 14—Related Party Transactions of our annual combined financial statements included elsewhere in this prospectus.</w:t>
      </w:r>
    </w:p>
    <w:p>
      <w:pPr>
        <w:spacing w:after="0" w:line="64"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Following the closing of this offering, the RGHL TSA and the Rank TSA will take effect to cover certain corporate services currently provided by RGHL Group.</w:t>
      </w:r>
    </w:p>
    <w:p>
      <w:pPr>
        <w:spacing w:after="0" w:line="62" w:lineRule="exact"/>
        <w:rPr>
          <w:sz w:val="20"/>
          <w:szCs w:val="20"/>
          <w:color w:val="auto"/>
        </w:rPr>
      </w:pPr>
    </w:p>
    <w:p>
      <w:pPr>
        <w:ind w:left="640" w:right="240"/>
        <w:spacing w:after="0" w:line="259" w:lineRule="auto"/>
        <w:rPr>
          <w:sz w:val="20"/>
          <w:szCs w:val="20"/>
          <w:color w:val="auto"/>
        </w:rPr>
      </w:pPr>
      <w:r>
        <w:rPr>
          <w:rFonts w:ascii="Arial" w:cs="Arial" w:eastAsia="Arial" w:hAnsi="Arial"/>
          <w:sz w:val="18"/>
          <w:szCs w:val="18"/>
          <w:color w:val="auto"/>
        </w:rPr>
        <w:t>Due to these and other changes we anticipate in connection with this offering, the historical combined financial data included in this prospectus may not necessarily reflect our financial position, results of operations and cash flows in the future or what our financial position, results of operations and cash flows would have been had we been a stand-alone public company during the periods presented. See the notes to our unaudited pro forma combined financial data.</w:t>
      </w:r>
    </w:p>
    <w:p>
      <w:pPr>
        <w:spacing w:after="0" w:line="92" w:lineRule="exact"/>
        <w:rPr>
          <w:sz w:val="20"/>
          <w:szCs w:val="20"/>
          <w:color w:val="auto"/>
        </w:rPr>
      </w:pPr>
    </w:p>
    <w:p>
      <w:pPr>
        <w:ind w:left="640" w:right="20" w:hanging="436"/>
        <w:spacing w:after="0" w:line="273"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On January 1, 2018, we adopted ASC 606, using the modified retrospective method for all contracts not completed as of the date of adoption, resulting in a $5 million adjustment to Net Parent deficit. There was no other material financial impact from adopting the new revenue recognition standard. See Note 2 – Summary of Significant Accounting Policies of our annual combined financial statements included elsewhere in this prospectus for an explanation of the impact of the adoption of ASC 606. Results as of and for the year ended December 31, 2018 and periods thereafter are presented under ASC 606, while prior period amounts are not adjusted and continue to be reported under ASC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accounting standard in effect for those periods presented.</w:t>
      </w:r>
    </w:p>
    <w:p>
      <w:pPr>
        <w:spacing w:after="0" w:line="83" w:lineRule="exact"/>
        <w:rPr>
          <w:rFonts w:ascii="Arial" w:cs="Arial" w:eastAsia="Arial" w:hAnsi="Arial"/>
          <w:sz w:val="17"/>
          <w:szCs w:val="17"/>
          <w:color w:val="auto"/>
        </w:rPr>
      </w:pPr>
    </w:p>
    <w:p>
      <w:pPr>
        <w:ind w:left="640" w:right="180" w:hanging="436"/>
        <w:spacing w:after="0" w:line="286" w:lineRule="auto"/>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RGHL Group currently provides certain corporate services to us, and costs associated with these functions have been allocated to us. Our historical combined financial statements included elsewhere in this prospectus reflect these costs primarily in selling, general and administrative expenses and other expense, net. These allocations include costs related to corporate services such as executive management, finance, legal, tax, information technology and a portion of a related party management fee incurred by RGHL Group. The total amount of these allocations from</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RGHL Group was $40 million, $37 million, $39 million, $42 million and $39 million in the years ended December 31, 2018, 2017, 2016, 2015</w:t>
      </w:r>
    </w:p>
    <w:p>
      <w:pPr>
        <w:spacing w:after="0" w:line="21"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and 2014, respectively, and $ million and $ million in the nine months ended September 30, 2019 and 2018, respectively. See Note 1— Description of Business and Basis of Presentation in our annual combined financial statements included elsewhere in this prospectus for additional information.</w:t>
      </w:r>
    </w:p>
    <w:p>
      <w:pPr>
        <w:spacing w:after="0" w:line="96" w:lineRule="exact"/>
        <w:rPr>
          <w:sz w:val="20"/>
          <w:szCs w:val="20"/>
          <w:color w:val="auto"/>
        </w:rPr>
      </w:pPr>
    </w:p>
    <w:p>
      <w:pPr>
        <w:ind w:left="640" w:right="180" w:hanging="436"/>
        <w:spacing w:after="0" w:line="291" w:lineRule="auto"/>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the periods presented above, we had between $734 million and $2,084 million of borrowings under the RGHL Group Credit Agreement. Interest expense has been recognized based on the historical interest rates of the RGHL Group Credit Agreement and totaled $97 million,</w:t>
      </w:r>
    </w:p>
    <w:p>
      <w:pPr>
        <w:ind w:left="640"/>
        <w:spacing w:after="0"/>
        <w:rPr>
          <w:sz w:val="20"/>
          <w:szCs w:val="20"/>
          <w:color w:val="auto"/>
        </w:rPr>
      </w:pPr>
      <w:r>
        <w:rPr>
          <w:rFonts w:ascii="Arial" w:cs="Arial" w:eastAsia="Arial" w:hAnsi="Arial"/>
          <w:sz w:val="17"/>
          <w:szCs w:val="17"/>
          <w:color w:val="auto"/>
        </w:rPr>
        <w:t>$85 million, $51 million, $40 million and $37 million in the years ended December 31, 2018, 2017, 2016, 2015 and 2014, respectively, and</w:t>
      </w:r>
    </w:p>
    <w:p>
      <w:pPr>
        <w:spacing w:after="0" w:line="21" w:lineRule="exact"/>
        <w:rPr>
          <w:sz w:val="20"/>
          <w:szCs w:val="20"/>
          <w:color w:val="auto"/>
        </w:rPr>
      </w:pPr>
    </w:p>
    <w:p>
      <w:pPr>
        <w:ind w:left="640"/>
        <w:spacing w:after="0" w:line="252" w:lineRule="auto"/>
        <w:rPr>
          <w:sz w:val="20"/>
          <w:szCs w:val="20"/>
          <w:color w:val="auto"/>
        </w:rPr>
      </w:pPr>
      <w:r>
        <w:rPr>
          <w:rFonts w:ascii="Arial" w:cs="Arial" w:eastAsia="Arial" w:hAnsi="Arial"/>
          <w:sz w:val="18"/>
          <w:szCs w:val="18"/>
          <w:color w:val="auto"/>
        </w:rPr>
        <w:t>$ million and $ million in the nine months ended September 30, 2019 and 2018, respectively. Deferred financing transaction costs and original issue discounts have been recognized in the same proportion as debt and are recorded as a reduction to the outstanding borrowings included in our combined balance sheets. As part of the Corporate Reorganization prior to the closing of this offering, our borrowings under the RGHL Group Credit Agreement will be reallocated to RGHL Group and we will be legally released from the RGHL Group Credit Agreement and from the guarantees of all the senior notes issued by entities of RGHL Group. See “Unaudited Pro Forma Combined Financial Data” for additional information.</w:t>
      </w:r>
    </w:p>
    <w:p>
      <w:pPr>
        <w:spacing w:after="0" w:line="99" w:lineRule="exact"/>
        <w:rPr>
          <w:sz w:val="20"/>
          <w:szCs w:val="20"/>
          <w:color w:val="auto"/>
        </w:rPr>
      </w:pPr>
    </w:p>
    <w:p>
      <w:pPr>
        <w:ind w:left="640" w:right="80" w:hanging="436"/>
        <w:spacing w:after="0" w:line="25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Historically, we have reported significant interest bearing related party receivables and interest bearing long-term related party borrowings. These balances arose as part of wider RGHL Group cash management activities. In June 2019, the outstanding related party receivables were used to reduce the balances outstanding under various related party borrowings and accrued interest payable. As part of the Corporate Reorganization prior to the closing of this offering, any remaining balances will be settled. See “Unaudited Pro Forma Combined Financial Data” for additional information.</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640" w:hanging="436"/>
        <w:spacing w:after="0" w:line="259"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On January 1, 2019, we adopted ASC 842, using the modified retrospective method without the recasting of comparative periods’ financial information, as permitted by the transition guidance. Results as of and for the nine months ended September 30, 2019 are presented under ASC 842, while prior period amounts are not adjusted and continue to be reported under ASC 840, </w:t>
      </w:r>
      <w:r>
        <w:rPr>
          <w:rFonts w:ascii="Arial" w:cs="Arial" w:eastAsia="Arial" w:hAnsi="Arial"/>
          <w:sz w:val="18"/>
          <w:szCs w:val="18"/>
          <w:i w:val="1"/>
          <w:iCs w:val="1"/>
          <w:color w:val="auto"/>
        </w:rPr>
        <w:t>Leases</w:t>
      </w:r>
      <w:r>
        <w:rPr>
          <w:rFonts w:ascii="Arial" w:cs="Arial" w:eastAsia="Arial" w:hAnsi="Arial"/>
          <w:sz w:val="18"/>
          <w:szCs w:val="18"/>
          <w:color w:val="auto"/>
        </w:rPr>
        <w:t>, the accounting standard in effect for those periods presented.</w:t>
      </w:r>
    </w:p>
    <w:p>
      <w:pPr>
        <w:spacing w:after="0" w:line="1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240" w:top="459" w:right="6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PRO FORMA COMBINED FINANCIAL DATA</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following unaudited pro forma combined financial data of RCP consist of unaudited pro forma combined statements of income for the nine months ended September 30, 2019 and for the year ended December 31, 2018, and an unaudited pro forma combined balance sheet as of September 30, 2019. The unaudited pro forma combined financial statements and the related notes should be read in conjunction with “Use of Proceeds,” “Capitalization,” “Selected Historical Combined Financial Data,” “Management’s Discussion and Analysis of Financial Condition and Results of Operations,” “Certain Relationships and Related Party Transactions,” and our audited and unaudited combined financial statements and the related notes included elsewhere in this prospectus.</w:t>
      </w:r>
    </w:p>
    <w:p>
      <w:pPr>
        <w:spacing w:after="0" w:line="193" w:lineRule="exact"/>
        <w:rPr>
          <w:sz w:val="20"/>
          <w:szCs w:val="20"/>
          <w:color w:val="auto"/>
        </w:rPr>
      </w:pPr>
    </w:p>
    <w:p>
      <w:pPr>
        <w:ind w:left="200" w:right="480" w:firstLine="441"/>
        <w:spacing w:after="0" w:line="286" w:lineRule="auto"/>
        <w:rPr>
          <w:sz w:val="20"/>
          <w:szCs w:val="20"/>
          <w:color w:val="auto"/>
        </w:rPr>
      </w:pPr>
      <w:r>
        <w:rPr>
          <w:rFonts w:ascii="Arial" w:cs="Arial" w:eastAsia="Arial" w:hAnsi="Arial"/>
          <w:sz w:val="17"/>
          <w:szCs w:val="17"/>
          <w:color w:val="auto"/>
        </w:rPr>
        <w:t>The unaudited pro forma combined statements of income give effect to the Pro Forma Transactions (as defined below) as if the Pro Forma Transactions had occurred or had become effective as of January 1, 2018. The unaudited pro forma combined balance sheet gives effect to the Pro Forma Transactions as if the Pro Forma Transactions had occurred or had become effective as of September 30, 2019.</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pro forma adjustments are based upon available information and certain assumptions that we believe are reasonable. The unaudited pro forma combined financial statements are for illustrative and informational purposes only and do not purport to represent what our financial position or results of operations would have been if we had operated as a stand-alone public company during the periods presented or if the transactions described below had actually occurred as of the dates indicated, nor does it project our financial position at any future date or our results of operations or cash flows for any future period.</w:t>
      </w:r>
    </w:p>
    <w:p>
      <w:pPr>
        <w:spacing w:after="0" w:line="188"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The unaudited pro forma statements of income and balance sheet have been derived from the historical annual combined and interim condensed combined financial statements included elsewhere in this prospectus. Our unaudited pro forma combined financial statements have been prepared to reflect adjustments to our historical combined financial statements that are: (1) directly attributable to the Pro Forma Transactions, (2) factually supportable and (3) with respect to the unaudited pro forma combined statements of income, expected to have a continuing impact on our results. The</w:t>
      </w:r>
    </w:p>
    <w:p>
      <w:pPr>
        <w:spacing w:after="0" w:line="2" w:lineRule="exact"/>
        <w:rPr>
          <w:sz w:val="20"/>
          <w:szCs w:val="20"/>
          <w:color w:val="auto"/>
        </w:rPr>
      </w:pPr>
    </w:p>
    <w:p>
      <w:pPr>
        <w:ind w:left="200"/>
        <w:spacing w:after="0"/>
        <w:tabs>
          <w:tab w:leader="none" w:pos="9480" w:val="left"/>
        </w:tabs>
        <w:rPr>
          <w:sz w:val="20"/>
          <w:szCs w:val="20"/>
          <w:color w:val="auto"/>
        </w:rPr>
      </w:pPr>
      <w:r>
        <w:rPr>
          <w:rFonts w:ascii="Arial" w:cs="Arial" w:eastAsia="Arial" w:hAnsi="Arial"/>
          <w:sz w:val="18"/>
          <w:szCs w:val="18"/>
          <w:color w:val="auto"/>
        </w:rPr>
        <w:t>unaudited pro forma combined financial statements do not include non-recurring items, including, but not limited to</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combined financial statements give effect to the following pro forma transactions (“Pro Forma Transactions”):</w:t>
      </w:r>
    </w:p>
    <w:p>
      <w:pPr>
        <w:spacing w:after="0" w:line="142" w:lineRule="exact"/>
        <w:rPr>
          <w:sz w:val="20"/>
          <w:szCs w:val="20"/>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entity reorganization of our companies so that they are all under a single parent entity, RCPI;</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execution of the RGHL TSA and the Rank TSA;</w:t>
      </w:r>
    </w:p>
    <w:p>
      <w:pPr>
        <w:spacing w:after="0" w:line="130"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execution of plant and asset transfer agreements (and related support agreements), manufacturing and supply agreements and certain other agreements to be entered into with RGHL Group that document and/or amend ongoing commercial arrangements that we have with RGHL Group;</w:t>
      </w:r>
    </w:p>
    <w:p>
      <w:pPr>
        <w:spacing w:after="0" w:line="86"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reallocation to an entity within RGHL Group of our portion of outstanding borrowings under the RGHL Group Credit Agreement and our subsequent legal release from the RGHL Group Credit Agreement and the legal release from the guarantees of all the senior notes issued by entities of RGHL Group;</w:t>
      </w:r>
    </w:p>
    <w:p>
      <w:pPr>
        <w:spacing w:after="0" w:line="86"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repurchase, for cash, of the U.S. trade receivables that we previously sold through RGHL Group’s securitization facility that are outstanding as of the time of the repurchase of such trade receivables;</w:t>
      </w:r>
    </w:p>
    <w:p>
      <w:pPr>
        <w:spacing w:after="0" w:line="75"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reclassification of RGHL Group’s historical net investment in us to additional paid-in capital and the establishment of share capital consisting of shares of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consummation of the Stock Split;</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hanging="436"/>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entry into the New Credit Facilities and the incurrence of debt under the New Term Loan Facility and the IPO Settlement Facility;</w:t>
      </w:r>
    </w:p>
    <w:p>
      <w:pPr>
        <w:spacing w:after="0" w:line="142" w:lineRule="exact"/>
        <w:rPr>
          <w:rFonts w:ascii="Arial" w:cs="Arial" w:eastAsia="Arial" w:hAnsi="Arial"/>
          <w:sz w:val="17"/>
          <w:szCs w:val="17"/>
          <w:color w:val="auto"/>
        </w:rPr>
      </w:pPr>
    </w:p>
    <w:p>
      <w:pPr>
        <w:ind w:left="1180" w:right="8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repayment of related party borrowings owing to RGHL Group and the capitalization, as additional paid-in capital without the issuance of any additional shares, of the remaining balance of the related party borrowings owing to RGHL Group;</w:t>
      </w:r>
    </w:p>
    <w:p>
      <w:pPr>
        <w:spacing w:after="0" w:line="75" w:lineRule="exact"/>
        <w:rPr>
          <w:rFonts w:ascii="Arial" w:cs="Arial" w:eastAsia="Arial" w:hAnsi="Arial"/>
          <w:sz w:val="18"/>
          <w:szCs w:val="18"/>
          <w:color w:val="auto"/>
        </w:rPr>
      </w:pPr>
    </w:p>
    <w:p>
      <w:pPr>
        <w:ind w:left="1180" w:right="400" w:hanging="436"/>
        <w:spacing w:after="0" w:line="308" w:lineRule="auto"/>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reorganization of our equity holdings such that RGHL Group will transfer its interests in us to PFL and, as such, ownership of our common stock will be held outside the group of entities that will represent RGHL Group after this offering;</w:t>
      </w:r>
    </w:p>
    <w:p>
      <w:pPr>
        <w:sectPr>
          <w:pgSz w:w="11900" w:h="16838" w:orient="portrait"/>
          <w:cols w:equalWidth="0" w:num="1">
            <w:col w:w="11200"/>
          </w:cols>
          <w:pgMar w:left="240" w:top="459" w:right="459" w:bottom="1440" w:gutter="0" w:footer="0" w:header="0"/>
        </w:sectPr>
      </w:pPr>
    </w:p>
    <w:p>
      <w:pPr>
        <w:spacing w:after="0" w:line="5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sale by us of shares of common stock in this offering, at an assumed initial public offering price of $ per share, the midpoint of the range set forth on the cover page of this prospectus, representing the receipt of $ in net proceeds after deducting the underwriting discount and the estimated offering expenses payable by us, as well as the application of such net proceeds as described in “Use of Proceeds”; and</w:t>
      </w:r>
    </w:p>
    <w:p>
      <w:pPr>
        <w:spacing w:after="0" w:line="92" w:lineRule="exact"/>
        <w:rPr>
          <w:sz w:val="20"/>
          <w:szCs w:val="20"/>
          <w:color w:val="auto"/>
        </w:rPr>
      </w:pPr>
    </w:p>
    <w:p>
      <w:pPr>
        <w:sectPr>
          <w:pgSz w:w="11900" w:h="16838" w:orient="portrait"/>
          <w:cols w:equalWidth="0" w:num="2">
            <w:col w:w="800" w:space="380"/>
            <w:col w:w="10020"/>
          </w:cols>
          <w:pgMar w:left="240" w:top="459" w:right="459" w:bottom="1440" w:gutter="0" w:footer="0" w:header="0"/>
          <w:type w:val="continuous"/>
        </w:sect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of the IPO Grants.</w:t>
      </w:r>
    </w:p>
    <w:p>
      <w:pPr>
        <w:spacing w:after="0" w:line="22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RGHL Group currently provides certain corporate services to us, and costs associated with these functions have been allocated to us. These allocations include costs related to corporate services, such as executive management, information technology, legal, finance and accounting, human resources, risk management, tax, treasury and other services. Following the closing of this offering, we expect RGHL Group and Rank to continue to provide many of these services on a fee basis under the RGHL TSA and Rank TSA described in “Certain Relationships and Related Party Transactions —Transactions to be Entered into in Connection with this Offering.”</w:t>
      </w:r>
    </w:p>
    <w:p>
      <w:pPr>
        <w:spacing w:after="0" w:line="18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Upon the closing of this offering, we will assume responsibility for all of our stand-alone public company costs, including the costs of certain corporate services currently provided by RGHL Group. We estimate that our annual selling, general and administrative expenses for these costs will be</w:t>
      </w:r>
    </w:p>
    <w:p>
      <w:pPr>
        <w:ind w:left="200" w:right="320"/>
        <w:spacing w:after="0" w:line="265" w:lineRule="auto"/>
        <w:rPr>
          <w:sz w:val="20"/>
          <w:szCs w:val="20"/>
          <w:color w:val="auto"/>
        </w:rPr>
      </w:pPr>
      <w:r>
        <w:rPr>
          <w:rFonts w:ascii="Arial" w:cs="Arial" w:eastAsia="Arial" w:hAnsi="Arial"/>
          <w:sz w:val="17"/>
          <w:szCs w:val="17"/>
          <w:color w:val="auto"/>
        </w:rPr>
        <w:t>an aggregate of $ million to $ million (representing $ million to $ million of annual costs incremental to the 2018 allocated costs referred to above). In addition, as we transition away from the corporate services currently provided by RGHL Group, we believe that we may incur</w:t>
      </w:r>
    </w:p>
    <w:p>
      <w:pPr>
        <w:ind w:left="700" w:hanging="49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million to $</w:t>
      </w:r>
      <w:r>
        <w:rPr>
          <w:rFonts w:ascii="Arial" w:cs="Arial" w:eastAsia="Arial" w:hAnsi="Arial"/>
          <w:sz w:val="16"/>
          <w:szCs w:val="16"/>
          <w:color w:val="auto"/>
        </w:rPr>
        <w:t>million of non-recurring transitional costs in both 2019 and 2020 to establish our own stand-alone corporate functions.</w:t>
      </w:r>
    </w:p>
    <w:p>
      <w:pPr>
        <w:spacing w:after="0" w:line="21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addition, in connection with this offering, we will establish the 2020 incentive award plan for purposes of granting stock-based compensation awards to certain of our senior management, to our non-executive directors and to certain employees, to incentivize their performance and align their interests with ours. The maximum number of shares of common stock initially available for issuance under the equity incentive awards granted pursuant</w:t>
      </w:r>
    </w:p>
    <w:p>
      <w:pPr>
        <w:ind w:left="200" w:right="220"/>
        <w:spacing w:after="0" w:line="277" w:lineRule="auto"/>
        <w:rPr>
          <w:sz w:val="20"/>
          <w:szCs w:val="20"/>
          <w:color w:val="auto"/>
        </w:rPr>
      </w:pPr>
      <w:r>
        <w:rPr>
          <w:rFonts w:ascii="Arial" w:cs="Arial" w:eastAsia="Arial" w:hAnsi="Arial"/>
          <w:sz w:val="17"/>
          <w:szCs w:val="17"/>
          <w:color w:val="auto"/>
        </w:rPr>
        <w:t>to the plan is expected to equal shares. Upon the granting of stock-based compensation awards, and the vesting of such awards, we will recognize stock-based compensation expense. Historically, we have not granted any stock-based compensation awards. No adjustment has been made for these future equity incentive plan awards because the timing and amount of the awards to be granted is uncertain.</w:t>
      </w:r>
    </w:p>
    <w:p>
      <w:pPr>
        <w:spacing w:after="0" w:line="173"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unaudited pro forma combined statements of income also exclude certain non-recurring items that we expect to incur in connection with the Corporate Reorganization and this offering, including costs related to legal, accounting and other professional fees. We have incurred costs totaling</w:t>
      </w:r>
    </w:p>
    <w:p>
      <w:pPr>
        <w:ind w:left="200"/>
        <w:spacing w:after="0"/>
        <w:tabs>
          <w:tab w:leader="none" w:pos="68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for transaction-related services during the nine months ended September 30, 2019 and we estimate an additional $</w:t>
      </w:r>
      <w:r>
        <w:rPr>
          <w:sz w:val="20"/>
          <w:szCs w:val="20"/>
          <w:color w:val="auto"/>
        </w:rPr>
        <w:tab/>
      </w:r>
      <w:r>
        <w:rPr>
          <w:rFonts w:ascii="Arial" w:cs="Arial" w:eastAsia="Arial" w:hAnsi="Arial"/>
          <w:sz w:val="17"/>
          <w:szCs w:val="17"/>
          <w:color w:val="auto"/>
        </w:rPr>
        <w:t>million to</w:t>
      </w:r>
    </w:p>
    <w:p>
      <w:pPr>
        <w:spacing w:after="0" w:line="9" w:lineRule="exact"/>
        <w:rPr>
          <w:sz w:val="20"/>
          <w:szCs w:val="20"/>
          <w:color w:val="auto"/>
        </w:rPr>
      </w:pPr>
    </w:p>
    <w:p>
      <w:pPr>
        <w:ind w:left="660" w:hanging="45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million will be incurred in 2019. We expect all of these costs to be expensed, as incurred.</w:t>
      </w:r>
    </w:p>
    <w:p>
      <w:pPr>
        <w:spacing w:after="0" w:line="21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Due to the scope and complexity of these activities, the amount of these estimated costs could increase or decrease materially and the timing of when they are incurred could change.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above incremental stand-alone public company costs and non-recurring transition costs are not reflected in our unaudited pro forma combined financial statements as such amounts are estimates and not factually supportable.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Balance Sheet As of 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7"/>
              </w:rPr>
              <w:t>Historical</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Arial" w:cs="Arial" w:eastAsia="Arial" w:hAnsi="Arial"/>
                <w:sz w:val="14"/>
                <w:szCs w:val="14"/>
                <w:b w:val="1"/>
                <w:bCs w:val="1"/>
                <w:color w:val="auto"/>
                <w:w w:val="99"/>
              </w:rPr>
              <w:t>Pro Forma</w:t>
            </w:r>
          </w:p>
        </w:tc>
        <w:tc>
          <w:tcPr>
            <w:tcW w:w="4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3"/>
              </w:rPr>
              <w:t>Combined</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1340" w:type="dxa"/>
            <w:vAlign w:val="bottom"/>
            <w:gridSpan w:val="3"/>
          </w:tcPr>
          <w:p>
            <w:pPr>
              <w:ind w:lef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86"/>
              </w:rPr>
              <w:t>Cash and cash equivalents</w:t>
            </w:r>
          </w:p>
        </w:tc>
        <w:tc>
          <w:tcPr>
            <w:tcW w:w="5800" w:type="dxa"/>
            <w:vAlign w:val="bottom"/>
          </w:tcPr>
          <w:p>
            <w:pPr>
              <w:spacing w:after="0"/>
              <w:rPr>
                <w:sz w:val="18"/>
                <w:szCs w:val="18"/>
                <w:color w:val="auto"/>
              </w:rPr>
            </w:pPr>
          </w:p>
        </w:tc>
        <w:tc>
          <w:tcPr>
            <w:tcW w:w="700" w:type="dxa"/>
            <w:vAlign w:val="bottom"/>
            <w:gridSpan w:val="2"/>
          </w:tcPr>
          <w:p>
            <w:pPr>
              <w:jc w:val="right"/>
              <w:ind w:right="527"/>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5"/>
              </w:rPr>
              <w:t>Accounts receivable, net</w:t>
            </w: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Other receivables</w:t>
            </w: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2"/>
              </w:rPr>
              <w:t>Related party receivables</w:t>
            </w: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Inventories</w:t>
            </w: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Operating lease right of use assets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2"/>
              </w:rPr>
              <w:t>Related party receivables</w:t>
            </w: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Other assets</w:t>
            </w: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Related party payables</w:t>
            </w: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party accrued interest payable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related party borrowings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Income taxes payable</w:t>
            </w: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current liabilities</w:t>
            </w: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related party borrowings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postretirement benefit obligation</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Other liabilities</w:t>
            </w: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spacing w:after="0"/>
              <w:rPr>
                <w:sz w:val="20"/>
                <w:szCs w:val="20"/>
                <w:color w:val="auto"/>
              </w:rPr>
            </w:pPr>
            <w:r>
              <w:rPr>
                <w:rFonts w:ascii="Arial" w:cs="Arial" w:eastAsia="Arial" w:hAnsi="Arial"/>
                <w:sz w:val="18"/>
                <w:szCs w:val="18"/>
                <w:color w:val="auto"/>
              </w:rPr>
              <w:t>Net Parent (deficit)</w:t>
            </w: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Stockholders’ Equity:</w:t>
            </w: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58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8"/>
              </w:rPr>
              <w:t>shares authorized, $0.001 par value; shares issued and outstanding on a</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basis</w:t>
            </w:r>
          </w:p>
        </w:tc>
        <w:tc>
          <w:tcPr>
            <w:tcW w:w="5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6"/>
              </w:rPr>
              <w:t>Additional paid-in capital</w:t>
            </w: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(deficit)</w:t>
            </w: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Unaudited Pro Forma Combined Financial Data.</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Statement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Income For the Nine Months Ended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Historical</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4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Combined</w:t>
            </w:r>
          </w:p>
        </w:tc>
        <w:tc>
          <w:tcPr>
            <w:tcW w:w="104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1"/>
              </w:rPr>
              <w:t>Adjustments</w:t>
            </w:r>
          </w:p>
        </w:tc>
        <w:tc>
          <w:tcPr>
            <w:tcW w:w="1340" w:type="dxa"/>
            <w:vAlign w:val="bottom"/>
            <w:gridSpan w:val="3"/>
          </w:tcPr>
          <w:p>
            <w:pPr>
              <w:ind w:lef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4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sales</w:t>
            </w:r>
          </w:p>
        </w:tc>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expense, net</w:t>
            </w:r>
          </w:p>
        </w:tc>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 expense</w:t>
            </w:r>
          </w:p>
        </w:tc>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Basic and Diluted:</w:t>
            </w: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Diluted</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Basic</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00" w:type="dxa"/>
            <w:vAlign w:val="bottom"/>
            <w:gridSpan w:val="2"/>
          </w:tcPr>
          <w:p>
            <w:pPr>
              <w:jc w:val="right"/>
              <w:ind w:right="487"/>
              <w:spacing w:after="0"/>
              <w:rPr>
                <w:sz w:val="20"/>
                <w:szCs w:val="20"/>
                <w:color w:val="auto"/>
              </w:rPr>
            </w:pPr>
            <w:r>
              <w:rPr>
                <w:rFonts w:ascii="Arial" w:cs="Arial" w:eastAsia="Arial" w:hAnsi="Arial"/>
                <w:sz w:val="18"/>
                <w:szCs w:val="18"/>
                <w:b w:val="1"/>
                <w:bCs w:val="1"/>
                <w:color w:val="auto"/>
                <w:w w:val="97"/>
              </w:rPr>
              <w:t>Unaudited Pro Forma Combined Statement of</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400" w:type="dxa"/>
            <w:vAlign w:val="bottom"/>
            <w:gridSpan w:val="2"/>
          </w:tcPr>
          <w:p>
            <w:pPr>
              <w:jc w:val="right"/>
              <w:ind w:right="467"/>
              <w:spacing w:after="0"/>
              <w:rPr>
                <w:sz w:val="20"/>
                <w:szCs w:val="20"/>
                <w:color w:val="auto"/>
              </w:rPr>
            </w:pPr>
            <w:r>
              <w:rPr>
                <w:rFonts w:ascii="Arial" w:cs="Arial" w:eastAsia="Arial" w:hAnsi="Arial"/>
                <w:sz w:val="18"/>
                <w:szCs w:val="18"/>
                <w:b w:val="1"/>
                <w:bCs w:val="1"/>
                <w:color w:val="auto"/>
                <w:w w:val="95"/>
              </w:rPr>
              <w:t>Income For the Year Ended December 31, 2018</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0" w:type="dxa"/>
            <w:vAlign w:val="bottom"/>
            <w:gridSpan w:val="2"/>
          </w:tcPr>
          <w:p>
            <w:pPr>
              <w:jc w:val="right"/>
              <w:ind w:right="447"/>
              <w:spacing w:after="0"/>
              <w:rPr>
                <w:sz w:val="20"/>
                <w:szCs w:val="20"/>
                <w:color w:val="auto"/>
              </w:rPr>
            </w:pPr>
            <w:r>
              <w:rPr>
                <w:rFonts w:ascii="Arial" w:cs="Arial" w:eastAsia="Arial" w:hAnsi="Arial"/>
                <w:sz w:val="18"/>
                <w:szCs w:val="18"/>
                <w:b w:val="1"/>
                <w:bCs w:val="1"/>
                <w:color w:val="auto"/>
                <w:w w:val="97"/>
              </w:rPr>
              <w:t>(In Millions, Except Share and Per Share Data)</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Historical</w:t>
            </w: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4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200" w:type="dxa"/>
            <w:vAlign w:val="bottom"/>
            <w:gridSpan w:val="5"/>
          </w:tcPr>
          <w:p>
            <w:pPr>
              <w:jc w:val="center"/>
              <w:ind w:left="3913"/>
              <w:spacing w:after="0"/>
              <w:rPr>
                <w:sz w:val="20"/>
                <w:szCs w:val="20"/>
                <w:color w:val="auto"/>
              </w:rPr>
            </w:pPr>
            <w:r>
              <w:rPr>
                <w:rFonts w:ascii="Arial" w:cs="Arial" w:eastAsia="Arial" w:hAnsi="Arial"/>
                <w:sz w:val="14"/>
                <w:szCs w:val="14"/>
                <w:b w:val="1"/>
                <w:bCs w:val="1"/>
                <w:color w:val="auto"/>
                <w:w w:val="93"/>
              </w:rPr>
              <w:t>Combined</w:t>
            </w:r>
          </w:p>
        </w:tc>
        <w:tc>
          <w:tcPr>
            <w:tcW w:w="104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1"/>
              </w:rPr>
              <w:t>Adjustments</w:t>
            </w:r>
          </w:p>
        </w:tc>
        <w:tc>
          <w:tcPr>
            <w:tcW w:w="1340" w:type="dxa"/>
            <w:vAlign w:val="bottom"/>
            <w:gridSpan w:val="3"/>
          </w:tcPr>
          <w:p>
            <w:pPr>
              <w:ind w:lef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4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sales</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(2,310)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4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expense, net</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Basic and Diluted:</w:t>
            </w: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Diluted</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Basic</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Unaudited Pro Forma Combined Financial Data.</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Unaudited Pro Forma Combined Financial Data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Existing External Indebtedness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An adjustment to the unaudited pro forma combined balance sheet as of September 30, 2019 has been made to reflect (i) the reallocation of $ million of long-term debt that is outstanding under the RGHL Group Credit Agreement, and our subsequent release as a borrower and guarantor of this facility, in exchange for an increase in our related party borrowings, and (ii) the subsequent settlement of the related party borrowings.</w:t>
      </w:r>
    </w:p>
    <w:p>
      <w:pPr>
        <w:spacing w:after="0" w:line="14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An adjustment to the unaudited pro forma combined statements of income for the nine months ended September 30, 2019 and the year ended December 31, 2018 has been made to eliminate the interest expense related to our existing external indebtedness, as if it had been reallocated on January 1,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Existing Related Party Borrowings</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An adjustment to the unaudited pro forma combined balance sheet as of September 30, 2019 has been made to reflect the settlement of $ million of related party borrowings owing to RGHL Group as part of the Corporate Reorganization.</w:t>
      </w:r>
    </w:p>
    <w:p>
      <w:pPr>
        <w:spacing w:after="0" w:line="17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An adjustment to the unaudited pro forma combined statements of income for the nine months ended September 30, 2019 and the year ended December 31, 2018 has been made to eliminate the interest expense related to our existing related party indebtedness, as if it had been settled on January 1, 2018.</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(c) New Credit Facilities</w:t>
            </w: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380" w:type="dxa"/>
            <w:vAlign w:val="bottom"/>
            <w:gridSpan w:val="5"/>
          </w:tcPr>
          <w:p>
            <w:pPr>
              <w:ind w:left="440"/>
              <w:spacing w:after="0"/>
              <w:rPr>
                <w:sz w:val="20"/>
                <w:szCs w:val="20"/>
                <w:color w:val="auto"/>
              </w:rPr>
            </w:pPr>
            <w:r>
              <w:rPr>
                <w:rFonts w:ascii="Arial" w:cs="Arial" w:eastAsia="Arial" w:hAnsi="Arial"/>
                <w:sz w:val="18"/>
                <w:szCs w:val="18"/>
                <w:color w:val="auto"/>
                <w:w w:val="98"/>
              </w:rPr>
              <w:t>Prior to the closing of this offering, we will enter into the New Credit Facilities and incur $</w:t>
            </w:r>
          </w:p>
        </w:tc>
        <w:tc>
          <w:tcPr>
            <w:tcW w:w="240" w:type="dxa"/>
            <w:vAlign w:val="bottom"/>
          </w:tcPr>
          <w:p>
            <w:pPr>
              <w:spacing w:after="0"/>
              <w:rPr>
                <w:sz w:val="24"/>
                <w:szCs w:val="24"/>
                <w:color w:val="auto"/>
              </w:rPr>
            </w:pPr>
          </w:p>
        </w:tc>
        <w:tc>
          <w:tcPr>
            <w:tcW w:w="316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million of deferred financing transaction</w:t>
            </w:r>
          </w:p>
        </w:tc>
        <w:tc>
          <w:tcPr>
            <w:tcW w:w="0" w:type="dxa"/>
            <w:vAlign w:val="bottom"/>
          </w:tcPr>
          <w:p>
            <w:pPr>
              <w:spacing w:after="0"/>
              <w:rPr>
                <w:sz w:val="1"/>
                <w:szCs w:val="1"/>
                <w:color w:val="auto"/>
              </w:rPr>
            </w:pPr>
          </w:p>
        </w:tc>
      </w:tr>
      <w:tr>
        <w:trPr>
          <w:trHeight w:val="216"/>
        </w:trPr>
        <w:tc>
          <w:tcPr>
            <w:tcW w:w="6240" w:type="dxa"/>
            <w:vAlign w:val="bottom"/>
            <w:gridSpan w:val="4"/>
          </w:tcPr>
          <w:p>
            <w:pPr>
              <w:spacing w:after="0"/>
              <w:rPr>
                <w:sz w:val="20"/>
                <w:szCs w:val="20"/>
                <w:color w:val="auto"/>
              </w:rPr>
            </w:pPr>
            <w:r>
              <w:rPr>
                <w:rFonts w:ascii="Arial" w:cs="Arial" w:eastAsia="Arial" w:hAnsi="Arial"/>
                <w:sz w:val="18"/>
                <w:szCs w:val="18"/>
                <w:color w:val="auto"/>
                <w:w w:val="95"/>
              </w:rPr>
              <w:t>costs. In connection with our entrance into the New Credit Facilities we will incur $</w:t>
            </w:r>
          </w:p>
        </w:tc>
        <w:tc>
          <w:tcPr>
            <w:tcW w:w="4540" w:type="dxa"/>
            <w:vAlign w:val="bottom"/>
            <w:gridSpan w:val="6"/>
          </w:tcPr>
          <w:p>
            <w:pPr>
              <w:jc w:val="right"/>
              <w:ind w:right="100"/>
              <w:spacing w:after="0"/>
              <w:rPr>
                <w:sz w:val="20"/>
                <w:szCs w:val="20"/>
                <w:color w:val="auto"/>
              </w:rPr>
            </w:pPr>
            <w:r>
              <w:rPr>
                <w:rFonts w:ascii="Arial" w:cs="Arial" w:eastAsia="Arial" w:hAnsi="Arial"/>
                <w:sz w:val="18"/>
                <w:szCs w:val="18"/>
                <w:color w:val="auto"/>
                <w:w w:val="96"/>
              </w:rPr>
              <w:t>million of indebtedness under the New Term Loan Facility</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resulting in interest expense of $</w:t>
            </w:r>
          </w:p>
        </w:tc>
        <w:tc>
          <w:tcPr>
            <w:tcW w:w="4680" w:type="dxa"/>
            <w:vAlign w:val="bottom"/>
            <w:gridSpan w:val="3"/>
          </w:tcPr>
          <w:p>
            <w:pPr>
              <w:ind w:left="60"/>
              <w:spacing w:after="0"/>
              <w:rPr>
                <w:sz w:val="20"/>
                <w:szCs w:val="20"/>
                <w:color w:val="auto"/>
              </w:rPr>
            </w:pPr>
            <w:r>
              <w:rPr>
                <w:rFonts w:ascii="Arial" w:cs="Arial" w:eastAsia="Arial" w:hAnsi="Arial"/>
                <w:sz w:val="18"/>
                <w:szCs w:val="18"/>
                <w:color w:val="auto"/>
                <w:w w:val="94"/>
              </w:rPr>
              <w:t>million annually (based on an assumed constant LIBO rate of</w:t>
            </w:r>
          </w:p>
        </w:tc>
        <w:tc>
          <w:tcPr>
            <w:tcW w:w="3400" w:type="dxa"/>
            <w:vAlign w:val="bottom"/>
            <w:gridSpan w:val="5"/>
          </w:tcPr>
          <w:p>
            <w:pPr>
              <w:jc w:val="right"/>
              <w:ind w:right="660"/>
              <w:spacing w:after="0"/>
              <w:rPr>
                <w:sz w:val="20"/>
                <w:szCs w:val="20"/>
                <w:color w:val="auto"/>
              </w:rPr>
            </w:pPr>
            <w:r>
              <w:rPr>
                <w:rFonts w:ascii="Arial" w:cs="Arial" w:eastAsia="Arial" w:hAnsi="Arial"/>
                <w:sz w:val="18"/>
                <w:szCs w:val="18"/>
                <w:color w:val="auto"/>
                <w:w w:val="99"/>
              </w:rPr>
              <w:t>% for the period), including annual</w:t>
            </w: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w w:val="95"/>
              </w:rPr>
              <w:t>amortization of deferred financing transaction costs of $</w:t>
            </w:r>
          </w:p>
        </w:tc>
        <w:tc>
          <w:tcPr>
            <w:tcW w:w="6540" w:type="dxa"/>
            <w:vAlign w:val="bottom"/>
            <w:gridSpan w:val="7"/>
          </w:tcPr>
          <w:p>
            <w:pPr>
              <w:jc w:val="right"/>
              <w:ind w:right="60"/>
              <w:spacing w:after="0"/>
              <w:rPr>
                <w:sz w:val="20"/>
                <w:szCs w:val="20"/>
                <w:color w:val="auto"/>
              </w:rPr>
            </w:pPr>
            <w:r>
              <w:rPr>
                <w:rFonts w:ascii="Arial" w:cs="Arial" w:eastAsia="Arial" w:hAnsi="Arial"/>
                <w:sz w:val="18"/>
                <w:szCs w:val="18"/>
                <w:color w:val="auto"/>
                <w:w w:val="92"/>
              </w:rPr>
              <w:t>million. A change of 12.5 basis points to the assumed annual weighted average interest</w:t>
            </w:r>
          </w:p>
        </w:tc>
        <w:tc>
          <w:tcPr>
            <w:tcW w:w="0" w:type="dxa"/>
            <w:vAlign w:val="bottom"/>
          </w:tcPr>
          <w:p>
            <w:pPr>
              <w:spacing w:after="0"/>
              <w:rPr>
                <w:sz w:val="1"/>
                <w:szCs w:val="1"/>
                <w:color w:val="auto"/>
              </w:rPr>
            </w:pPr>
          </w:p>
        </w:tc>
      </w:tr>
      <w:tr>
        <w:trPr>
          <w:trHeight w:val="216"/>
        </w:trPr>
        <w:tc>
          <w:tcPr>
            <w:tcW w:w="6240" w:type="dxa"/>
            <w:vAlign w:val="bottom"/>
            <w:gridSpan w:val="4"/>
          </w:tcPr>
          <w:p>
            <w:pPr>
              <w:spacing w:after="0"/>
              <w:rPr>
                <w:sz w:val="20"/>
                <w:szCs w:val="20"/>
                <w:color w:val="auto"/>
              </w:rPr>
            </w:pPr>
            <w:r>
              <w:rPr>
                <w:rFonts w:ascii="Arial" w:cs="Arial" w:eastAsia="Arial" w:hAnsi="Arial"/>
                <w:sz w:val="18"/>
                <w:szCs w:val="18"/>
                <w:color w:val="auto"/>
                <w:w w:val="95"/>
              </w:rPr>
              <w:t>rate of the New Term Loan Facility would change pro forma interest expense by $</w:t>
            </w:r>
          </w:p>
        </w:tc>
        <w:tc>
          <w:tcPr>
            <w:tcW w:w="4540" w:type="dxa"/>
            <w:vAlign w:val="bottom"/>
            <w:gridSpan w:val="6"/>
          </w:tcPr>
          <w:p>
            <w:pPr>
              <w:jc w:val="right"/>
              <w:spacing w:after="0"/>
              <w:rPr>
                <w:sz w:val="20"/>
                <w:szCs w:val="20"/>
                <w:color w:val="auto"/>
              </w:rPr>
            </w:pPr>
            <w:r>
              <w:rPr>
                <w:rFonts w:ascii="Arial" w:cs="Arial" w:eastAsia="Arial" w:hAnsi="Arial"/>
                <w:sz w:val="18"/>
                <w:szCs w:val="18"/>
                <w:color w:val="auto"/>
                <w:w w:val="94"/>
              </w:rPr>
              <w:t>million annually. We expect the New Revolving Facility to be</w:t>
            </w:r>
          </w:p>
        </w:tc>
        <w:tc>
          <w:tcPr>
            <w:tcW w:w="0" w:type="dxa"/>
            <w:vAlign w:val="bottom"/>
          </w:tcPr>
          <w:p>
            <w:pPr>
              <w:spacing w:after="0"/>
              <w:rPr>
                <w:sz w:val="1"/>
                <w:szCs w:val="1"/>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undrawn upon closing of this offering.</w:t>
            </w: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40" w:type="dxa"/>
            <w:vAlign w:val="bottom"/>
            <w:gridSpan w:val="4"/>
          </w:tcPr>
          <w:p>
            <w:pPr>
              <w:ind w:left="440"/>
              <w:spacing w:after="0"/>
              <w:rPr>
                <w:sz w:val="20"/>
                <w:szCs w:val="20"/>
                <w:color w:val="auto"/>
              </w:rPr>
            </w:pPr>
            <w:r>
              <w:rPr>
                <w:rFonts w:ascii="Arial" w:cs="Arial" w:eastAsia="Arial" w:hAnsi="Arial"/>
                <w:sz w:val="18"/>
                <w:szCs w:val="18"/>
                <w:color w:val="auto"/>
                <w:w w:val="90"/>
              </w:rPr>
              <w:t>The following table presents the pro forma adjustments to interest expense, net: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740" w:type="dxa"/>
            <w:vAlign w:val="bottom"/>
          </w:tcPr>
          <w:p>
            <w:pPr>
              <w:spacing w:after="0"/>
              <w:rPr>
                <w:sz w:val="24"/>
                <w:szCs w:val="2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680" w:type="dxa"/>
            <w:vAlign w:val="bottom"/>
            <w:gridSpan w:val="2"/>
          </w:tcPr>
          <w:p>
            <w:pPr>
              <w:jc w:val="center"/>
              <w:ind w:left="622"/>
              <w:spacing w:after="0"/>
              <w:rPr>
                <w:sz w:val="20"/>
                <w:szCs w:val="20"/>
                <w:color w:val="auto"/>
              </w:rPr>
            </w:pPr>
            <w:r>
              <w:rPr>
                <w:rFonts w:ascii="Arial" w:cs="Arial" w:eastAsia="Arial" w:hAnsi="Arial"/>
                <w:sz w:val="14"/>
                <w:szCs w:val="14"/>
                <w:b w:val="1"/>
                <w:bCs w:val="1"/>
                <w:color w:val="auto"/>
                <w:w w:val="96"/>
              </w:rPr>
              <w:t>2019</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84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5"/>
              </w:rPr>
              <w:t>New Term Loan Facility</w:t>
            </w:r>
          </w:p>
        </w:tc>
        <w:tc>
          <w:tcPr>
            <w:tcW w:w="1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CCEEFF"/>
            </w:tcBorders>
            <w:gridSpan w:val="2"/>
            <w:shd w:val="clear" w:color="auto" w:fill="CCEEFF"/>
          </w:tcPr>
          <w:p>
            <w:pPr>
              <w:jc w:val="right"/>
              <w:ind w:right="76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RGHL Group Credit Agreement—U.S. Term Loan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Interest expense, related party borrowings</w:t>
            </w:r>
          </w:p>
        </w:tc>
        <w:tc>
          <w:tcPr>
            <w:tcW w:w="2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Interest income, related party receivables</w:t>
            </w: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3"/>
          </w:tcPr>
          <w:p>
            <w:pPr>
              <w:ind w:left="880"/>
              <w:spacing w:after="0"/>
              <w:rPr>
                <w:sz w:val="20"/>
                <w:szCs w:val="20"/>
                <w:color w:val="auto"/>
              </w:rPr>
            </w:pPr>
            <w:r>
              <w:rPr>
                <w:rFonts w:ascii="Arial" w:cs="Arial" w:eastAsia="Arial" w:hAnsi="Arial"/>
                <w:sz w:val="18"/>
                <w:szCs w:val="18"/>
                <w:color w:val="auto"/>
              </w:rPr>
              <w:t>Pro forma interest expense, net</w:t>
            </w:r>
          </w:p>
        </w:tc>
        <w:tc>
          <w:tcPr>
            <w:tcW w:w="2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8"/>
                <w:szCs w:val="18"/>
                <w:color w:val="auto"/>
                <w:w w:val="79"/>
              </w:rPr>
              <w: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0" w:type="dxa"/>
            <w:vAlign w:val="bottom"/>
            <w:vMerge w:val="restart"/>
          </w:tcPr>
          <w:p>
            <w:pPr>
              <w:jc w:val="right"/>
              <w:ind w:right="430"/>
              <w:spacing w:after="0"/>
              <w:rPr>
                <w:sz w:val="20"/>
                <w:szCs w:val="20"/>
                <w:color w:val="auto"/>
              </w:rPr>
            </w:pPr>
            <w:r>
              <w:rPr>
                <w:rFonts w:ascii="Arial" w:cs="Arial" w:eastAsia="Arial" w:hAnsi="Arial"/>
                <w:sz w:val="18"/>
                <w:szCs w:val="18"/>
                <w:color w:val="auto"/>
              </w:rPr>
              <w:t>58</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pro forma adjustments to long-term debt:</w:t>
      </w:r>
    </w:p>
    <w:p>
      <w:pPr>
        <w:spacing w:after="0" w:line="244"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(In millions)</w:t>
      </w:r>
    </w:p>
    <w:p>
      <w:pPr>
        <w:spacing w:after="0" w:line="10"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60" w:type="dxa"/>
            <w:vAlign w:val="bottom"/>
            <w:tcBorders>
              <w:top w:val="single" w:sz="8" w:color="CCEEFF"/>
            </w:tcBorders>
            <w:gridSpan w:val="4"/>
            <w:shd w:val="clear" w:color="auto" w:fill="CCEEFF"/>
          </w:tcPr>
          <w:p>
            <w:pPr>
              <w:spacing w:after="0" w:line="182" w:lineRule="exact"/>
              <w:rPr>
                <w:sz w:val="20"/>
                <w:szCs w:val="20"/>
                <w:color w:val="auto"/>
              </w:rPr>
            </w:pPr>
            <w:r>
              <w:rPr>
                <w:rFonts w:ascii="Arial" w:cs="Arial" w:eastAsia="Arial" w:hAnsi="Arial"/>
                <w:sz w:val="18"/>
                <w:szCs w:val="18"/>
                <w:color w:val="auto"/>
                <w:w w:val="93"/>
              </w:rPr>
              <w:t>Reallocation of outstanding debt incurred under the RGHL Group Credit Agreement, comprising the current portion of $</w:t>
            </w:r>
          </w:p>
        </w:tc>
        <w:tc>
          <w:tcPr>
            <w:tcW w:w="134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million</w:t>
            </w: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and the non-current portion of $</w:t>
            </w: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w:t>
            </w:r>
          </w:p>
        </w:tc>
        <w:tc>
          <w:tcPr>
            <w:tcW w:w="2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660" w:type="dxa"/>
            <w:vAlign w:val="bottom"/>
            <w:gridSpan w:val="3"/>
          </w:tcPr>
          <w:p>
            <w:pPr>
              <w:spacing w:after="0" w:line="201" w:lineRule="exact"/>
              <w:rPr>
                <w:sz w:val="20"/>
                <w:szCs w:val="20"/>
                <w:color w:val="auto"/>
              </w:rPr>
            </w:pPr>
            <w:r>
              <w:rPr>
                <w:rFonts w:ascii="Arial" w:cs="Arial" w:eastAsia="Arial" w:hAnsi="Arial"/>
                <w:sz w:val="18"/>
                <w:szCs w:val="18"/>
                <w:color w:val="auto"/>
                <w:w w:val="92"/>
              </w:rPr>
              <w:t>Receipt of proceeds under the New Term Loan Facility, presented as a current portion of $</w:t>
            </w:r>
          </w:p>
        </w:tc>
        <w:tc>
          <w:tcPr>
            <w:tcW w:w="436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million and a non-current portion of</w:t>
            </w:r>
          </w:p>
        </w:tc>
      </w:tr>
      <w:tr>
        <w:trPr>
          <w:trHeight w:val="230"/>
        </w:trPr>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0" w:type="dxa"/>
            <w:vAlign w:val="bottom"/>
          </w:tcPr>
          <w:p>
            <w:pPr>
              <w:ind w:left="180"/>
              <w:spacing w:after="0"/>
              <w:rPr>
                <w:sz w:val="20"/>
                <w:szCs w:val="20"/>
                <w:color w:val="auto"/>
              </w:rPr>
            </w:pPr>
            <w:r>
              <w:rPr>
                <w:rFonts w:ascii="Arial" w:cs="Arial" w:eastAsia="Arial" w:hAnsi="Arial"/>
                <w:sz w:val="18"/>
                <w:szCs w:val="18"/>
                <w:color w:val="auto"/>
              </w:rPr>
              <w:t>million</w:t>
            </w:r>
          </w:p>
        </w:tc>
        <w:tc>
          <w:tcPr>
            <w:tcW w:w="4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200"/>
        <w:spacing w:after="0"/>
        <w:rPr>
          <w:sz w:val="20"/>
          <w:szCs w:val="20"/>
          <w:color w:val="auto"/>
        </w:rPr>
      </w:pPr>
      <w:r>
        <w:rPr>
          <w:rFonts w:ascii="Arial" w:cs="Arial" w:eastAsia="Arial" w:hAnsi="Arial"/>
          <w:sz w:val="18"/>
          <w:szCs w:val="18"/>
          <w:color w:val="auto"/>
        </w:rPr>
        <w:t>Deferred financing transaction costs associated with the New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pro forma adjustments to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6617335</wp:posOffset>
            </wp:positionH>
            <wp:positionV relativeFrom="paragraph">
              <wp:posOffset>14605</wp:posOffset>
            </wp:positionV>
            <wp:extent cx="4800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31750</wp:posOffset>
            </wp:positionV>
            <wp:extent cx="4800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Cash and Cash Equivalents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pro forma adjustments to cash and cash equivalents:</w:t>
      </w:r>
    </w:p>
    <w:p>
      <w:pPr>
        <w:spacing w:after="0" w:line="244" w:lineRule="exact"/>
        <w:rPr>
          <w:sz w:val="20"/>
          <w:szCs w:val="20"/>
          <w:color w:val="auto"/>
        </w:rPr>
      </w:pPr>
    </w:p>
    <w:p>
      <w:pPr>
        <w:ind w:left="99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643191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640"/>
        <w:spacing w:after="0"/>
        <w:tabs>
          <w:tab w:leader="none" w:pos="3740" w:val="left"/>
        </w:tabs>
        <w:rPr>
          <w:sz w:val="20"/>
          <w:szCs w:val="20"/>
          <w:color w:val="auto"/>
        </w:rPr>
      </w:pPr>
      <w:r>
        <w:rPr>
          <w:rFonts w:ascii="Arial" w:cs="Arial" w:eastAsia="Arial" w:hAnsi="Arial"/>
          <w:sz w:val="18"/>
          <w:szCs w:val="18"/>
          <w:color w:val="auto"/>
        </w:rPr>
        <w:t>Cash received from the issuance of</w:t>
      </w:r>
      <w:r>
        <w:rPr>
          <w:sz w:val="20"/>
          <w:szCs w:val="20"/>
          <w:color w:val="auto"/>
        </w:rPr>
        <w:tab/>
      </w:r>
      <w:r>
        <w:rPr>
          <w:rFonts w:ascii="Arial" w:cs="Arial" w:eastAsia="Arial" w:hAnsi="Arial"/>
          <w:sz w:val="16"/>
          <w:szCs w:val="16"/>
          <w:color w:val="auto"/>
        </w:rPr>
        <w:t>million shares</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received from proceeds of the New Term Loan Facility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paid for costs associated with issuance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43191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Cash paid for the New Credit Facilities financing transaction costs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paid to settle related party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43191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Cash paid to repurchase U.S. trade receivables sold through RGHL Group’s securitization facility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paid for plant and asset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43191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31915" cy="146050"/>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pro forma adjustments to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14605</wp:posOffset>
            </wp:positionV>
            <wp:extent cx="4800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31750</wp:posOffset>
            </wp:positionV>
            <wp:extent cx="4800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Separation Adjustments and Operational Changes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connection with this offering, we have entered, or will enter, into agreements that document and/or amend ongoing commercial arrangements we have with RGHL Group and Rank. These agreements will become effective no later than the closing of this offering.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Supply, warehousing and transportation agreements</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We will enter into supply agreements with Pactiv to continue selling products to and buying products from Pactiv. These agreements will expire on December 31, 2024. We will also enter into a warehousing agreement with Pactiv to continue storing many of our finished goods in warehouses operated by Pactiv. The term of services under the warehousing agreement will vary by location and will not exceed three years. We will also enter into a transportation services agreement with Pactiv under which Pactiv will continue to provide us with certain transportation services. The term of the</w:t>
      </w:r>
    </w:p>
    <w:p>
      <w:pPr>
        <w:spacing w:after="0" w:line="2" w:lineRule="exact"/>
        <w:rPr>
          <w:sz w:val="20"/>
          <w:szCs w:val="20"/>
          <w:color w:val="auto"/>
        </w:rPr>
      </w:pPr>
    </w:p>
    <w:p>
      <w:pPr>
        <w:ind w:left="200"/>
        <w:spacing w:after="0"/>
        <w:tabs>
          <w:tab w:leader="none" w:pos="3480" w:val="left"/>
          <w:tab w:leader="none" w:pos="6900" w:val="left"/>
        </w:tabs>
        <w:rPr>
          <w:sz w:val="20"/>
          <w:szCs w:val="20"/>
          <w:color w:val="auto"/>
        </w:rPr>
      </w:pPr>
      <w:r>
        <w:rPr>
          <w:rFonts w:ascii="Arial" w:cs="Arial" w:eastAsia="Arial" w:hAnsi="Arial"/>
          <w:sz w:val="18"/>
          <w:szCs w:val="18"/>
          <w:color w:val="auto"/>
        </w:rPr>
        <w:t>transportation services agreement is for</w:t>
      </w:r>
      <w:r>
        <w:rPr>
          <w:sz w:val="20"/>
          <w:szCs w:val="20"/>
          <w:color w:val="auto"/>
        </w:rPr>
        <w:tab/>
      </w:r>
      <w:r>
        <w:rPr>
          <w:rFonts w:ascii="Arial" w:cs="Arial" w:eastAsia="Arial" w:hAnsi="Arial"/>
          <w:sz w:val="18"/>
          <w:szCs w:val="18"/>
          <w:color w:val="auto"/>
        </w:rPr>
        <w:t>years, provided that we may terminate on</w:t>
      </w:r>
      <w:r>
        <w:rPr>
          <w:sz w:val="20"/>
          <w:szCs w:val="20"/>
          <w:color w:val="auto"/>
        </w:rPr>
        <w:tab/>
      </w:r>
      <w:r>
        <w:rPr>
          <w:rFonts w:ascii="Arial" w:cs="Arial" w:eastAsia="Arial" w:hAnsi="Arial"/>
          <w:sz w:val="16"/>
          <w:szCs w:val="16"/>
          <w:color w:val="auto"/>
        </w:rPr>
        <w:t>days’ notice.</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Plant and asset transfers</w:t>
      </w:r>
    </w:p>
    <w:p>
      <w:pPr>
        <w:spacing w:after="0" w:line="117"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The ownership or lease of certain plants, warehouses, equipment (including manufacturing lines), information technology assets, and inventory will be transferred to us from RGHL Group at net book value. Further, we will be transferring to RGHL Group certain equipment (including manufacturing lines) at net book value. The net effect of the agreements as reflected in the adjustments to the unaudited pro forma combined statements</w:t>
      </w:r>
    </w:p>
    <w:p>
      <w:pPr>
        <w:ind w:left="200" w:right="260"/>
        <w:spacing w:after="0" w:line="261" w:lineRule="auto"/>
        <w:rPr>
          <w:sz w:val="20"/>
          <w:szCs w:val="20"/>
          <w:color w:val="auto"/>
        </w:rPr>
      </w:pPr>
      <w:r>
        <w:rPr>
          <w:rFonts w:ascii="Arial" w:cs="Arial" w:eastAsia="Arial" w:hAnsi="Arial"/>
          <w:sz w:val="18"/>
          <w:szCs w:val="18"/>
          <w:color w:val="auto"/>
        </w:rPr>
        <w:t>of income was an increase in revenues of $ million and $ million and a decrease in cost of sales of $ million and $ million, for the nine months ended September 30, 2019 and the year ended December 31, 2018, respectively.</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Transition services agreements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connection with this offering, we will enter into the RGHL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for up to 24 months. These services will be consistent with administrative services provided to us by RGHL Group prior to this offering, and the charges will be at cost plus margin. In addition, under the RGHL TSA, we will provide certain services to RGHL Group, including human resources; compliance; and procurement consistent with services provided by us to RGHL Group prior to this offering, which will also be charged at cost plus margin and provided for a period of up to 24 months, and at each other’s request, certain tax, financial and other information will be provided to enable preparation of financial and tax reports of the respective parties and for other business purposes.</w:t>
      </w:r>
    </w:p>
    <w:p>
      <w:pPr>
        <w:spacing w:after="0" w:line="19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Also, in connection with this offering, we will enter into the Rank TSA whereby, upon our request, Rank will provide certain administrative services to us, including financial reporting and consulting, insurance procurement and human resources support, and related services for up to 24 months, to be charged at an agreed hourly rate. In addition, we will provide, at Rank’s request, certain historical tax and financial information to enable Rank to prepare certain of its tax and financial reports.</w:t>
      </w:r>
    </w:p>
    <w:p>
      <w:pPr>
        <w:sectPr>
          <w:pgSz w:w="11900" w:h="16838" w:orient="portrait"/>
          <w:cols w:equalWidth="0" w:num="1">
            <w:col w:w="11200"/>
          </w:cols>
          <w:pgMar w:left="240" w:top="459" w:right="459" w:bottom="1440" w:gutter="0" w:footer="0" w:header="0"/>
        </w:sectPr>
      </w:pP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net effect of these agreements as reflected in the adjustments to the unaudited pro forma combined statements of income was $ for the nine months ended September 30, 2019, and $ million for the year ended December 31, 2018.</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470" w:lineRule="exact"/>
        <w:rPr>
          <w:sz w:val="20"/>
          <w:szCs w:val="20"/>
          <w:color w:val="auto"/>
        </w:rPr>
      </w:pPr>
    </w:p>
    <w:p>
      <w:pPr>
        <w:sectPr>
          <w:pgSz w:w="11900" w:h="16838" w:orient="portrait"/>
          <w:cols w:equalWidth="0" w:num="2">
            <w:col w:w="10100" w:space="360"/>
            <w:col w:w="740"/>
          </w:cols>
          <w:pgMar w:left="240" w:top="459" w:right="459" w:bottom="1440" w:gutter="0" w:footer="0" w:header="0"/>
          <w:type w:val="continuous"/>
        </w:sectPr>
      </w:pP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Removal of historical related party management fee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part of RGHL Group, our historical combined statements of income include an allocation of RGHL Group’s related party management fee. For further information refer to Note 9—Other Expense, Net of our annual combined financial statements included elsewhere in this prospectus. The allocation of this expense will cease in conjunction with this offering. An adjustment has been made to the unaudited pro forma combined statements of income to remove the allocated expense of $ million and $ million for the nine months ended September 30, 2019, and the year ended December 31, 2018, respectively.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Release from RGHL Group securitization facility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Historically, we have sold substantially all of our U.S. trade receivables through RGHL Group’s securitization facility. This non-recourse factoring arrangement satisfied all of the conditions that result in the derecognition of our U.S. trade receivables. For further information refer to Note 2— Summary of Significant Accounting Policies of our annual combined financial statements included elsewhere in this prospectus. Prior to the closing of this offering, we will repurchase, for cash, the U.S. trade receivables that we previously sold through RGHL Group’s securitization facility that are outstanding as of the time of the repurchase of such trade receivables and end our participation in this facility. After the closing of this offering, we will collect our trade receivables in the ordinary course of business.</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 adjustment to the unaudited pro forma combined balance sheet as of September 30, 2019, has been made to reinstate the trade receivables as if the repurchase had occurred as of that date.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adjustment to the unaudited pro forma combined statements of income for the nine months ended September 30, 2019 and for the year ended December 31, 2018 has been made to eliminate (i) the loss recognized on the sale of trade receivables and (ii) the associated servicing income earned on the collection of these trade receivables on behalf of RGHL Group, as if participation in the RGHL Group securitization facility had ceased as of January 1, 2018.</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awards – IPO Grants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Adjustments to the unaudited pro forma combined balance sheet and the pro forma combined statements of income have been made related to the granting of restricted stock to certain of our employees at the closing of this offering. The IPO Grants are classified as a liability and will vest on a pro rata basis over a three-year period commencing from the closing date of this offering.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Transaction Costs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An adjustment of $ million has been made to the unaudited pro forma combined statement of income to eliminate the non-recurring transaction costs we have incurred in connection with this offering, which are not recorded as a reduction to net stockholders’ equity resulting from this offering. These costs primarily relate to accounting, legal and other professional fees, all of which were incurred during the nine months ended September 30, 2019.</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Resulting Tax Effects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Adjustments to the unaudited pro forma combined statements of income have been made to reflect the income tax expense for the items described in (a) through (f) above, calculated at the U.S. federal statutory rate of 21%.</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 Corporate Equity Structure</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This adjustment reflects the corporate ownership changes made resulting in our entities being owned in a single combined structure with one parent, and the replacement of RGHL Group’s investment in us with issued capital, comprised of the par value of our outstanding common stock plus additional paid-in capital. The issuance of common stock was at a par value of $0.001 per share.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the pro forma adjustments to Net Parent deficit, Accumulated other comprehensive income, Common stock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229"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As of</w:t>
      </w:r>
    </w:p>
    <w:p>
      <w:pPr>
        <w:jc w:val="center"/>
        <w:ind w:left="5100"/>
        <w:spacing w:after="0" w:line="236" w:lineRule="auto"/>
        <w:rPr>
          <w:sz w:val="20"/>
          <w:szCs w:val="20"/>
          <w:color w:val="auto"/>
        </w:rPr>
      </w:pPr>
      <w:r>
        <w:rPr>
          <w:rFonts w:ascii="Arial" w:cs="Arial" w:eastAsia="Arial" w:hAnsi="Arial"/>
          <w:sz w:val="14"/>
          <w:szCs w:val="14"/>
          <w:b w:val="1"/>
          <w:bCs w:val="1"/>
          <w:color w:val="auto"/>
        </w:rPr>
        <w:t>September 30, 2019</w:t>
      </w:r>
    </w:p>
    <w:p>
      <w:pPr>
        <w:spacing w:after="0" w:line="1" w:lineRule="exact"/>
        <w:rPr>
          <w:sz w:val="20"/>
          <w:szCs w:val="20"/>
          <w:color w:val="auto"/>
        </w:rPr>
      </w:pPr>
    </w:p>
    <w:tbl>
      <w:tblPr>
        <w:tblLayout w:type="fixed"/>
        <w:tblInd w:w="5780" w:type="dxa"/>
        <w:tblCellMar>
          <w:top w:w="0" w:type="dxa"/>
          <w:left w:w="0" w:type="dxa"/>
          <w:bottom w:w="0" w:type="dxa"/>
          <w:right w:w="0" w:type="dxa"/>
        </w:tblCellMar>
      </w:tblPr>
      <w:tr>
        <w:trPr>
          <w:trHeight w:val="119"/>
        </w:trPr>
        <w:tc>
          <w:tcPr>
            <w:tcW w:w="1380" w:type="dxa"/>
            <w:vAlign w:val="bottom"/>
            <w:tcBorders>
              <w:top w:val="single" w:sz="8" w:color="auto"/>
            </w:tcBorders>
          </w:tcPr>
          <w:p>
            <w:pPr>
              <w:jc w:val="center"/>
              <w:ind w:right="409"/>
              <w:spacing w:after="0" w:line="119" w:lineRule="exact"/>
              <w:rPr>
                <w:sz w:val="20"/>
                <w:szCs w:val="20"/>
                <w:color w:val="auto"/>
              </w:rPr>
            </w:pPr>
            <w:r>
              <w:rPr>
                <w:rFonts w:ascii="Arial" w:cs="Arial" w:eastAsia="Arial" w:hAnsi="Arial"/>
                <w:sz w:val="13"/>
                <w:szCs w:val="13"/>
                <w:b w:val="1"/>
                <w:bCs w:val="1"/>
                <w:color w:val="auto"/>
                <w:w w:val="98"/>
              </w:rPr>
              <w:t>Proceeds from</w:t>
            </w:r>
          </w:p>
        </w:tc>
        <w:tc>
          <w:tcPr>
            <w:tcW w:w="2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Conversion of Net</w:t>
            </w:r>
          </w:p>
        </w:tc>
        <w:tc>
          <w:tcPr>
            <w:tcW w:w="1500" w:type="dxa"/>
            <w:vAlign w:val="bottom"/>
            <w:tcBorders>
              <w:top w:val="single" w:sz="8" w:color="auto"/>
            </w:tcBorders>
            <w:vMerge w:val="restart"/>
          </w:tcPr>
          <w:p>
            <w:pPr>
              <w:jc w:val="center"/>
              <w:ind w:left="388"/>
              <w:spacing w:after="0"/>
              <w:rPr>
                <w:sz w:val="20"/>
                <w:szCs w:val="20"/>
                <w:color w:val="auto"/>
              </w:rPr>
            </w:pPr>
            <w:r>
              <w:rPr>
                <w:rFonts w:ascii="Arial" w:cs="Arial" w:eastAsia="Arial" w:hAnsi="Arial"/>
                <w:sz w:val="14"/>
                <w:szCs w:val="14"/>
                <w:b w:val="1"/>
                <w:bCs w:val="1"/>
                <w:color w:val="auto"/>
                <w:w w:val="93"/>
              </w:rPr>
              <w:t>Adjustments for</w:t>
            </w:r>
          </w:p>
        </w:tc>
        <w:tc>
          <w:tcPr>
            <w:tcW w:w="0" w:type="dxa"/>
            <w:vAlign w:val="bottom"/>
          </w:tcPr>
          <w:p>
            <w:pPr>
              <w:spacing w:after="0"/>
              <w:rPr>
                <w:sz w:val="1"/>
                <w:szCs w:val="1"/>
                <w:color w:val="auto"/>
              </w:rPr>
            </w:pPr>
          </w:p>
        </w:tc>
      </w:tr>
      <w:tr>
        <w:trPr>
          <w:trHeight w:val="149"/>
        </w:trPr>
        <w:tc>
          <w:tcPr>
            <w:tcW w:w="1380" w:type="dxa"/>
            <w:vAlign w:val="bottom"/>
          </w:tcPr>
          <w:p>
            <w:pPr>
              <w:jc w:val="center"/>
              <w:ind w:right="409"/>
              <w:spacing w:after="0" w:line="149" w:lineRule="exact"/>
              <w:rPr>
                <w:sz w:val="20"/>
                <w:szCs w:val="20"/>
                <w:color w:val="auto"/>
              </w:rPr>
            </w:pPr>
            <w:r>
              <w:rPr>
                <w:rFonts w:ascii="Arial" w:cs="Arial" w:eastAsia="Arial" w:hAnsi="Arial"/>
                <w:sz w:val="14"/>
                <w:szCs w:val="14"/>
                <w:b w:val="1"/>
                <w:bCs w:val="1"/>
                <w:color w:val="auto"/>
                <w:w w:val="95"/>
              </w:rPr>
              <w:t>initial public</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Parent deficit to</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jc w:val="center"/>
              <w:ind w:right="429"/>
              <w:spacing w:after="0" w:line="149" w:lineRule="exact"/>
              <w:rPr>
                <w:sz w:val="20"/>
                <w:szCs w:val="20"/>
                <w:color w:val="auto"/>
              </w:rPr>
            </w:pPr>
            <w:r>
              <w:rPr>
                <w:rFonts w:ascii="Arial" w:cs="Arial" w:eastAsia="Arial" w:hAnsi="Arial"/>
                <w:sz w:val="14"/>
                <w:szCs w:val="14"/>
                <w:b w:val="1"/>
                <w:bCs w:val="1"/>
                <w:color w:val="auto"/>
                <w:w w:val="90"/>
              </w:rPr>
              <w:t>offering / use</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additional paid-in</w:t>
            </w:r>
          </w:p>
        </w:tc>
        <w:tc>
          <w:tcPr>
            <w:tcW w:w="150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this offering and</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jc w:val="center"/>
              <w:ind w:right="409"/>
              <w:spacing w:after="0"/>
              <w:rPr>
                <w:sz w:val="20"/>
                <w:szCs w:val="20"/>
                <w:color w:val="auto"/>
              </w:rPr>
            </w:pPr>
            <w:r>
              <w:rPr>
                <w:rFonts w:ascii="Arial" w:cs="Arial" w:eastAsia="Arial" w:hAnsi="Arial"/>
                <w:sz w:val="14"/>
                <w:szCs w:val="14"/>
                <w:b w:val="1"/>
                <w:bCs w:val="1"/>
                <w:color w:val="auto"/>
                <w:w w:val="88"/>
              </w:rPr>
              <w:t>of proceeds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50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87"/>
              </w:rPr>
              <w:t>use of proceeds</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2080" w:type="dxa"/>
            <w:vAlign w:val="bottom"/>
          </w:tcPr>
          <w:p>
            <w:pPr>
              <w:ind w:left="720"/>
              <w:spacing w:after="0" w:line="144" w:lineRule="exact"/>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643191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Components of equity:</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Net Parent deficit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43191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3191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Accumulated other comprehensive income</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 Forma Earnings Per Share</w:t>
      </w:r>
    </w:p>
    <w:p>
      <w:pPr>
        <w:sectPr>
          <w:pgSz w:w="11900" w:h="16838" w:orient="portrait"/>
          <w:cols w:equalWidth="0" w:num="1">
            <w:col w:w="11160"/>
          </w:cols>
          <w:pgMar w:left="240" w:top="459" w:right="499" w:bottom="1440" w:gutter="0" w:footer="0" w:header="0"/>
        </w:sectPr>
      </w:pP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number of shares used to compute pro forma basic and diluted earnings per share is upon the closing of this offering of our common stock.</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which is the number of shares outstanding</w:t>
      </w:r>
    </w:p>
    <w:p>
      <w:pPr>
        <w:spacing w:after="0" w:line="396" w:lineRule="exact"/>
        <w:rPr>
          <w:sz w:val="20"/>
          <w:szCs w:val="20"/>
          <w:color w:val="auto"/>
        </w:rPr>
      </w:pPr>
    </w:p>
    <w:p>
      <w:pPr>
        <w:sectPr>
          <w:pgSz w:w="11900" w:h="16838" w:orient="portrait"/>
          <w:cols w:equalWidth="0" w:num="2">
            <w:col w:w="7020" w:space="720"/>
            <w:col w:w="3420"/>
          </w:cols>
          <w:pgMar w:left="240" w:top="459" w:right="499" w:bottom="1440" w:gutter="0" w:footer="0" w:header="0"/>
          <w:type w:val="continuous"/>
        </w:sectPr>
      </w:pPr>
    </w:p>
    <w:p>
      <w:pPr>
        <w:jc w:val="center"/>
        <w:ind w:right="-49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60"/>
          </w:cols>
          <w:pgMar w:left="240" w:top="459" w:right="4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our combined financial statements and the notes thereto and the unaudited pro forma combined financial data and notes thereto, each included elsewhere in this prospectus, as well as the information presented under “Selected Historical Combined Financial Data” and “Unaudited Pro Forma Combined Financial Data.” This discussion and analysis contains forward-looking statements. These forward-looking statements are subject to risk,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prospectus. See in particular “Special Note Regarding Forward–Looking Statements” and “Risk Factors.”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We believe the assumptions underlying the combined financial statements are reasonable. However, the combined financial statements included herein may not necessarily reflect our results of operations, financial position and cash flows in the future or what they would have been had we been a separate, stand-alone company during the periods presented.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8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ACV in 2018.</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manage our operations in four operating and reportable segments: Reynolds Cooking &amp; Baking, Hefty Waste &amp; Storage, Hefty Tableware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Presto Products:</w:t>
      </w:r>
    </w:p>
    <w:p>
      <w:pPr>
        <w:spacing w:after="0" w:line="116" w:lineRule="exact"/>
        <w:rPr>
          <w:sz w:val="20"/>
          <w:szCs w:val="20"/>
          <w:color w:val="auto"/>
        </w:rPr>
      </w:pPr>
    </w:p>
    <w:p>
      <w:pPr>
        <w:ind w:left="1180" w:right="60" w:hanging="436"/>
        <w:spacing w:after="0" w:line="312" w:lineRule="auto"/>
        <w:tabs>
          <w:tab w:leader="none" w:pos="11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Reynolds Cooking &amp; Baking</w:t>
      </w:r>
      <w:r>
        <w:rPr>
          <w:rFonts w:ascii="Arial" w:cs="Arial" w:eastAsia="Arial" w:hAnsi="Arial"/>
          <w:sz w:val="16"/>
          <w:szCs w:val="16"/>
          <w:color w:val="auto"/>
        </w:rPr>
        <w:t>: Through our Reynolds Cooking &amp; Baking segment, we produce branded and store brand foil, parchment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paper, disposable aluminum pans and slow cooker liners. Our branded products are sold under the Reynolds Wrap, Reynolds KITCHENS and E-Z Foil brands in the United States, the Diamond brand outside of North America and the ALCAN brand in Canada.</w:t>
      </w:r>
    </w:p>
    <w:p>
      <w:pPr>
        <w:spacing w:after="0" w:line="52" w:lineRule="exact"/>
        <w:rPr>
          <w:rFonts w:ascii="Arial" w:cs="Arial" w:eastAsia="Arial" w:hAnsi="Arial"/>
          <w:sz w:val="16"/>
          <w:szCs w:val="16"/>
          <w:color w:val="auto"/>
        </w:rPr>
      </w:pPr>
    </w:p>
    <w:p>
      <w:pPr>
        <w:ind w:left="1180" w:right="220" w:hanging="436"/>
        <w:spacing w:after="0" w:line="342" w:lineRule="auto"/>
        <w:tabs>
          <w:tab w:leader="none" w:pos="11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Hefty Waste &amp; Storage</w:t>
      </w:r>
      <w:r>
        <w:rPr>
          <w:rFonts w:ascii="Arial" w:cs="Arial" w:eastAsia="Arial" w:hAnsi="Arial"/>
          <w:sz w:val="16"/>
          <w:szCs w:val="16"/>
          <w:color w:val="auto"/>
        </w:rPr>
        <w:t>: Through our Hefty Waste &amp; Storage segment, we produce both branded and store brand trash and food storage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bags. Our products are sold under brand names such as Hefty Ultra Strong, Hefty Strong Trash Bags and Hefty Slider Bags.</w:t>
      </w:r>
    </w:p>
    <w:p>
      <w:pPr>
        <w:spacing w:after="0" w:line="29"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Hefty Tableware</w:t>
      </w:r>
      <w:r>
        <w:rPr>
          <w:rFonts w:ascii="Arial" w:cs="Arial" w:eastAsia="Arial" w:hAnsi="Arial"/>
          <w:sz w:val="18"/>
          <w:szCs w:val="18"/>
          <w:color w:val="auto"/>
        </w:rPr>
        <w:t>: Through our Hefty Tableware segment, we sell both branded and store brand disposable plates, bowls, platters, cups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cutlery. Our branded products, which include dishes and party cups, are sold under the Hefty brand.</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right="30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Presto Products: </w:t>
      </w:r>
      <w:r>
        <w:rPr>
          <w:rFonts w:ascii="Arial" w:cs="Arial" w:eastAsia="Arial" w:hAnsi="Arial"/>
          <w:sz w:val="18"/>
          <w:szCs w:val="18"/>
          <w:color w:val="auto"/>
        </w:rPr>
        <w:t>Through our Presto Products segment, we primarily sell store brand food storage bags, trash bags, disposable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containers and plastic wrap.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prospectus titled “Risk Factors.”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Consumer Demand for our Products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 We expect our household penetration to continue to increase with the underlying growth in the number of households in the United States and Canada, which is estimated to be approximately 1% from 2018 to 2023.</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also expect that consumers’ desire for convenience will continue to sustain demand for our products. Today’s consumers are focused on convenience, which extends into household products that improve ease of use and provide time savings, and they are willing to pay a higher price for innovative features and functionality. While advanced features are already prevalent in many of our products, we intend to continue investing in product development to accommodate the convenience-oriented lifestyles of today’s consumers, particularly through our Reyvolution initiatives.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Furthermore, while many consumers still prefer to purchase branded products, they are becoming increasingly comfortable purchasing store brand products across broader product categories. Branded products and store brand products accounted for 57% and 43% of our revenue, excluding business-to-business revenue, respectively, in the year ended December 31, 2018. Penetration of store brand products is growing at 0.9% per year across our categories in the aggregate, driven by retailer investment in quality and tiered product offerings. However, penetration and growth does vary by product category, with higher store brand growth and penetration in our disposable tableware than in our bakeware, storage and trash bag and foil product offerings.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 roles with our retail partners, we offer marketing and consumer shopping strategies, both in store and online, which expand usage occasions and stimulate consumption.</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Raw Material, Energy and Freight Price Fluctuations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business is impacted by fluctuations in the prices of the raw materials, energy and freight costs incurred in manufacturing and distributing our products as well as fluctuations in logistics costs related thereto.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freight and handling costs caused by reduced rail and trucking capacity. Sales contracts for our products typically do not contain pass-through mechanisms for raw material, energy and freight cost changes, but we adjust prices, where possible, in response to such price fluctuations.</w:t>
      </w:r>
    </w:p>
    <w:p>
      <w:pPr>
        <w:spacing w:after="0" w:line="189"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Resin prices have historically fluctuated with changes in the prices of crude oil and natural gas, as well as changes in refining capacity and the demand for other petroleum-based products. Aluminum prices have historically been volatile, as aluminum is a cyclical commodity with prices subject to global market factors. Raw material costs have also been impacted by governmental actions, such as tariffs and trade sanctions.</w:t>
      </w:r>
    </w:p>
    <w:p>
      <w:pPr>
        <w:spacing w:after="0" w:line="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use various strategies to manage our cost exposures on certain raw material purchases, and we use naturally established forecast cycles to influence the purchase of raw materials. In addition, from time to time we have entered into hedging agreements, including commodity derivative contracts, to hedge commodity prices primarily related to aluminum, diesel and benzene with the objective of obtaining more predictable costs for these commodities. The realized and unrealized gains or losses arising from derivative instruments are recognized in cost of sales.</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Furthermore, since we distribute our products and receive raw materials primarily by rail and truck, reduced availability of rail or trucking capacity and fluctuations in freight and handling costs have caused us to incur increased expenses in prior periods. Where applicable, we also adjust the prices of our products in response to fluctuations in production and distribution costs.</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Our operating results are also sensitive to energy-related cost movements, including those impacting both our manufacturing operations and transportation and utility costs.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Competitive Environment</w:t>
      </w:r>
    </w:p>
    <w:p>
      <w:pPr>
        <w:spacing w:after="0" w:line="11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“Business—Competition” for more detail on our competitors.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Reyvolution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intend to continually reinvent and optimize our business through Reyvolution—an all-encompassing way of thinking, planning and evaluating our operations to accelerate future growth through product innovation, process automation and cost reduction. Through this program, we have made significant investment focused on reinforcing our existing product portfolio with new and on-trend products, reducing costs to drive increased profitability and refining automation and our manufacturing base to increase efficiency. For the two year period ended December 31, 2018, the impact of Reyvolution was approximately $176 million of Adjusted EBITDA benefit. Of the total, $126 million was generated through cost savings across our businesses, with $50 million of Adjusted EBITDA being generated through revenue initiatives. While impacting our entire business, Reyvolution has been predominantly centered around: (i) growth and product innovation; (ii) operational cost reduction through automation and manufacturing process optimization initiatives; and (iii) materials cost reduction through strategic sourcing initiatives. The impact of Reyvolution has been instrumental in mitigating the cost increases we have incurred related to operational cost inflation (primarily labor and benefits), increased raw material costs (primarily resin and aluminum) and the market driven cost increases we have incurred in logistics.</w:t>
      </w:r>
    </w:p>
    <w:p>
      <w:pPr>
        <w:spacing w:after="0" w:line="17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Reyvolution is expected to continue to positively impact our business going forward, as we are focused on making significant investment across our business to drive revenue growth, market share increases and Adjusted EBITDA margin expansion. In fiscal year 2018, 21% of our revenue was generated from products that were less than three years old. We are also focused on increasing automation through Reyvolution and utilizing digital capabilities to improve our operational efficiency in our intelligent manufacturing facilities. As a result, we anticipate a temporary increase in capital expenditures in future years associated with these initiatives.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Sustainability</w:t>
      </w:r>
    </w:p>
    <w:p>
      <w:pPr>
        <w:spacing w:after="0" w:line="117"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Interest in environmental sustainability has increased over the past decade, and we expect that this may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For instance, we recently launched 75% Unbleached Compostable Parchment Paper and redesigned our Hefty party cups to reduce the plastic by 10% while maintaining strength. We intend to continue sustainability innovation to ensure that we are at the leading edge of recyclability, renewability and compostability in order to offer our customers environmentally sustainable choices.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expect that the trend of using eCommerce platforms to shop for household products will continue to affect our business due to the convenience of online ordering and subscription delivery. Overall, U.S. eCommerce revenues have grown at 14 to 15% per year since 2016, to 14% of retail sales in 2018, with growth expected to continue at a comparable rate over the next three years. We believe that our products are well-suited to sales through eCommerce channels, as they are shelf stable, inexpensive to ship due to most products being light in weight, and easy to transport. Additionally, the recurring purchase cycles for our products well position them to capitalize on continued growth of grocery pickup and subscription services.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Separation from RGHL Group</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historically operated as part of RGHL Group’s broader corporate organization rather than as a stand-alone public company. RGHL Group performed or supported various corporate services for us, including executive management, supply chain, information technology, legal, finance and accounting, human resources, risk management, tax, treasury and other services. In addition, we have sold products to, and purchased products from, RGHL Group. Historically, these transactions involving RGHL Group may not have always been consummated on terms equivalent to those in an arm’s-length transaction. Sales to RGHL Group of products that we manufacture have been reflected as related party net revenues in our combined financial statements. Certain related party transactions are settled in cash and are reflected as related party receivables and payables in our combined balance sheets. The remaining related party transactions with RGHL Group are settled by either non-cash capital contributions from RGHL Group to us or non-cash capital distributions from us. These related party transactions are included as part of RGHL Group’s net investment in our combined balance sheets. We also utilize manufacturing and warehousing facilities and resources managed by RGHL Group to conduct our business. The expenses associated with these transactions are included in cost of sales in our combined statements of income. We believe that the assumptions and methodologies underlying the allocation of these expenses from RGHL Group are reasonable. However, such allocations do not necessarily reflect what the results of operations and financial position would have been had we operated as a stand-alone public company during the periods presented.</w:t>
      </w:r>
    </w:p>
    <w:p>
      <w:pPr>
        <w:spacing w:after="0" w:line="16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In conjunction with our anticipated separation from RGHL Group, we will enter into the RGHL TSA whereby RGHL Group will continue to provide certain administrative services to us, including information</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technology services; accounting, treasury, financial reporting and transaction support; human resources; procurement; tax, legal and compliance related services; and other corporate services for up to 24 months. In addition, we will enter into the Rank TSA whereby, upon our request, Rank will provide certain administrative services to us, including financial reporting and consulting, insurance procurement and human resources support, and related services for up to 24 months. See “Certain Relationships and Related Party Transactions—Transactions to be Entered into in Connection with this Offering—Transition Services Agreements” for a description of these services. At the conclusion of these transitional arrangements, we will have to perform these services with internal resources or contract with third party providers. The previous arrangements we had with RGHL Group, as reflected in our combined financial statements included elsewhere in this prospectus, may be materially different from the arrangements that we have entered into, or will enter into, as part of our separation from RGHL Group.</w:t>
      </w:r>
    </w:p>
    <w:p>
      <w:pPr>
        <w:spacing w:after="0" w:line="179" w:lineRule="exact"/>
        <w:rPr>
          <w:sz w:val="20"/>
          <w:szCs w:val="20"/>
          <w:color w:val="auto"/>
        </w:rPr>
      </w:pPr>
    </w:p>
    <w:p>
      <w:pPr>
        <w:jc w:val="both"/>
        <w:ind w:left="200" w:right="40" w:firstLine="441"/>
        <w:spacing w:after="0" w:line="288" w:lineRule="auto"/>
        <w:rPr>
          <w:sz w:val="20"/>
          <w:szCs w:val="20"/>
          <w:color w:val="auto"/>
        </w:rPr>
      </w:pPr>
      <w:r>
        <w:rPr>
          <w:rFonts w:ascii="Arial" w:cs="Arial" w:eastAsia="Arial" w:hAnsi="Arial"/>
          <w:sz w:val="16"/>
          <w:szCs w:val="16"/>
          <w:color w:val="auto"/>
        </w:rPr>
        <w:t>Immediately prior to the closing of this offering, as part of the Corporate Reorganization, we will enter into the New Credit Facilities and portions of the related party borrowings owed to RGHL Group that are reflected on our combined balance sheets will be repaid. RGHL Group will contribute the remaining balance of related party borrowings owed by us to RGHL Group, if any, as a contribution of capital prior to the closing of this offering. In</w:t>
      </w:r>
    </w:p>
    <w:p>
      <w:pPr>
        <w:ind w:left="200" w:right="280"/>
        <w:spacing w:after="0" w:line="281" w:lineRule="auto"/>
        <w:rPr>
          <w:sz w:val="20"/>
          <w:szCs w:val="20"/>
          <w:color w:val="auto"/>
        </w:rPr>
      </w:pPr>
      <w:r>
        <w:rPr>
          <w:rFonts w:ascii="Arial" w:cs="Arial" w:eastAsia="Arial" w:hAnsi="Arial"/>
          <w:sz w:val="16"/>
          <w:szCs w:val="16"/>
          <w:color w:val="auto"/>
        </w:rPr>
        <w:t>addition, $ million of indebtedness that is outstanding under RGHL Group’s Credit Agreement will be reallocated and we will be released as a borrower and guarantor from such facilities and released as a guarantor of RGHL Group’s outstanding senior notes. As a result, on a pro forma basis,</w:t>
      </w:r>
    </w:p>
    <w:p>
      <w:pPr>
        <w:spacing w:after="0" w:line="1" w:lineRule="exact"/>
        <w:rPr>
          <w:sz w:val="20"/>
          <w:szCs w:val="20"/>
          <w:color w:val="auto"/>
        </w:rPr>
      </w:pPr>
    </w:p>
    <w:p>
      <w:pPr>
        <w:ind w:left="200"/>
        <w:spacing w:after="0"/>
        <w:tabs>
          <w:tab w:leader="none" w:pos="3160" w:val="left"/>
          <w:tab w:leader="none" w:pos="7220" w:val="left"/>
        </w:tabs>
        <w:rPr>
          <w:sz w:val="20"/>
          <w:szCs w:val="20"/>
          <w:color w:val="auto"/>
        </w:rPr>
      </w:pPr>
      <w:r>
        <w:rPr>
          <w:rFonts w:ascii="Arial" w:cs="Arial" w:eastAsia="Arial" w:hAnsi="Arial"/>
          <w:sz w:val="18"/>
          <w:szCs w:val="18"/>
          <w:color w:val="auto"/>
        </w:rPr>
        <w:t>our indebtedness will decrease by $</w:t>
      </w:r>
      <w:r>
        <w:rPr>
          <w:sz w:val="20"/>
          <w:szCs w:val="20"/>
          <w:color w:val="auto"/>
        </w:rPr>
        <w:tab/>
      </w:r>
      <w:r>
        <w:rPr>
          <w:rFonts w:ascii="Arial" w:cs="Arial" w:eastAsia="Arial" w:hAnsi="Arial"/>
          <w:sz w:val="18"/>
          <w:szCs w:val="18"/>
          <w:color w:val="auto"/>
        </w:rPr>
        <w:t>million and our interest expense will decrease by $</w:t>
      </w:r>
      <w:r>
        <w:rPr>
          <w:sz w:val="20"/>
          <w:szCs w:val="20"/>
          <w:color w:val="auto"/>
        </w:rPr>
        <w:tab/>
      </w:r>
      <w:r>
        <w:rPr>
          <w:rFonts w:ascii="Arial" w:cs="Arial" w:eastAsia="Arial" w:hAnsi="Arial"/>
          <w:sz w:val="16"/>
          <w:szCs w:val="16"/>
          <w:color w:val="auto"/>
        </w:rPr>
        <w:t>million for the year ended December 31, 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Post-Offering Public Company Expenses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188"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addition, in connection with this offering, we intend to establish the 2020 incentive award plan for purposes of granting stock-based compensation awards to certain of our senior management, to our non-executive directors and to certain employees, to incentivize their performance and align their interests with ours. The maximum number of shares of common stock initially available for issuance under the equity incentive awards</w:t>
      </w:r>
    </w:p>
    <w:p>
      <w:pPr>
        <w:ind w:left="200"/>
        <w:spacing w:after="0"/>
        <w:tabs>
          <w:tab w:leader="none" w:pos="4480" w:val="left"/>
        </w:tabs>
        <w:rPr>
          <w:sz w:val="20"/>
          <w:szCs w:val="20"/>
          <w:color w:val="auto"/>
        </w:rPr>
      </w:pPr>
      <w:r>
        <w:rPr>
          <w:rFonts w:ascii="Arial" w:cs="Arial" w:eastAsia="Arial" w:hAnsi="Arial"/>
          <w:sz w:val="18"/>
          <w:szCs w:val="18"/>
          <w:color w:val="auto"/>
        </w:rPr>
        <w:t>granted pursuant to the plan is expected to equal</w:t>
      </w:r>
      <w:r>
        <w:rPr>
          <w:sz w:val="20"/>
          <w:szCs w:val="20"/>
          <w:color w:val="auto"/>
        </w:rPr>
        <w:tab/>
      </w:r>
      <w:r>
        <w:rPr>
          <w:rFonts w:ascii="Arial" w:cs="Arial" w:eastAsia="Arial" w:hAnsi="Arial"/>
          <w:sz w:val="15"/>
          <w:szCs w:val="15"/>
          <w:color w:val="auto"/>
        </w:rPr>
        <w:t>shares. In addition, restricted shares are expected to be issued pursuant to the IPO Grants.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Upon the granting of stock-based compensation awards, and the vesting of such awards, we will recognize stock-based compensation expense.</w:t>
      </w:r>
    </w:p>
    <w:p>
      <w:pPr>
        <w:spacing w:after="0" w:line="21" w:lineRule="exact"/>
        <w:rPr>
          <w:sz w:val="20"/>
          <w:szCs w:val="20"/>
          <w:color w:val="auto"/>
        </w:rPr>
      </w:pPr>
    </w:p>
    <w:p>
      <w:pPr>
        <w:ind w:left="200" w:right="980"/>
        <w:spacing w:after="0" w:line="261" w:lineRule="auto"/>
        <w:rPr>
          <w:sz w:val="20"/>
          <w:szCs w:val="20"/>
          <w:color w:val="auto"/>
        </w:rPr>
      </w:pPr>
      <w:r>
        <w:rPr>
          <w:rFonts w:ascii="Arial" w:cs="Arial" w:eastAsia="Arial" w:hAnsi="Arial"/>
          <w:sz w:val="18"/>
          <w:szCs w:val="18"/>
          <w:color w:val="auto"/>
        </w:rPr>
        <w:t>Accordingly, we expect to recognize a stock compensation charge of approximately $ million in the quarter in which this offering is consummated. Historically, we have not granted any stock-based compensation awards.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the Combined Statements of Income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revenues are derived primarily from the sale of our products to third parties, net of any sales incentives. Sales incentives include discounts, allowances and trade promotions. Revenue is recognized when control over products transfers to our customers, which generally occurs upon delivery or shipment of the products.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Related Party Net Revenues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Related party net revenues are derived from the sale of our products to RGHL Group. Our related party revenues are recognized primarily in our Reynolds Cooking &amp; Baking segment.</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Cost of sales consists primarily of the cost of materials, packaging, labor and overhead associated with our manufacturing operations. Also included within cost of sales are the freight and logistics-related costs of delivering our products to our customers.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Selling, general and administrative expenses consist primarily of general and administrative costs associated with all of our non-manufacturing personnel and advertising costs. The general and administrative costs include wages, benefits, travel expenses, legal fees, R&amp;D costs and any professional fees or consulting services. Advertising costs include programs to support new and existing product lines. Our selling, general and administrative expenses include amounts that are allocated to us for services provided by RGHL Group, including, but not limited to, general corporate expenses related to group wide functions such as executive management, finance, legal, tax and information technology. For further information, refer to Note 1– Description of Business and Basis of Presentation in our annual combined financial statements included elsewhere in this prospectus.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Other expense, net includes the factoring discount on the sale of our U.S. trade receivables through RGHL Group’s securitization facility and the allocated related party management fee.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Non-Operating Expense, Net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Non-operating expense, net includes the non-service cost component of net periodic postretirement costs and the defined benefit plan settlement loss that was recognized during fiscal year 2016.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Interest expense, net consists primarily of interest on external debt and related party borrowings, net of interest income primarily on related party receivables. In conjunction with the Corporate Reorganization and this offering, these historical items of interest expense and interest income will be replaced with interest expense associated with the New Credit Facilities.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Income tax (expense) benefit consists of an estimate of federal, state and foreign income taxes based on enacted tax rates, as adjusted for allowable credits, deductions and uncertain tax positions. During the periods presented, our U.S. operations were included in a consolidated U.S. federal return as well as certain state and local tax returns filed by RGHL Group. The income tax (expense) benefit has been calculated on a separate return basis. In the future, as a stand-alone entity, we will file tax returns on our own behalf and our effective tax rate and deferred taxes may be different from those in the historical periods.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addition to financial measures determined in accordance with GAAP, we make use of the non-GAAP financial measures of Adjusted EBITDA and Adjusted Free Cash Flow in evaluating our past results and future prospects.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Adjusted EBITDA is defined as net income calculated in accordance with GAAP, plus the sum of income tax expense, net interest expense, depreciation and amortization and further adjusted to exclude unrealized gains</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and losses on derivatives, costs associated with rationalizing operations and administrative functions, factoring discounts, defined benefit plan settlement losses, amortization of actuarial gains, operational process engineering related consultancy costs and the allocated related party management fee.</w:t>
      </w:r>
    </w:p>
    <w:p>
      <w:pPr>
        <w:spacing w:after="0" w:line="124"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We present Adjusted EBITDA because it is a key measure used by our management team to evaluate our operating performance, generate future operating plans and make strategic decisions. Accordingly, we believe that Adjusted EBITDA provides useful information to investors and others in understanding and evaluating our operating results in the same manner as our management team and board of directors. In addition, our chief operating decision maker uses Adjusted EBITDA of each reportable segment to evaluate the operating performance of such segments.</w:t>
      </w:r>
    </w:p>
    <w:p>
      <w:pPr>
        <w:spacing w:after="0" w:line="15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is a reconciliation of our net income, the most directly comparable GAAP financial measure, to Adjusted EBITDA for each of the periods indicated:</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6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income—GAAP</w:t>
            </w:r>
          </w:p>
        </w:tc>
        <w:tc>
          <w:tcPr>
            <w:tcW w:w="21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(84)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Factoring discount</w:t>
            </w:r>
            <w:r>
              <w:rPr>
                <w:rFonts w:ascii="Arial" w:cs="Arial" w:eastAsia="Arial" w:hAnsi="Arial"/>
                <w:sz w:val="15"/>
                <w:szCs w:val="15"/>
                <w:color w:val="auto"/>
              </w:rPr>
              <w:t>(1)</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Allocated related party management fee</w:t>
            </w:r>
            <w:r>
              <w:rPr>
                <w:rFonts w:ascii="Arial" w:cs="Arial" w:eastAsia="Arial" w:hAnsi="Arial"/>
                <w:sz w:val="15"/>
                <w:szCs w:val="15"/>
                <w:color w:val="auto"/>
              </w:rPr>
              <w:t>(2)</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on derivatives</w:t>
            </w:r>
            <w:r>
              <w:rPr>
                <w:rFonts w:ascii="Arial" w:cs="Arial" w:eastAsia="Arial" w:hAnsi="Arial"/>
                <w:sz w:val="15"/>
                <w:szCs w:val="15"/>
                <w:color w:val="auto"/>
              </w:rPr>
              <w:t>(3)</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Business rationalization costs</w:t>
            </w:r>
            <w:r>
              <w:rPr>
                <w:rFonts w:ascii="Arial" w:cs="Arial" w:eastAsia="Arial" w:hAnsi="Arial"/>
                <w:sz w:val="15"/>
                <w:szCs w:val="15"/>
                <w:color w:val="auto"/>
              </w:rPr>
              <w:t>(4)</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 settlement loss</w:t>
            </w:r>
            <w:r>
              <w:rPr>
                <w:rFonts w:ascii="Arial" w:cs="Arial" w:eastAsia="Arial" w:hAnsi="Arial"/>
                <w:sz w:val="15"/>
                <w:szCs w:val="15"/>
                <w:color w:val="auto"/>
              </w:rPr>
              <w:t>(5)</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(6)</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21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647</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656</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780" w:hanging="436"/>
        <w:spacing w:after="0" w:line="291"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Reflects the loss on sale that we incur when we sell our U.S. trade receivables through RGHL Group’s securitization facility. For further information, refer to Note 9—Other Expense, Net in our annual combined financial statements included elsewhere in this prospectus.</w:t>
      </w:r>
    </w:p>
    <w:p>
      <w:pPr>
        <w:ind w:left="640" w:right="200" w:hanging="436"/>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our allocation, from RGHL Group, of a management fee that is charged by Rank to RGHL Group. We will not incur any portion of this management fee after closing of this offering. For further information, refer to Note 9—Other Expense, Net in our annual combined financial statements included elsewhere in this prospectus.</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 For further information, refer to Note 7—Financial Instruments in our annual combined financial statements included elsewhere in this prospectus.</w:t>
      </w: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primarily employee termination costs associated with rationalizing our operations in Canada.</w:t>
      </w:r>
    </w:p>
    <w:p>
      <w:pPr>
        <w:spacing w:after="0" w:line="9"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settlement loss recognized on merging our defined benefit plan into a plan sponsored by RGHL Group. For further information, refer to Note 8—Benefit Plans in our annual combined financial statements included elsewhere in this prospectus.</w:t>
      </w:r>
    </w:p>
    <w:p>
      <w:pPr>
        <w:ind w:left="640" w:right="240" w:hanging="436"/>
        <w:spacing w:after="0" w:line="261"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the amortization of actuarial gains related to our postretirement benefit plan. For further information, refer to Note 8—Benefit Plans in our annual combined financial statements included elsewhere in this prospectus.</w:t>
      </w:r>
    </w:p>
    <w:p>
      <w:pPr>
        <w:spacing w:after="0" w:line="29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Adjusted Free Cash Flow</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Adjusted Free Cash Flow is defined as net cash provided by operating activities, less capital expenditures as set forth in the combined statements of cash flows less the increase in income taxes payable computed under the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stand-alone return basis as set forth in the combined statements of cash flows. The adjustment for the increase in income taxes payable is included in our computation of Adjusted Free Cash Flow to be more representative of the after-tax cash flows for a stand-alone company. As detailed in Note 2— Summary of Significant Accounting Policies of our annual combined financial statements, our U.S. operations were included in a consolidated U.S. federal tax return and the settlement of our U.S. federal current tax is recognized directly as a movement in Net Parent deficit.</w:t>
      </w:r>
    </w:p>
    <w:p>
      <w:pPr>
        <w:spacing w:after="0" w:line="15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present Adjusted Free Cash Flow because we believe that it provides management and investors a useful measurement of cash generated from operations that is available for mandatory payment obligations and investment opportunities, such as funding acquisitions, paying dividends, repaying debt and repurchasing our common stock.</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presents a reconciliation of net cash provided by operating activities, the most directly comparable GAAP financial measure, to Adjusted Free Cash Flow for each of the 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Historical</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Nine months ended</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Year ended</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center"/>
              <w:ind w:left="140"/>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activities—GAAP</w:t>
            </w:r>
          </w:p>
        </w:tc>
        <w:tc>
          <w:tcPr>
            <w:tcW w:w="700" w:type="dxa"/>
            <w:vAlign w:val="bottom"/>
            <w:gridSpan w:val="2"/>
            <w:shd w:val="clear" w:color="auto" w:fill="CCEEFF"/>
          </w:tcPr>
          <w:p>
            <w:pPr>
              <w:jc w:val="right"/>
              <w:ind w:right="55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(82)</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Less: Change in income taxes payable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Adjusted Free Cash Flow (non-GAAP)</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following discussion should be read in conjunction with our combined financial statements included elsewhere in this prospectus. Detailed comparisons of revenue and results are presented in the discussions of the operating segments, which follow our combined results discussion.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Reynolds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1"/>
              </w:rPr>
              <w:t>Hefty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Hefty</w:t>
            </w:r>
          </w:p>
        </w:tc>
        <w:tc>
          <w:tcPr>
            <w:tcW w:w="440" w:type="dxa"/>
            <w:vAlign w:val="bottom"/>
          </w:tcPr>
          <w:p>
            <w:pPr>
              <w:spacing w:after="0"/>
              <w:rPr>
                <w:sz w:val="12"/>
                <w:szCs w:val="12"/>
                <w:color w:val="auto"/>
              </w:rPr>
            </w:pPr>
          </w:p>
        </w:tc>
        <w:tc>
          <w:tcPr>
            <w:tcW w:w="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Presto</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40" w:type="dxa"/>
            <w:vAlign w:val="bottom"/>
            <w:gridSpan w:val="3"/>
          </w:tcPr>
          <w:p>
            <w:pPr>
              <w:ind w:left="1640"/>
              <w:spacing w:after="0" w:line="149" w:lineRule="exact"/>
              <w:rPr>
                <w:sz w:val="20"/>
                <w:szCs w:val="20"/>
                <w:color w:val="auto"/>
              </w:rPr>
            </w:pPr>
            <w:r>
              <w:rPr>
                <w:rFonts w:ascii="Arial" w:cs="Arial" w:eastAsia="Arial" w:hAnsi="Arial"/>
                <w:sz w:val="14"/>
                <w:szCs w:val="14"/>
                <w:b w:val="1"/>
                <w:bCs w:val="1"/>
                <w:color w:val="auto"/>
                <w:w w:val="97"/>
              </w:rPr>
              <w:t>Cooking &amp;</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Waste &amp;</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2"/>
                <w:szCs w:val="12"/>
                <w:b w:val="1"/>
                <w:bCs w:val="1"/>
                <w:color w:val="auto"/>
              </w:rPr>
              <w:t>(2)</w:t>
            </w:r>
          </w:p>
        </w:tc>
        <w:tc>
          <w:tcPr>
            <w:tcW w:w="920" w:type="dxa"/>
            <w:vAlign w:val="bottom"/>
            <w:gridSpan w:val="4"/>
          </w:tcPr>
          <w:p>
            <w:pPr>
              <w:jc w:val="center"/>
              <w:ind w:left="36"/>
              <w:spacing w:after="0" w:line="149" w:lineRule="exact"/>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Baking</w:t>
            </w:r>
          </w:p>
        </w:tc>
        <w:tc>
          <w:tcPr>
            <w:tcW w:w="4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Storage</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Tableware</w:t>
            </w:r>
          </w:p>
        </w:tc>
        <w:tc>
          <w:tcPr>
            <w:tcW w:w="1000" w:type="dxa"/>
            <w:vAlign w:val="bottom"/>
            <w:gridSpan w:val="3"/>
          </w:tcPr>
          <w:p>
            <w:pPr>
              <w:ind w:left="440"/>
              <w:spacing w:after="0"/>
              <w:rPr>
                <w:sz w:val="20"/>
                <w:szCs w:val="20"/>
                <w:color w:val="auto"/>
              </w:rPr>
            </w:pPr>
            <w:r>
              <w:rPr>
                <w:rFonts w:ascii="Arial" w:cs="Arial" w:eastAsia="Arial" w:hAnsi="Arial"/>
                <w:sz w:val="14"/>
                <w:szCs w:val="14"/>
                <w:b w:val="1"/>
                <w:bCs w:val="1"/>
                <w:color w:val="auto"/>
                <w:w w:val="88"/>
              </w:rPr>
              <w:t>Products</w:t>
            </w:r>
          </w:p>
        </w:tc>
        <w:tc>
          <w:tcPr>
            <w:tcW w:w="4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jc w:val="right"/>
              <w:ind w:right="2350"/>
              <w:spacing w:after="0"/>
              <w:rPr>
                <w:sz w:val="20"/>
                <w:szCs w:val="20"/>
                <w:color w:val="auto"/>
              </w:rPr>
            </w:pPr>
            <w:r>
              <w:rPr>
                <w:rFonts w:ascii="Arial" w:cs="Arial" w:eastAsia="Arial" w:hAnsi="Arial"/>
                <w:sz w:val="18"/>
                <w:szCs w:val="18"/>
                <w:color w:val="auto"/>
              </w:rPr>
              <w:t>2018</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757</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539</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2017</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jc w:val="right"/>
              <w:ind w:right="2350"/>
              <w:spacing w:after="0"/>
              <w:rPr>
                <w:sz w:val="20"/>
                <w:szCs w:val="20"/>
                <w:color w:val="auto"/>
              </w:rPr>
            </w:pPr>
            <w:r>
              <w:rPr>
                <w:rFonts w:ascii="Arial" w:cs="Arial" w:eastAsia="Arial" w:hAnsi="Arial"/>
                <w:sz w:val="18"/>
                <w:szCs w:val="18"/>
                <w:color w:val="auto"/>
              </w:rPr>
              <w:t>2016</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b w:val="1"/>
                <w:bCs w:val="1"/>
                <w:color w:val="auto"/>
              </w:rPr>
              <w:t>(1)</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jc w:val="right"/>
              <w:ind w:right="2350"/>
              <w:spacing w:after="0"/>
              <w:rPr>
                <w:sz w:val="20"/>
                <w:szCs w:val="20"/>
                <w:color w:val="auto"/>
              </w:rPr>
            </w:pPr>
            <w:r>
              <w:rPr>
                <w:rFonts w:ascii="Arial" w:cs="Arial" w:eastAsia="Arial" w:hAnsi="Arial"/>
                <w:sz w:val="18"/>
                <w:szCs w:val="18"/>
                <w:color w:val="auto"/>
              </w:rPr>
              <w:t>2018</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2017</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jc w:val="right"/>
              <w:ind w:right="2350"/>
              <w:spacing w:after="0"/>
              <w:rPr>
                <w:sz w:val="20"/>
                <w:szCs w:val="20"/>
                <w:color w:val="auto"/>
              </w:rPr>
            </w:pPr>
            <w:r>
              <w:rPr>
                <w:rFonts w:ascii="Arial" w:cs="Arial" w:eastAsia="Arial" w:hAnsi="Arial"/>
                <w:sz w:val="18"/>
                <w:szCs w:val="18"/>
                <w:color w:val="auto"/>
              </w:rPr>
              <w:t>2016</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420" w:hanging="436"/>
        <w:spacing w:after="0" w:line="258"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1" w:lineRule="exact"/>
        <w:rPr>
          <w:rFonts w:ascii="Arial" w:cs="Arial" w:eastAsia="Arial" w:hAnsi="Arial"/>
          <w:sz w:val="18"/>
          <w:szCs w:val="18"/>
          <w:color w:val="auto"/>
        </w:rPr>
      </w:pPr>
    </w:p>
    <w:p>
      <w:pPr>
        <w:ind w:left="640" w:right="160" w:hanging="436"/>
        <w:spacing w:after="0" w:line="261"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unallocated net revenues represent the elimination of revenue on intercompany transactions. These transactions arise primarily from sales by Hefty Waste &amp; Storage to Presto Products.</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right="4660"/>
        <w:spacing w:after="0" w:line="407" w:lineRule="auto"/>
        <w:rPr>
          <w:sz w:val="20"/>
          <w:szCs w:val="20"/>
          <w:color w:val="auto"/>
        </w:rPr>
      </w:pPr>
      <w:r>
        <w:rPr>
          <w:rFonts w:ascii="Arial" w:cs="Arial" w:eastAsia="Arial" w:hAnsi="Arial"/>
          <w:sz w:val="18"/>
          <w:szCs w:val="18"/>
          <w:b w:val="1"/>
          <w:bCs w:val="1"/>
          <w:color w:val="auto"/>
        </w:rPr>
        <w:t xml:space="preserve">Year Ended December 31, 2018 Compared with the Year Ended December 31, 2017 </w:t>
      </w:r>
      <w:r>
        <w:rPr>
          <w:rFonts w:ascii="Arial" w:cs="Arial" w:eastAsia="Arial" w:hAnsi="Arial"/>
          <w:sz w:val="18"/>
          <w:szCs w:val="18"/>
          <w:b w:val="1"/>
          <w:bCs w:val="1"/>
          <w:i w:val="1"/>
          <w:iCs w:val="1"/>
          <w:color w:val="auto"/>
        </w:rPr>
        <w:t>Total Reynolds Consumer Products</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8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780" w:type="dxa"/>
            <w:vAlign w:val="bottom"/>
            <w:gridSpan w:val="4"/>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2,981</w:t>
            </w:r>
          </w:p>
        </w:tc>
        <w:tc>
          <w:tcPr>
            <w:tcW w:w="2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2,809</w:t>
            </w: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3,142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2,957</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(2,310)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(2,095)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(141)</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(126)</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22%</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w:t>
            </w: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20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3" w:lineRule="exact"/>
        <w:rPr>
          <w:rFonts w:ascii="Arial" w:cs="Arial" w:eastAsia="Arial" w:hAnsi="Arial"/>
          <w:sz w:val="18"/>
          <w:szCs w:val="18"/>
          <w:color w:val="auto"/>
        </w:rPr>
      </w:pPr>
    </w:p>
    <w:p>
      <w:pPr>
        <w:ind w:left="640" w:right="420" w:hanging="436"/>
        <w:spacing w:after="0" w:line="261"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Components of Change in Net Revenues for the Year Ended December 31, 2018 vs. the Year Ended December 31, 2017</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60" w:type="dxa"/>
            <w:vAlign w:val="bottom"/>
            <w:gridSpan w:val="3"/>
          </w:tcPr>
          <w:p>
            <w:pPr>
              <w:ind w:left="2520"/>
              <w:spacing w:after="0"/>
              <w:rPr>
                <w:sz w:val="20"/>
                <w:szCs w:val="20"/>
                <w:color w:val="auto"/>
              </w:rPr>
            </w:pPr>
            <w:r>
              <w:rPr>
                <w:rFonts w:ascii="Arial" w:cs="Arial" w:eastAsia="Arial" w:hAnsi="Arial"/>
                <w:sz w:val="14"/>
                <w:szCs w:val="14"/>
                <w:b w:val="1"/>
                <w:bCs w:val="1"/>
                <w:color w:val="auto"/>
              </w:rPr>
              <w:t>Price</w:t>
            </w:r>
          </w:p>
        </w:tc>
        <w:tc>
          <w:tcPr>
            <w:tcW w:w="144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Volume/Mix</w:t>
            </w:r>
          </w:p>
        </w:tc>
        <w:tc>
          <w:tcPr>
            <w:tcW w:w="80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Reynolds Cooking &amp; Baking</w:t>
            </w:r>
          </w:p>
        </w:tc>
        <w:tc>
          <w:tcPr>
            <w:tcW w:w="25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vMerge w:val="continue"/>
            <w:shd w:val="clear" w:color="auto" w:fill="CCEEFF"/>
          </w:tcPr>
          <w:p>
            <w:pPr>
              <w:spacing w:after="0"/>
              <w:rPr>
                <w:sz w:val="18"/>
                <w:szCs w:val="18"/>
                <w:color w:val="auto"/>
              </w:rPr>
            </w:pPr>
          </w:p>
        </w:tc>
        <w:tc>
          <w:tcPr>
            <w:tcW w:w="252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w:t>
            </w:r>
          </w:p>
        </w:tc>
        <w:tc>
          <w:tcPr>
            <w:tcW w:w="26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Hefty Waste &amp; Storage</w:t>
            </w:r>
          </w:p>
        </w:tc>
        <w:tc>
          <w:tcPr>
            <w:tcW w:w="3260" w:type="dxa"/>
            <w:vAlign w:val="bottom"/>
            <w:gridSpan w:val="3"/>
          </w:tcPr>
          <w:p>
            <w:pPr>
              <w:ind w:left="2740"/>
              <w:spacing w:after="0"/>
              <w:rPr>
                <w:sz w:val="20"/>
                <w:szCs w:val="20"/>
                <w:color w:val="auto"/>
              </w:rPr>
            </w:pPr>
            <w:r>
              <w:rPr>
                <w:rFonts w:ascii="Arial" w:cs="Arial" w:eastAsia="Arial" w:hAnsi="Arial"/>
                <w:sz w:val="18"/>
                <w:szCs w:val="18"/>
                <w:color w:val="auto"/>
              </w:rPr>
              <w:t>3%</w:t>
            </w:r>
          </w:p>
        </w:tc>
        <w:tc>
          <w:tcPr>
            <w:tcW w:w="1440" w:type="dxa"/>
            <w:vAlign w:val="bottom"/>
            <w:gridSpan w:val="3"/>
          </w:tcPr>
          <w:p>
            <w:pPr>
              <w:jc w:val="right"/>
              <w:ind w:right="190"/>
              <w:spacing w:after="0"/>
              <w:rPr>
                <w:sz w:val="20"/>
                <w:szCs w:val="20"/>
                <w:color w:val="auto"/>
              </w:rPr>
            </w:pPr>
            <w:r>
              <w:rPr>
                <w:rFonts w:ascii="Arial" w:cs="Arial" w:eastAsia="Arial" w:hAnsi="Arial"/>
                <w:sz w:val="18"/>
                <w:szCs w:val="18"/>
                <w:color w:val="auto"/>
              </w:rPr>
              <w:t>6%</w:t>
            </w:r>
          </w:p>
        </w:tc>
        <w:tc>
          <w:tcPr>
            <w:tcW w:w="800" w:type="dxa"/>
            <w:vAlign w:val="bottom"/>
            <w:gridSpan w:val="3"/>
          </w:tcPr>
          <w:p>
            <w:pPr>
              <w:ind w:left="4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Hefty Tableware</w:t>
            </w:r>
          </w:p>
        </w:tc>
        <w:tc>
          <w:tcPr>
            <w:tcW w:w="32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3%</w:t>
            </w:r>
          </w:p>
        </w:tc>
        <w:tc>
          <w:tcPr>
            <w:tcW w:w="14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Presto Products</w:t>
            </w:r>
          </w:p>
        </w:tc>
        <w:tc>
          <w:tcPr>
            <w:tcW w:w="3260" w:type="dxa"/>
            <w:vAlign w:val="bottom"/>
            <w:gridSpan w:val="3"/>
          </w:tcPr>
          <w:p>
            <w:pPr>
              <w:ind w:left="27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800" w:type="dxa"/>
            <w:vAlign w:val="bottom"/>
            <w:gridSpan w:val="3"/>
          </w:tcPr>
          <w:p>
            <w:pPr>
              <w:ind w:left="4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RCP</w:t>
            </w:r>
          </w:p>
        </w:tc>
        <w:tc>
          <w:tcPr>
            <w:tcW w:w="3260" w:type="dxa"/>
            <w:vAlign w:val="bottom"/>
            <w:gridSpan w:val="3"/>
            <w:shd w:val="clear" w:color="auto" w:fill="CCEEFF"/>
          </w:tcPr>
          <w:p>
            <w:pPr>
              <w:ind w:left="2740"/>
              <w:spacing w:after="0"/>
              <w:rPr>
                <w:sz w:val="20"/>
                <w:szCs w:val="20"/>
                <w:color w:val="auto"/>
              </w:rPr>
            </w:pPr>
            <w:r>
              <w:rPr>
                <w:rFonts w:ascii="Arial" w:cs="Arial" w:eastAsia="Arial" w:hAnsi="Arial"/>
                <w:sz w:val="18"/>
                <w:szCs w:val="18"/>
                <w:b w:val="1"/>
                <w:bCs w:val="1"/>
                <w:color w:val="auto"/>
              </w:rPr>
              <w:t>5%</w:t>
            </w:r>
          </w:p>
        </w:tc>
        <w:tc>
          <w:tcPr>
            <w:tcW w:w="14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w:t>
            </w:r>
          </w:p>
        </w:tc>
        <w:tc>
          <w:tcPr>
            <w:tcW w:w="80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 xml:space="preserve">Total Net Revenues. </w:t>
      </w:r>
      <w:r>
        <w:rPr>
          <w:rFonts w:ascii="Arial" w:cs="Arial" w:eastAsia="Arial" w:hAnsi="Arial"/>
          <w:sz w:val="16"/>
          <w:szCs w:val="16"/>
          <w:color w:val="auto"/>
        </w:rPr>
        <w:t>Total net revenues for the year ended December 31, 2018 increased by $185 million, or 6%, to $3,142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2017. The increase was primarily driven by a $149 million increase in pricing across all segments and $36 million in higher volume primarily in branded trash bag sales in our Hefty Waste &amp; Storage segment. The price increases, most significant in Reynolds Cooking &amp; Baking, were taken in response to increased material costs, primarily aluminum and resin, and lower trade promotion spending.</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for the year ended December 31, 2018 increased by $215 million, or 10%, to $2,310 million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The increase was primarily due to a $119 million increase in material costs, primarily aluminum and resin, a $30 million increase in logistics costs impacting all of our segments due to higher market driven freight rates, an $18 million increase related to unrealized losses on derivative contracts, a $15 million increase in manufacturing costs primarily due to inflationary increases and the impact of higher volume on variable costs. These cost increases were partially mitigated by cost savings driven</w:t>
      </w:r>
    </w:p>
    <w:p>
      <w:pPr>
        <w:spacing w:after="0" w:line="1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by our Reyvolution initiatives which offset material cost increases, primarily aluminum and resin, and inflationary cost increases throughout our operations.</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for the year ended December 31, 2018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$6 million, or 2%, to $288 million, compared to the year ended December 31, 2017. The decrease was primarily due to a $6 million decrease in depreciation due to certain technology assets becoming fully depreciated during the fiscal year 2018 and a $4 million decrease in advertising costs, partially offset by increased personnel-related costs.</w:t>
      </w:r>
    </w:p>
    <w:p>
      <w:pPr>
        <w:spacing w:after="0" w:line="18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for the year ended December 31, 2018 increased by $3 million, or 11%, to $31 million,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2017. For both periods, other expense, net, was primarily attributable to the factoring discount on the sale of U.S. trade receivables and the allocation of RGHL Group’s related party management fee. We have sold substantially all of our U.S. trade receivables through RGHL Group’s securitization facility. Prior to the closing of this offering, we will repurchase the U.S. trade receivables previously sold that are outstanding at the end of our participation in this facility, and the allocation of RGHL Group’s related party management fee will cease.</w:t>
      </w:r>
    </w:p>
    <w:p>
      <w:pPr>
        <w:spacing w:after="0" w:line="15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the year ended December 31, 2018 decreased by $42 million, or 13%, to $280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2017. The decrease was primarily due to a $26 million increase in related party interest income and a $25 million decrease in related party interest expense, partially offset by a $12 million increase in interest expense on external debt. The $26 million increase in related party interest income is attributable to the combination of increases in the weighted average interest rate, which increased from 1.7% as of December 31, 2017 to 2.9% as of December 31, 2018, and a $472 million increase in the balance of related party receivables. The $25 million decrease in related party interest expense is attributable to the combination of an overall decrease in the weighted average interest rate, which decreased from 6.3% as of December 31, 2017 to 6.0% as of December 31, 2018, and the timing of repayments and new related party borrowings. The interest rates on related party receivables and related party borrowings reflect contractually agreed amounts that were established at the time that the various agreements were entered into. The $12 million increase in interest expense on external debt is primarily attributable to the increase in the LIBO reference rate, which increased from 1.6% as of December 31, 2017 to 2.5% as of December 31, 2018.</w:t>
      </w:r>
    </w:p>
    <w:p>
      <w:pPr>
        <w:spacing w:after="0" w:line="16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June 2019, our interest bearing related party receivables were used to reduce amounts outstanding under various related party borrowings. Furthermore, immediately prior to the consummation of this offering, we will replace our outstanding borrowings, which comprise amounts outstanding under the RGHL Group Credit Agreement and related party borrowings, with the New Credit Facilities. For further details regarding the New Credit Facilities refer to “—Sources of Liquidity.”</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We recognized income tax expense of $57 million on income before income taxes of $233 million (an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24%) for the year ended December 31, 2018 compared to an income tax benefit of $84 million on income before income taxes of $218 million (an effective tax rate of (39)%) for the year ended December 31, 2017. The effective tax rate in the current year reflects the U.S. federal tax rate of 21%. The unusual effective tax rate during the year ended December 31, 2017, reflects the impact of U.S. tax legislative changes enacted in late 2017 requiring the remeasurement of net deferred tax liabilities from 35% to 21%.</w:t>
      </w:r>
    </w:p>
    <w:p>
      <w:pPr>
        <w:spacing w:after="0" w:line="18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for the year ended December 31, 2018 decreased by $9 million, or 1%, to $647 million,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2017. Logistics costs increased by $30 million, due to increased market driven freight rates, and manufacturing costs increased by $15 million, primarily due to inflationary increases, partially offset by an increase of $24 million in pricing due to fewer trade promotions and the Adjusted EBITDA impact of higher volume, primarily in our Hefty Waste &amp; Storage segment.</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Reynolds Cooking &amp; Baking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6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9"/>
              </w:rPr>
              <w:t>For the year ended December 31,</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8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14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16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$1,159</w:t>
            </w:r>
          </w:p>
        </w:tc>
        <w:tc>
          <w:tcPr>
            <w:tcW w:w="3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$1,068</w:t>
            </w:r>
          </w:p>
        </w:tc>
        <w:tc>
          <w:tcPr>
            <w:tcW w:w="4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w:t>
            </w:r>
          </w:p>
        </w:tc>
        <w:tc>
          <w:tcPr>
            <w:tcW w:w="3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Reynolds Cooking &amp; Baking total segment net revenues for the year ended December 31, 2018 increased by</w:t>
      </w:r>
    </w:p>
    <w:p>
      <w:pPr>
        <w:spacing w:after="0" w:line="23" w:lineRule="exact"/>
        <w:rPr>
          <w:sz w:val="20"/>
          <w:szCs w:val="20"/>
          <w:color w:val="auto"/>
        </w:rPr>
      </w:pPr>
    </w:p>
    <w:p>
      <w:pPr>
        <w:ind w:left="200" w:right="100"/>
        <w:spacing w:after="0" w:line="323" w:lineRule="auto"/>
        <w:rPr>
          <w:sz w:val="20"/>
          <w:szCs w:val="20"/>
          <w:color w:val="auto"/>
        </w:rPr>
      </w:pPr>
      <w:r>
        <w:rPr>
          <w:rFonts w:ascii="Arial" w:cs="Arial" w:eastAsia="Arial" w:hAnsi="Arial"/>
          <w:sz w:val="16"/>
          <w:szCs w:val="16"/>
          <w:color w:val="auto"/>
        </w:rPr>
        <w:t>$91 million, or 9%, to $1,159 million compared to the year ended December 31, 2017. The increase was primarily due to $93 million in price increases taken in response to increased material costs, primarily aluminum, and lower trade promotion spending, partially offset by lower volume.</w:t>
      </w:r>
    </w:p>
    <w:p>
      <w:pPr>
        <w:spacing w:after="0" w:line="13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Reynolds Cooking &amp; Baking Adjusted EBITDA for the year ended December 31, 2018 decreased $17 million, or 7%, to</w:t>
      </w:r>
      <w:r>
        <w:rPr>
          <w:rFonts w:ascii="Arial" w:cs="Arial" w:eastAsia="Arial" w:hAnsi="Arial"/>
          <w:sz w:val="18"/>
          <w:szCs w:val="18"/>
          <w:i w:val="1"/>
          <w:iCs w:val="1"/>
          <w:color w:val="auto"/>
        </w:rPr>
        <w:t xml:space="preserve"> </w:t>
      </w:r>
      <w:r>
        <w:rPr>
          <w:rFonts w:ascii="Arial" w:cs="Arial" w:eastAsia="Arial" w:hAnsi="Arial"/>
          <w:sz w:val="18"/>
          <w:szCs w:val="18"/>
          <w:color w:val="auto"/>
        </w:rPr>
        <w:t>$234 million compared to the year ended December 31, 2017. The decrease in Adjusted EBITDA was primarily driven by $88 million of higher material and manufacturing costs due to increased aluminum prices and inflationary cost increases as well as higher logistics costs due to market driven increases in freight rates and the impact of lower volume. The effects of these unfavorable changes in Adjusted EBITDA were partially offset by $93 million in price increases, as discussed above.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Hefty Waste &amp; Storage</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8"/>
              </w:rPr>
              <w:t>For the year ended December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4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12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17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$696</w:t>
            </w:r>
          </w:p>
        </w:tc>
        <w:tc>
          <w:tcPr>
            <w:tcW w:w="3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$638</w:t>
            </w:r>
          </w:p>
        </w:tc>
        <w:tc>
          <w:tcPr>
            <w:tcW w:w="4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5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Waste &amp; Storage total segment net revenues for the year ended December 31, 2018 increased by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9%, to $696 million compared to the year ended December 31, 2017. The increase was primarily due to a $38 million increase in volume primarily due to strong sales of our branded trash bags and $22 million in price increases taken in response to higher material costs, primarily resin, and lower trade promotion spending.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Hefty Waste &amp; Storage Adjusted EBITDA for the year ended December 31, 2018 increased $23 million, or 15%, to</w:t>
      </w:r>
    </w:p>
    <w:p>
      <w:pPr>
        <w:spacing w:after="0" w:line="3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$172 million compared to the year ended December 31, 2017. The increase in Adjusted EBITDA was primarily driven by $22 million in price increases, as discussed above, $17 million attributable to the higher volume noted above and $6 million in lower advertising spending. The effects of these favorable changes in Adjusted EBITDA were partially offset by $18 million of higher material and manufacturing costs, driven by increased resin prices and inflationary cost increases.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Hefty Tableware</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9"/>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2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17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$757</w:t>
            </w:r>
          </w:p>
        </w:tc>
        <w:tc>
          <w:tcPr>
            <w:tcW w:w="3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$731</w:t>
            </w:r>
          </w:p>
        </w:tc>
        <w:tc>
          <w:tcPr>
            <w:tcW w:w="4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4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for the year ended December 31, 2018 increased by $26 million, or 4%,</w:t>
      </w:r>
      <w:r>
        <w:rPr>
          <w:rFonts w:ascii="Arial" w:cs="Arial" w:eastAsia="Arial" w:hAnsi="Arial"/>
          <w:sz w:val="18"/>
          <w:szCs w:val="18"/>
          <w:i w:val="1"/>
          <w:iCs w:val="1"/>
          <w:color w:val="auto"/>
        </w:rPr>
        <w:t xml:space="preserve"> </w:t>
      </w:r>
      <w:r>
        <w:rPr>
          <w:rFonts w:ascii="Arial" w:cs="Arial" w:eastAsia="Arial" w:hAnsi="Arial"/>
          <w:sz w:val="18"/>
          <w:szCs w:val="18"/>
          <w:color w:val="auto"/>
        </w:rPr>
        <w:t>to $757 million compared to the year ended December 31, 2017. The increase was primarily due to $22 million in price increases primarily taken in response to higher material costs, primarily resin, and higher volume primarily driven by the introduction of new products, partially offset by softness in certain channels.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Hefty Tableware Adjusted EBITDA for the year ended December 31, 2018 decreased $15 million, or 8%, to $168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2017. The decrease in Adjusted EBITDA was primarily attributable to $22 million of higher manufacturing and material costs due to resin cost increases and inflationary cost increases and $16 million of higher logistics costs as a result of higher market driven freight rates. These costs increases were partially offset by $22 million of price increases, as discussed above.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Presto Products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7"/>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11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17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$539</w:t>
            </w:r>
          </w:p>
        </w:tc>
        <w:tc>
          <w:tcPr>
            <w:tcW w:w="3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$531</w:t>
            </w:r>
          </w:p>
        </w:tc>
        <w:tc>
          <w:tcPr>
            <w:tcW w:w="4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w:t>
            </w:r>
          </w:p>
        </w:tc>
        <w:tc>
          <w:tcPr>
            <w:tcW w:w="4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for the year ended December 31, 2018 increased by $8 million, or 2%, to</w:t>
      </w:r>
      <w:r>
        <w:rPr>
          <w:rFonts w:ascii="Arial" w:cs="Arial" w:eastAsia="Arial" w:hAnsi="Arial"/>
          <w:sz w:val="18"/>
          <w:szCs w:val="18"/>
          <w:i w:val="1"/>
          <w:iCs w:val="1"/>
          <w:color w:val="auto"/>
        </w:rPr>
        <w:t xml:space="preserve"> </w:t>
      </w:r>
      <w:r>
        <w:rPr>
          <w:rFonts w:ascii="Arial" w:cs="Arial" w:eastAsia="Arial" w:hAnsi="Arial"/>
          <w:sz w:val="18"/>
          <w:szCs w:val="18"/>
          <w:color w:val="auto"/>
        </w:rPr>
        <w:t>$539 million compared to the year ended December 31, 2017. The increase was primarily due to $13 million in price increases taken in response to higher material costs, primarily resin.</w:t>
      </w:r>
    </w:p>
    <w:p>
      <w:pPr>
        <w:spacing w:after="0" w:line="18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Presto Products Adjusted EBITDA for the year ended December 31, 2018 increased $2 million, or 2%, to $85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2017. The increase in Adjusted EBITDA was primarily driven by $5 million of lower manufacturing costs driven by our Reyvolution initiatives and lower employee related costs, partially offset by $6 million of higher logistics costs due to market driven freight increases.</w:t>
      </w:r>
    </w:p>
    <w:p>
      <w:pPr>
        <w:spacing w:after="0" w:line="291" w:lineRule="exact"/>
        <w:rPr>
          <w:sz w:val="20"/>
          <w:szCs w:val="20"/>
          <w:color w:val="auto"/>
        </w:rPr>
      </w:pPr>
    </w:p>
    <w:p>
      <w:pPr>
        <w:ind w:left="200" w:right="4660"/>
        <w:spacing w:after="0" w:line="407" w:lineRule="auto"/>
        <w:rPr>
          <w:sz w:val="20"/>
          <w:szCs w:val="20"/>
          <w:color w:val="auto"/>
        </w:rPr>
      </w:pPr>
      <w:r>
        <w:rPr>
          <w:rFonts w:ascii="Arial" w:cs="Arial" w:eastAsia="Arial" w:hAnsi="Arial"/>
          <w:sz w:val="18"/>
          <w:szCs w:val="18"/>
          <w:b w:val="1"/>
          <w:bCs w:val="1"/>
          <w:color w:val="auto"/>
        </w:rPr>
        <w:t xml:space="preserve">Year Ended December 31, 2017 Compared with the Year Ended December 31, 2016 </w:t>
      </w:r>
      <w:r>
        <w:rPr>
          <w:rFonts w:ascii="Arial" w:cs="Arial" w:eastAsia="Arial" w:hAnsi="Arial"/>
          <w:sz w:val="18"/>
          <w:szCs w:val="18"/>
          <w:b w:val="1"/>
          <w:bCs w:val="1"/>
          <w:i w:val="1"/>
          <w:iCs w:val="1"/>
          <w:color w:val="auto"/>
        </w:rPr>
        <w:t>Total Reynolds Consumer Products</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8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7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780" w:type="dxa"/>
            <w:vAlign w:val="bottom"/>
            <w:gridSpan w:val="4"/>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2,809</w:t>
            </w:r>
          </w:p>
        </w:tc>
        <w:tc>
          <w:tcPr>
            <w:tcW w:w="2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2,792</w:t>
            </w: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2,957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2,935</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(2,095)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(2,048)</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2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223</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22%</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line="20" w:lineRule="exact"/>
              <w:rPr>
                <w:sz w:val="1"/>
                <w:szCs w:val="1"/>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20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3" w:lineRule="exact"/>
        <w:rPr>
          <w:rFonts w:ascii="Arial" w:cs="Arial" w:eastAsia="Arial" w:hAnsi="Arial"/>
          <w:sz w:val="18"/>
          <w:szCs w:val="18"/>
          <w:color w:val="auto"/>
        </w:rPr>
      </w:pPr>
    </w:p>
    <w:p>
      <w:pPr>
        <w:ind w:left="640" w:right="420" w:hanging="436"/>
        <w:spacing w:after="0" w:line="261"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Adjusted EBITDA for Reynolds Consumer Products is a non-GAAP measure. See “—How We Assess the Performance of Our Business” for details, including a reconciliation between net income and Adjusted EBITDA.</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Components of Change in Net Revenues for the Year Ended December 31, 2017 vs. the Year Ended December 31, 2016</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Volume/Mix</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Reynolds Cooking &amp; Baking</w:t>
            </w:r>
          </w:p>
        </w:tc>
        <w:tc>
          <w:tcPr>
            <w:tcW w:w="2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Hefty Waste &amp; Storage</w:t>
            </w:r>
          </w:p>
        </w:tc>
        <w:tc>
          <w:tcPr>
            <w:tcW w:w="25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130"/>
              <w:spacing w:after="0"/>
              <w:rPr>
                <w:sz w:val="20"/>
                <w:szCs w:val="20"/>
                <w:color w:val="auto"/>
              </w:rPr>
            </w:pPr>
            <w:r>
              <w:rPr>
                <w:rFonts w:ascii="Arial" w:cs="Arial" w:eastAsia="Arial" w:hAnsi="Arial"/>
                <w:sz w:val="18"/>
                <w:szCs w:val="18"/>
                <w:color w:val="auto"/>
              </w:rPr>
              <w:t>(5%)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Hefty Tableware</w:t>
            </w:r>
          </w:p>
        </w:tc>
        <w:tc>
          <w:tcPr>
            <w:tcW w:w="3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Presto Products</w:t>
            </w:r>
          </w:p>
        </w:tc>
        <w:tc>
          <w:tcPr>
            <w:tcW w:w="330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190"/>
              <w:spacing w:after="0"/>
              <w:rPr>
                <w:sz w:val="20"/>
                <w:szCs w:val="20"/>
                <w:color w:val="auto"/>
              </w:rPr>
            </w:pPr>
            <w:r>
              <w:rPr>
                <w:rFonts w:ascii="Arial" w:cs="Arial" w:eastAsia="Arial" w:hAnsi="Arial"/>
                <w:sz w:val="18"/>
                <w:szCs w:val="18"/>
                <w:color w:val="auto"/>
              </w:rPr>
              <w:t>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RCP</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r>
    </w:tbl>
    <w:p>
      <w:pPr>
        <w:spacing w:after="0" w:line="20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 xml:space="preserve">Total Net Revenues. </w:t>
      </w:r>
      <w:r>
        <w:rPr>
          <w:rFonts w:ascii="Arial" w:cs="Arial" w:eastAsia="Arial" w:hAnsi="Arial"/>
          <w:sz w:val="18"/>
          <w:szCs w:val="18"/>
          <w:color w:val="auto"/>
        </w:rPr>
        <w:t>Total net revenues for the year ended December 31, 2017 increased by $22 million, or 1%, to $2,957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2016. The increase was primarily due to $36 million of price increases primarily taken in response to higher material costs, partially offset by a $13 million decline in volume. The decline in volume was primarily due to the exit of certain store brand products in our Hefty Waste &amp; Storage segment.</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for the year ended December 31, 2017 increased by $47 million, or 2%, to $2,095 million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increase was primarily due to $65 million of increased material and manufacturing costs driven by increased resin and aluminum prices and inflationary increases, partially offset by the impact of lower volume. These cost increases were partially mitigated by cost savings driven by our Reyvolution initiatives which offset material cost increases, primarily aluminum and resin, and inflationary cost increases throughout our operations.</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for the year ended December 31, 2017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$31 million, or 10%, to $294 million compared to the year ended December 31, 2016. The decrease was primarily due to a $26 million decrease in advertising spending driven by the launch in 2016 of several new product lines and a general decrease in advertising spending in the Reynolds Cooking &amp; Baking and Hefty Waste &amp; Storage segments.</w:t>
      </w:r>
    </w:p>
    <w:p>
      <w:pPr>
        <w:spacing w:after="0" w:line="187"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for the year ended December 31, 2017 remained unchanged at $28 million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Other expense, net, for both periods, was primarily attributable to the factoring discount on the sale of U.S. trade receivables and the allocation of a related party management fee. We have sold substantially all of our U.S. trade receivables through RGHL Group’s securitization facility. Prior to the closing of this offering, we will repurchase the U.S. trade receivables previously sold that are outstanding at the end of our participation in this facility. The allocation of the related party management fee will also cease.</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Non-Operating Expense, Net. </w:t>
      </w:r>
      <w:r>
        <w:rPr>
          <w:rFonts w:ascii="Arial" w:cs="Arial" w:eastAsia="Arial" w:hAnsi="Arial"/>
          <w:sz w:val="18"/>
          <w:szCs w:val="18"/>
          <w:color w:val="auto"/>
        </w:rPr>
        <w:t>Non-operating expense, net for the year ended December 31, 2017 decreased by $10 million, or 100%, to nil</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net decrease was primarily attributable to a $9 million defined benefit plan settlement loss in 2016 following the merger of our defined benefit pension plan into a plan sponsored by RGHL Group.</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Interest expense, net for the year ended December 31, 2017 decreased by $69 million, or 18%, to $322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2016. The decrease was primarily due to a $74 million decrease in related party interest expense and a $12 million increase in related party interest income, partially offset by a $34 million increase in interest expense on borrowings under the RGHL Group Credit Agreement. The changes in related party interest income and interest expense are primarily the result of changes in interest rates and outstanding principal balances.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increase in interest expense on the RGHL Group Credit Agreement borrowings is primarily attributable to an increase in outstanding borrowings.</w:t>
      </w:r>
    </w:p>
    <w:p>
      <w:pPr>
        <w:spacing w:after="0" w:line="234"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June 2019, our interest bearing related party receivables were used to reduce amounts outstanding under various related party borrowings. Furthermore, immediately prior to the consummation of this offering, we will</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replace our outstanding borrowings, which comprise amounts outstanding under the RGHL Group Credit Agreement and related party borrowings, with the New Credit Facilities. For further details regarding the New Credit Facilities refer to “—Sources of Liquidity.”</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We recognized an income tax benefit of $84 million on profit before income taxes of $218 million (an effective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(39)%) for the year ended December 31, 2017 compared to income tax expense of $54 million on profit before income taxes of $133 million (an effective tax rate of 41%) for the year ended December 31, 2016. The unusual effective tax rate during the year ended December 31, 2017, reflects the impact of U.S. tax legislative changes enacted in late 2017 requiring the remeasurement of net deferred tax liabilities from 35% to 21%.</w:t>
      </w:r>
    </w:p>
    <w:p>
      <w:pPr>
        <w:spacing w:after="0" w:line="15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increased $9 million, or 1%, to $656 million for the year ended December 31, 2017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Price increases of $36 million, as discussed above, a decrease of $26 million in advertising spending associated with the launch in 2016 of several new products that did not repeat and $14 million of higher volume were partially offset by $65 million of higher material and manufacturing costs due to increased material costs, primarily resin and aluminum, and inflationary cost increases.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Reynolds Cooking &amp; Baking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6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112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1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$1,068</w:t>
            </w:r>
          </w:p>
        </w:tc>
        <w:tc>
          <w:tcPr>
            <w:tcW w:w="3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$1,057</w:t>
            </w:r>
          </w:p>
        </w:tc>
        <w:tc>
          <w:tcPr>
            <w:tcW w:w="4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500" w:firstLine="441"/>
        <w:spacing w:after="0" w:line="312" w:lineRule="auto"/>
        <w:rPr>
          <w:sz w:val="20"/>
          <w:szCs w:val="20"/>
          <w:color w:val="auto"/>
        </w:rPr>
      </w:pPr>
      <w:r>
        <w:rPr>
          <w:rFonts w:ascii="Arial" w:cs="Arial" w:eastAsia="Arial" w:hAnsi="Arial"/>
          <w:sz w:val="16"/>
          <w:szCs w:val="16"/>
          <w:i w:val="1"/>
          <w:iCs w:val="1"/>
          <w:color w:val="auto"/>
        </w:rPr>
        <w:t xml:space="preserve">Total Segment Net Revenues. </w:t>
      </w:r>
      <w:r>
        <w:rPr>
          <w:rFonts w:ascii="Arial" w:cs="Arial" w:eastAsia="Arial" w:hAnsi="Arial"/>
          <w:sz w:val="16"/>
          <w:szCs w:val="16"/>
          <w:color w:val="auto"/>
        </w:rPr>
        <w:t>Reynolds Cooking &amp; Baking total segment net revenues for the year ended December 31, 2017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$11 million, or 1%, to $1,068 million compared to the year ended December 31, 2016. This increase was primarily driven by $16 million in price increases taken in response to higher material costs, primarily aluminum, and lower trade promotion spending, partially offset by lower volume.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Reynolds Cooking &amp; Baking Adjusted EBITDA for the year ended December 31, 2017 increased $7 million, or 3%, to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$251 million compared to the year ended December 31, 2016. The increase in Adjusted EBITDA was primarily attributable to the $16 million increase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pricing, as discussed above, and lower advertising spending of $9 million due to the launch in 2016 of a new product and the related increase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advertising spending that did not repeat in 2017. These were partially offset by an increase of $12 million in material and manufacturing costs.</w:t>
      </w:r>
    </w:p>
    <w:p>
      <w:pPr>
        <w:spacing w:after="0" w:line="3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Hefty Waste &amp; Storage</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9"/>
              </w:rPr>
              <w:t>For the year ended December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12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17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$638</w:t>
            </w:r>
          </w:p>
        </w:tc>
        <w:tc>
          <w:tcPr>
            <w:tcW w:w="3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$671</w:t>
            </w:r>
          </w:p>
        </w:tc>
        <w:tc>
          <w:tcPr>
            <w:tcW w:w="4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w:t>
            </w:r>
          </w:p>
        </w:tc>
        <w:tc>
          <w:tcPr>
            <w:tcW w:w="4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Waste &amp; Storage total segment net revenues for the year ended December 31, 2017 decreased by $33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5%, to $638 million compared to the year ended December 31, 2016. The decrease was primarily due to lower volume driven by the exit of certain store brand products, which was partially offset by higher volume of our branded products, including the 2016 launch of our Hefty Ultra Strong product line.</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for the year ended December 31, 2017 decreased $2 million, or 1%, to $149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decrease in Adjusted EBITDA was primarily driven by an increase of $18 million in material and manufacturing costs, partially offset by a decrease of $15 million in advertising spending primarily due to the launch in 2016 of our Hefty Ultra Strong product line.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Hefty Tableware</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9"/>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2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17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$731</w:t>
            </w:r>
          </w:p>
        </w:tc>
        <w:tc>
          <w:tcPr>
            <w:tcW w:w="3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$710</w:t>
            </w:r>
          </w:p>
        </w:tc>
        <w:tc>
          <w:tcPr>
            <w:tcW w:w="4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4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for the year ended December 31, 2017 increased by $21 million, or 3%,</w:t>
      </w:r>
      <w:r>
        <w:rPr>
          <w:rFonts w:ascii="Arial" w:cs="Arial" w:eastAsia="Arial" w:hAnsi="Arial"/>
          <w:sz w:val="18"/>
          <w:szCs w:val="18"/>
          <w:i w:val="1"/>
          <w:iCs w:val="1"/>
          <w:color w:val="auto"/>
        </w:rPr>
        <w:t xml:space="preserve"> </w:t>
      </w:r>
      <w:r>
        <w:rPr>
          <w:rFonts w:ascii="Arial" w:cs="Arial" w:eastAsia="Arial" w:hAnsi="Arial"/>
          <w:sz w:val="18"/>
          <w:szCs w:val="18"/>
          <w:color w:val="auto"/>
        </w:rPr>
        <w:t>to $731 million compared to the year ended December 31, 2016. The increase was primarily due to $11 million in higher volume partially due to new products and $9 million in price increases taken in response to higher material costs, primarily resin.</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for the year ended December 31, 2017 decreased $2 million, or 1%, to $183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The decrease in Adjusted EBITDA was primarily attributable to $24 million of higher material costs, partially offset by $9 million of price increases, as discussed above, $6 million of lower manufacturing costs driven by our Reyvolution initiatives and the impact of higher volume.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Presto Products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8"/>
              </w:rPr>
              <w:t>For the 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11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segment net revenues</w:t>
            </w:r>
          </w:p>
        </w:tc>
        <w:tc>
          <w:tcPr>
            <w:tcW w:w="17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$531</w:t>
            </w:r>
          </w:p>
        </w:tc>
        <w:tc>
          <w:tcPr>
            <w:tcW w:w="3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$510</w:t>
            </w:r>
          </w:p>
        </w:tc>
        <w:tc>
          <w:tcPr>
            <w:tcW w:w="4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4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 Margin</w:t>
            </w:r>
          </w:p>
        </w:tc>
        <w:tc>
          <w:tcPr>
            <w:tcW w:w="2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for the year ended December 31, 2017 increased by $21 million, or 4%,</w:t>
      </w:r>
      <w:r>
        <w:rPr>
          <w:rFonts w:ascii="Arial" w:cs="Arial" w:eastAsia="Arial" w:hAnsi="Arial"/>
          <w:sz w:val="18"/>
          <w:szCs w:val="18"/>
          <w:i w:val="1"/>
          <w:iCs w:val="1"/>
          <w:color w:val="auto"/>
        </w:rPr>
        <w:t xml:space="preserve"> </w:t>
      </w:r>
      <w:r>
        <w:rPr>
          <w:rFonts w:ascii="Arial" w:cs="Arial" w:eastAsia="Arial" w:hAnsi="Arial"/>
          <w:sz w:val="18"/>
          <w:szCs w:val="18"/>
          <w:color w:val="auto"/>
        </w:rPr>
        <w:t>to $531 million compared to the year ended December 31, 2016. The increase was primarily due to $10 million in higher volume and $10 million of price increases taken in response to higher material costs, primarily resin.</w:t>
      </w:r>
    </w:p>
    <w:p>
      <w:pPr>
        <w:spacing w:after="0" w:line="181"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Presto Products Adjusted EBITDA for the year ended December 31, 2017 increased $5 million, or 6%, to $83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2016. The increase in Adjusted EBITDA was primarily attributable to the price increases noted above, the impact of higher volume and lower employee-related costs. These increases were partially offset by higher material and manufacturing costs.</w:t>
      </w:r>
    </w:p>
    <w:p>
      <w:pPr>
        <w:spacing w:after="0" w:line="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discloses our cash flows for the years presented:</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For the year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60" w:type="dxa"/>
            <w:vAlign w:val="bottom"/>
            <w:gridSpan w:val="3"/>
          </w:tcPr>
          <w:p>
            <w:pPr>
              <w:jc w:val="center"/>
              <w:ind w:left="368"/>
              <w:spacing w:after="0" w:line="142" w:lineRule="exact"/>
              <w:rPr>
                <w:sz w:val="20"/>
                <w:szCs w:val="20"/>
                <w:color w:val="auto"/>
              </w:rPr>
            </w:pPr>
            <w:r>
              <w:rPr>
                <w:rFonts w:ascii="Arial" w:cs="Arial" w:eastAsia="Arial" w:hAnsi="Arial"/>
                <w:sz w:val="14"/>
                <w:szCs w:val="14"/>
                <w:b w:val="1"/>
                <w:bCs w:val="1"/>
                <w:color w:val="auto"/>
                <w:w w:val="96"/>
              </w:rPr>
              <w:t>2017</w:t>
            </w:r>
          </w:p>
        </w:tc>
        <w:tc>
          <w:tcPr>
            <w:tcW w:w="56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(554)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(364)</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0"/>
              </w:rPr>
              <w:t>(584)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560" w:type="dxa"/>
            <w:vAlign w:val="bottom"/>
          </w:tcPr>
          <w:p>
            <w:pPr>
              <w:jc w:val="right"/>
              <w:ind w:right="4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from operating activities increased by $135 million, or 34%, to $530 million for the year ended December 31, 2018 compared to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$395 million for the year ended December 31, 2017. The net increase in cash inflows from operating activities was primarily attributable to net changes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related party receivables, payables and accrued interest, as well as increased earnings.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from operating activities increased by $2 million, or 1%, to $395 million for the year ended December 31, 2017 compared to</w:t>
      </w:r>
    </w:p>
    <w:p>
      <w:pPr>
        <w:spacing w:after="0" w:line="35" w:lineRule="exact"/>
        <w:rPr>
          <w:sz w:val="20"/>
          <w:szCs w:val="20"/>
          <w:color w:val="auto"/>
        </w:rPr>
      </w:pPr>
    </w:p>
    <w:p>
      <w:pPr>
        <w:jc w:val="both"/>
        <w:ind w:left="200" w:right="80"/>
        <w:spacing w:after="0" w:line="302" w:lineRule="auto"/>
        <w:rPr>
          <w:sz w:val="20"/>
          <w:szCs w:val="20"/>
          <w:color w:val="auto"/>
        </w:rPr>
      </w:pPr>
      <w:r>
        <w:rPr>
          <w:rFonts w:ascii="Arial" w:cs="Arial" w:eastAsia="Arial" w:hAnsi="Arial"/>
          <w:sz w:val="16"/>
          <w:szCs w:val="16"/>
          <w:color w:val="auto"/>
        </w:rPr>
        <w:t>$393 million for the year ended December 31, 2016. The net increase in cash inflows from operating activities was primarily driven by a $112 million reduction in interest payments and increased earnings, partially offset by an unfavorable change of $69 million in net working capital, primarily driven by higher raw material costs and a strategic build of inventory, and an unfavorable change in related party receivables and payables.</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Net cash used in investing activities increased by $190 million, or 52%, to $554 million for the year ended December 31, 2018 compared to $364 million for the year ended December 31, 2017. These amounts and movements were primarily attributable to changes in net cash advanced to RGHL Group as part of wider RGHL Group cash management activities. Excluding these related party items, cash outflows from investing activities increased by $26 million, or 46%, to $82 million for the year ended December 31, 2018 from $56 million for the year ended December 31, 2017. These amounts represent expenditures on the acquisition of property, plant and equipment. This increase in expenditure was associated with cost reduction projects related to our Reyvolution program and increased foil spooling capabilities.</w:t>
      </w:r>
    </w:p>
    <w:p>
      <w:pPr>
        <w:spacing w:after="0" w:line="17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Net cash used in investing activities decreased by $220 million, or 38%, to $364 million for the year ended December 31, 2017 compared to $584 million for the year ended December 31, 2016. These amounts and movements were primarily attributable to changes in net cash advanced to RGHL Group as part of wider RGHL Group cash management activities. Excluding these related party items, cash outflows from investing activities increased by $13 million, or 30%, to $56 million for the year ended December 31, 2017 from $43 million for the year ended December 31, 2016. These amounts represent expenditures on the acquisition of property, plant and equipment. This increase in expenditure was associated with cost reduction projects related to increased environmental, health and safety spending.</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Net cash from financing activities was a net inflow of $24 million for the year ended December 31, 2018, a change of $64 million from a net outflow of $40 million for the year ended December 31, 2017. The change in cash flows from financing activities was primarily attributable to changes in related party balances.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Net cash from financing activities was a net outflow of $40 million for the year ended December 31, 2017, a change of $220 million from a net inflow of $180 million for the year ended December 31, 2016. The change in</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240" w:top="459"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cash flows from financing activities was primarily attributable to changes in related party balances, partially offset by a $146 million reduction in the repayment of long-term debt.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Sources of Liquidity</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Historically, our principal sources of liquidity have been our existing cash and cash equivalents, cash generated from operating activities and related party borrowings from RGHL Group. Our net cash provided by operating activities included the sale of substantially all of our U.S. trade receivables through RGHL Group’s securitization facility. In conjunction with this offering, RGHL Group’s securitization facility will be amended and we will repurchase, for cash, the U.S. trade receivables previously sold under the securitization facility that are outstanding as of the time of the repurchase of such trade receivables.</w:t>
      </w:r>
    </w:p>
    <w:p>
      <w:pPr>
        <w:spacing w:after="0" w:line="18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Following the consummation of this offering, our principal sources of liquidity will be existing cash and cash equivalents, cash generated from operating activities and available borrowings under the New Revolving Facility.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Credit Facilities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Prior to this offering, we expect to enter into the New Credit Facilities with Credit Suisse AG, Cayman Islands Branch as administrative agent, collateral agent and a letter of credit issuer and certain other parties.</w:t>
      </w:r>
    </w:p>
    <w:p>
      <w:pPr>
        <w:spacing w:after="0" w:line="170" w:lineRule="exact"/>
        <w:rPr>
          <w:sz w:val="20"/>
          <w:szCs w:val="20"/>
          <w:color w:val="auto"/>
        </w:rPr>
      </w:pPr>
    </w:p>
    <w:p>
      <w:pPr>
        <w:jc w:val="both"/>
        <w:ind w:left="200" w:right="140" w:firstLine="441"/>
        <w:spacing w:after="0" w:line="308" w:lineRule="auto"/>
        <w:rPr>
          <w:sz w:val="20"/>
          <w:szCs w:val="20"/>
          <w:color w:val="auto"/>
        </w:rPr>
      </w:pPr>
      <w:r>
        <w:rPr>
          <w:rFonts w:ascii="Arial" w:cs="Arial" w:eastAsia="Arial" w:hAnsi="Arial"/>
          <w:sz w:val="17"/>
          <w:szCs w:val="17"/>
          <w:color w:val="auto"/>
        </w:rPr>
        <w:t>The New Credit Facilities will provide for a New Term Loan Facility in an aggregate principal amount of $ million and a New Revolving Facility in an aggregate principal amount of $ million, which New Revolving Facility is expected to be undrawn upon the closing of this offering.</w:t>
      </w:r>
    </w:p>
    <w:p>
      <w:pPr>
        <w:spacing w:after="0" w:line="147" w:lineRule="exact"/>
        <w:rPr>
          <w:sz w:val="20"/>
          <w:szCs w:val="20"/>
          <w:color w:val="auto"/>
        </w:rPr>
      </w:pPr>
    </w:p>
    <w:p>
      <w:pPr>
        <w:ind w:left="200" w:right="360" w:firstLine="441"/>
        <w:spacing w:after="0" w:line="255" w:lineRule="auto"/>
        <w:rPr>
          <w:sz w:val="20"/>
          <w:szCs w:val="20"/>
          <w:color w:val="auto"/>
        </w:rPr>
      </w:pPr>
      <w:r>
        <w:rPr>
          <w:rFonts w:ascii="Arial" w:cs="Arial" w:eastAsia="Arial" w:hAnsi="Arial"/>
          <w:sz w:val="18"/>
          <w:szCs w:val="18"/>
          <w:color w:val="auto"/>
        </w:rPr>
        <w:t>The initial borrower under the New Credit Facilities will be one or more domestic wholly-owned subsidiaries of RCPI (collectively, the “Borrower”). The New Revolving Facility will include a sub-facility for letters of credit. In addition, the New Credit Facilities will provide that the Borrower will have the right at any time, subject to customary conditions, to request incremental term loans or incremental revolving credit commitments in amounts and on terms set forth therein. The lenders under the New Credit Facilities will not be under any obligation to provide any such incremental loans or commitments, and any such addition of or increase in loans will be subject to certain customary conditions precedent and other provisions.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rate and fees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Borrowings under the New Credit Facilities are expected to bear interest, at the Borrower’s option, at a rate per annum equal to an applicable margin over either (a) a base rate determined by reference to the highest of (1) the administrative agent’s prime lending rate, (2) the federal funds effective rate plus 0.5% and (3) the LIBO rate for a one month interest period plus 1.00% or (b) a LIBO rate determined by reference to the screen-based LIBO rate for the interest period relevant to such borrowing, in each case, subject to interest rate floors.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Prepayments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It is expected that the New Term Loan Facility will contain customary mandatory prepayments, including with respect to excess cash flow, asset sale proceeds and proceeds from certain incurrences of indebtedness.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It is expected that the Borrower may voluntarily repay outstanding loans under the New Term Loan Facility at any time without premium or penalty, other than customary breakage costs with respect to LIBO rate loans; provided, however, that we expect that any voluntary prepayment, refinancing or repricing of the New Credit Facilities in connection with certain repricing transactions that occur prior to the six-month anniversary of the closing of the New Term Loan Facility will be subject to a prepayment premium of 1.00% of the principal amount of the term loans so prepaid, refinanced or repriced.</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Amortization and maturity</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New Term Loan Facility is expected to amortize in equal quarterly installments in an aggregate annual amount equal to 1.00% of the original principal amount thereon, with the balance being payable on the date that is seven years after the closing of the New Credit Facilities. The New Revolving Facility will mature five years after the closing of the New Credit Facilities.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Guarantee and security</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All obligations under the New Credit Facilities and certain hedge agreements and cash management arrangements provided by any lender party to the New Credit Facilities or any of its affiliates and certain other persons will be unconditionally guaranteed by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5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All obligations under the New Credit Facilities and certain hedge agreements and cash management arrangements provided by any lender party to the New Credit Facilities or any of its affiliates and certain other persons, and the guarantees of such obligations, will be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New Credit Facilities are expected to contain a number of covenants that, among other things, will restrict, subject to certain exceptions, our ability and the ability of the restricted subsidiaries of RCPI to:</w:t>
      </w:r>
    </w:p>
    <w:p>
      <w:pPr>
        <w:spacing w:after="0" w:line="76" w:lineRule="exact"/>
        <w:rPr>
          <w:sz w:val="20"/>
          <w:szCs w:val="20"/>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enter into agreements which limit the ability of our restricted subsidiaries to incur restrictions on their ability to make distributions; and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 into amendments to certain indebtedness in a manner materially adverse to the lenders.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New Credit Facilities are expected to contain a springing financial covenant requiring compliance with a maximum ratio of first lien net</w:t>
      </w:r>
    </w:p>
    <w:p>
      <w:pPr>
        <w:spacing w:after="0" w:line="35" w:lineRule="exact"/>
        <w:rPr>
          <w:sz w:val="20"/>
          <w:szCs w:val="20"/>
          <w:color w:val="auto"/>
        </w:rPr>
      </w:pPr>
    </w:p>
    <w:p>
      <w:pPr>
        <w:jc w:val="both"/>
        <w:ind w:left="200" w:right="80"/>
        <w:spacing w:after="0" w:line="254" w:lineRule="auto"/>
        <w:rPr>
          <w:sz w:val="20"/>
          <w:szCs w:val="20"/>
          <w:color w:val="auto"/>
        </w:rPr>
      </w:pPr>
      <w:r>
        <w:rPr>
          <w:rFonts w:ascii="Arial" w:cs="Arial" w:eastAsia="Arial" w:hAnsi="Arial"/>
          <w:sz w:val="18"/>
          <w:szCs w:val="18"/>
          <w:color w:val="auto"/>
        </w:rPr>
        <w:t>indebtedness to consolidated EBITDA of :1.00, applicable solely to the New Revolving Facility. The financial covenant will be tested on the last day of any fiscal quarter (commencing with the first full fiscal quarter after the closing date of the New Credit Facilities) only if the aggregate principal amount of borrowings under the revolving facility and drawn but unreimbursed letters of credit exceeds % of the total amount of commitments under the New Revolving Facility on such day.</w:t>
      </w:r>
    </w:p>
    <w:p>
      <w:pPr>
        <w:spacing w:after="0" w:line="1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If an event of default occurs, the lenders under the New Credit Facilities will be entitled to take various actions, including the acceleration of amounts due under the New Credit Facilities and all actions permitted to be taken by secured creditors.</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that our projected cash position, cash flows from operations and, following the consummation of this offering, borrowings under the New Credit Facilities will be sufficient to meet the needs of our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material contractual obligations as of December 31, 2018, on a historical basis: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ind w:left="420"/>
              <w:spacing w:after="0"/>
              <w:rPr>
                <w:sz w:val="20"/>
                <w:szCs w:val="20"/>
                <w:color w:val="auto"/>
              </w:rPr>
            </w:pPr>
            <w:r>
              <w:rPr>
                <w:rFonts w:ascii="Arial" w:cs="Arial" w:eastAsia="Arial" w:hAnsi="Arial"/>
                <w:sz w:val="14"/>
                <w:szCs w:val="14"/>
                <w:b w:val="1"/>
                <w:bCs w:val="1"/>
                <w:color w:val="auto"/>
                <w:w w:val="88"/>
              </w:rPr>
              <w:t>Less than</w:t>
            </w:r>
          </w:p>
        </w:tc>
        <w:tc>
          <w:tcPr>
            <w:tcW w:w="1180" w:type="dxa"/>
            <w:vAlign w:val="bottom"/>
            <w:gridSpan w:val="3"/>
          </w:tcPr>
          <w:p>
            <w:pPr>
              <w:ind w:left="420"/>
              <w:spacing w:after="0"/>
              <w:rPr>
                <w:sz w:val="20"/>
                <w:szCs w:val="20"/>
                <w:color w:val="auto"/>
              </w:rPr>
            </w:pPr>
            <w:r>
              <w:rPr>
                <w:rFonts w:ascii="Arial" w:cs="Arial" w:eastAsia="Arial" w:hAnsi="Arial"/>
                <w:sz w:val="14"/>
                <w:szCs w:val="14"/>
                <w:b w:val="1"/>
                <w:bCs w:val="1"/>
                <w:color w:val="auto"/>
                <w:w w:val="89"/>
              </w:rPr>
              <w:t>One to three</w:t>
            </w: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Three to five</w:t>
            </w:r>
          </w:p>
        </w:tc>
        <w:tc>
          <w:tcPr>
            <w:tcW w:w="1300" w:type="dxa"/>
            <w:vAlign w:val="bottom"/>
            <w:gridSpan w:val="4"/>
          </w:tcPr>
          <w:p>
            <w:pPr>
              <w:ind w:left="420"/>
              <w:spacing w:after="0"/>
              <w:rPr>
                <w:sz w:val="20"/>
                <w:szCs w:val="20"/>
                <w:color w:val="auto"/>
              </w:rPr>
            </w:pPr>
            <w:r>
              <w:rPr>
                <w:rFonts w:ascii="Arial" w:cs="Arial" w:eastAsia="Arial" w:hAnsi="Arial"/>
                <w:sz w:val="14"/>
                <w:szCs w:val="14"/>
                <w:b w:val="1"/>
                <w:bCs w:val="1"/>
                <w:color w:val="auto"/>
              </w:rPr>
              <w:t>Greater than</w:t>
            </w:r>
          </w:p>
        </w:tc>
        <w:tc>
          <w:tcPr>
            <w:tcW w:w="0" w:type="dxa"/>
            <w:vAlign w:val="bottom"/>
          </w:tcPr>
          <w:p>
            <w:pPr>
              <w:spacing w:after="0"/>
              <w:rPr>
                <w:sz w:val="1"/>
                <w:szCs w:val="1"/>
                <w:color w:val="auto"/>
              </w:rPr>
            </w:pPr>
          </w:p>
        </w:tc>
      </w:tr>
      <w:tr>
        <w:trPr>
          <w:trHeight w:val="171"/>
        </w:trPr>
        <w:tc>
          <w:tcPr>
            <w:tcW w:w="5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one year</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$2,464</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Related party borrowings, including accrued interest</w:t>
            </w:r>
            <w:r>
              <w:rPr>
                <w:rFonts w:ascii="Arial" w:cs="Arial" w:eastAsia="Arial" w:hAnsi="Arial"/>
                <w:sz w:val="15"/>
                <w:szCs w:val="15"/>
                <w:color w:val="auto"/>
              </w:rPr>
              <w:t>(1)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5,609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Unconditional capital expenditure obligations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 plan obligations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8,203</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1,176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40" w:hanging="436"/>
        <w:spacing w:after="0" w:line="307" w:lineRule="auto"/>
        <w:tabs>
          <w:tab w:leader="none" w:pos="6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Total obligations for long-term debt and related party borrowings consist of the principal amounts, fixed and floating rate interest obligations, including related party accrued interest payable as of December 31, 2018. The interest rates on the floating rate debt balances have been assumed to be the same as the rates in effect as of December 31, 2018. In June 2019, we net settled certain related party balances and related party accrued</w:t>
      </w:r>
    </w:p>
    <w:p>
      <w:pPr>
        <w:spacing w:after="0" w:line="1" w:lineRule="exact"/>
        <w:rPr>
          <w:sz w:val="20"/>
          <w:szCs w:val="20"/>
          <w:color w:val="auto"/>
        </w:rPr>
      </w:pPr>
    </w:p>
    <w:p>
      <w:pPr>
        <w:ind w:left="640" w:right="60"/>
        <w:spacing w:after="0" w:line="421" w:lineRule="auto"/>
        <w:rPr>
          <w:sz w:val="20"/>
          <w:szCs w:val="20"/>
          <w:color w:val="auto"/>
        </w:rPr>
      </w:pPr>
      <w:r>
        <w:rPr>
          <w:rFonts w:ascii="Arial" w:cs="Arial" w:eastAsia="Arial" w:hAnsi="Arial"/>
          <w:sz w:val="16"/>
          <w:szCs w:val="16"/>
          <w:color w:val="auto"/>
        </w:rPr>
        <w:t>interest payable. For further information, refer to Note 15—Subsequent Events of our annual combined financial statements included elsewhere in this prospectus. As part of the Corporate Reorganization, the existing long-term debt and related party borrowings will be settled and we will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right="1020"/>
        <w:spacing w:after="0" w:line="277" w:lineRule="auto"/>
        <w:rPr>
          <w:sz w:val="20"/>
          <w:szCs w:val="20"/>
          <w:color w:val="auto"/>
        </w:rPr>
      </w:pPr>
      <w:r>
        <w:rPr>
          <w:rFonts w:ascii="Arial" w:cs="Arial" w:eastAsia="Arial" w:hAnsi="Arial"/>
          <w:sz w:val="18"/>
          <w:szCs w:val="18"/>
          <w:color w:val="auto"/>
        </w:rPr>
        <w:t>enter into the New Term Loan Facility, with repayments expected to be $ (less than one year), $ (one to three years), $ (three to five years) and $ (greater than five years).</w:t>
      </w:r>
    </w:p>
    <w:p>
      <w:pPr>
        <w:spacing w:after="0" w:line="170"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As of December 31, 2018, our liabilities for uncertain tax positions totaled $1 million. The ultimate timing of these liabilities cannot be determined; therefore, we have excluded these amounts from the contractual obligations table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than operating leases entered into in the normal course of business, we have no material off-balance sheet obligations.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the normal course of business, we are subject to risks from adverse fluctuations in interest rates and commodity prices. We have historically managed commodity price risks through commodity derivatives. We are not a party to leveraged derivatives and, by policy, do not use financial instruments for speculative purposes. The extent to which we use derivative instruments is dependent upon our access to them in the financial markets, the costs associated with entering into such arrangements and our use of other risk management methods, such as establishing sales arrangements that permit the pass-through of changes in commodity prices to customers. Our objective in managing our exposure to market risk is to limit the impact on earnings and cash flow.</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had significant debt commitments outstanding as of December 31, 2018. These on-balance sheet financial instruments, to the extent they accrue interest at variable interest rates, expose us to interest rate risk.</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Our interest rate risk arises primarily on significant borrowings that are drawn under our portion of the RGHL Group Credit Agreement and certain related party borrowings.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conjunction with this offering all of our obligations under the historical debt commitments, both those with third party financial institutions and</w:t>
      </w:r>
    </w:p>
    <w:p>
      <w:pPr>
        <w:spacing w:after="0" w:line="46" w:lineRule="exact"/>
        <w:rPr>
          <w:sz w:val="20"/>
          <w:szCs w:val="20"/>
          <w:color w:val="auto"/>
        </w:rPr>
      </w:pPr>
    </w:p>
    <w:p>
      <w:pPr>
        <w:ind w:left="200" w:right="200"/>
        <w:spacing w:after="0" w:line="281" w:lineRule="auto"/>
        <w:rPr>
          <w:sz w:val="20"/>
          <w:szCs w:val="20"/>
          <w:color w:val="auto"/>
        </w:rPr>
      </w:pPr>
      <w:r>
        <w:rPr>
          <w:rFonts w:ascii="Arial" w:cs="Arial" w:eastAsia="Arial" w:hAnsi="Arial"/>
          <w:sz w:val="16"/>
          <w:szCs w:val="16"/>
          <w:color w:val="auto"/>
        </w:rPr>
        <w:t>those with RGHL Group, will be settled, and we will incur $ million of interest bearing borrowings under the New Credit Facilities. Based on the expected outstanding borrowings under the New Term Loan Facility as of the closing of this offering with all other variables remaining constant, a</w:t>
      </w:r>
    </w:p>
    <w:p>
      <w:pPr>
        <w:spacing w:after="0" w:line="1"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100-basis point increase (decrease) in the interest rates under the New Term Loan Facility would result in a $ million increase (decrease) in interest expense, per annum, on our borrowings.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exposed to commodity and other price risk principally from the purchase of resin, aluminum, natural gas, electricity, carton board and diesel. We use various strategies to manage cost exposures on certain material purchases with the objective of obtaining more predictable costs for these commodities. From time to time, we enter into hedging agreements, including commodity derivative contracts, to hedge commodity prices primarily related to aluminum, diesel and benzene.</w:t>
      </w:r>
    </w:p>
    <w:p>
      <w:pPr>
        <w:spacing w:after="0" w:line="18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enter into futures and swaps to reduce our exposure to commodity price fluctuations. These derivatives are implemented to either (a) mitigate the impact of the lag in timing between when material costs change and when we can pass through these material cost changes to our customers or</w:t>
      </w:r>
    </w:p>
    <w:p>
      <w:pPr>
        <w:ind w:left="200"/>
        <w:spacing w:after="0"/>
        <w:rPr>
          <w:sz w:val="20"/>
          <w:szCs w:val="20"/>
          <w:color w:val="auto"/>
        </w:rPr>
      </w:pPr>
      <w:r>
        <w:rPr>
          <w:rFonts w:ascii="Arial" w:cs="Arial" w:eastAsia="Arial" w:hAnsi="Arial"/>
          <w:sz w:val="16"/>
          <w:szCs w:val="16"/>
          <w:color w:val="auto"/>
        </w:rPr>
        <w:t>(b) fix our input costs for a period. The following table provides the details of our outstanding commodity derivative contracts as of December 31, 2018.</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Contracted date</w:t>
            </w:r>
          </w:p>
        </w:tc>
      </w:tr>
      <w:tr>
        <w:trPr>
          <w:trHeight w:val="18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Unit of measure</w:t>
            </w: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Contracted volume</w:t>
            </w:r>
          </w:p>
        </w:tc>
        <w:tc>
          <w:tcPr>
            <w:tcW w:w="2200" w:type="dxa"/>
            <w:vAlign w:val="bottom"/>
            <w:gridSpan w:val="3"/>
          </w:tcPr>
          <w:p>
            <w:pPr>
              <w:ind w:left="340"/>
              <w:spacing w:after="0"/>
              <w:rPr>
                <w:sz w:val="20"/>
                <w:szCs w:val="20"/>
                <w:color w:val="auto"/>
              </w:rPr>
            </w:pPr>
            <w:r>
              <w:rPr>
                <w:rFonts w:ascii="Arial" w:cs="Arial" w:eastAsia="Arial" w:hAnsi="Arial"/>
                <w:sz w:val="14"/>
                <w:szCs w:val="14"/>
                <w:b w:val="1"/>
                <w:bCs w:val="1"/>
                <w:color w:val="auto"/>
              </w:rPr>
              <w:t>Contracted price range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of maturity</w:t>
            </w: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Aluminum swaps</w:t>
            </w: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Metric tonne</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34,711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1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$2,499.50</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Jan. 2019 – Dec. 2019</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Aluminum Midwest Premium swaps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Metric tonne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4,130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$403.45</w:t>
            </w:r>
          </w:p>
        </w:tc>
        <w:tc>
          <w:tcPr>
            <w:tcW w:w="1100" w:type="dxa"/>
            <w:vAlign w:val="bottom"/>
          </w:tcPr>
          <w:p>
            <w:pPr>
              <w:ind w:left="20"/>
              <w:spacing w:after="0"/>
              <w:rPr>
                <w:sz w:val="20"/>
                <w:szCs w:val="20"/>
                <w:color w:val="auto"/>
              </w:rPr>
            </w:pPr>
            <w:r>
              <w:rPr>
                <w:rFonts w:ascii="Arial" w:cs="Arial" w:eastAsia="Arial" w:hAnsi="Arial"/>
                <w:sz w:val="18"/>
                <w:szCs w:val="18"/>
                <w:color w:val="auto"/>
              </w:rPr>
              <w:t>- $407.85</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Jan. 2019 – Dec. 2019</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Benzene swaps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1,882,258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$3.02</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 2019 – June 2019</w:t>
            </w: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Diesel swaps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3,449,492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1100" w:type="dxa"/>
            <w:vAlign w:val="bottom"/>
          </w:tcPr>
          <w:p>
            <w:pPr>
              <w:ind w:left="20"/>
              <w:spacing w:after="0"/>
              <w:rPr>
                <w:sz w:val="20"/>
                <w:szCs w:val="20"/>
                <w:color w:val="auto"/>
              </w:rPr>
            </w:pPr>
            <w:r>
              <w:rPr>
                <w:rFonts w:ascii="Arial" w:cs="Arial" w:eastAsia="Arial" w:hAnsi="Arial"/>
                <w:sz w:val="18"/>
                <w:szCs w:val="18"/>
                <w:color w:val="auto"/>
              </w:rPr>
              <w:t>- $3.40</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Jan. 2019 – Dec. 2019</w:t>
            </w:r>
          </w:p>
        </w:tc>
      </w:tr>
    </w:tbl>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Commodity derivative contracts are valued using observable market commodity index prices less the contract rate multiplied by the notional amount or based on pricing models that rely on market observable inputs such as commodity prices. As of December 31, 2018, the estimated fair values of the outstanding commodity derivative contracts were a net liability of $9 million. During the year ended December 31, 2018, we recognized a $14 million unrealized loss and a $4 million realized loss in cost of sales in the combined statement of income related to commodity derivatives.</w:t>
      </w:r>
    </w:p>
    <w:p>
      <w:pPr>
        <w:spacing w:after="0" w:line="154"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A 10% upward (downward) movement in the price curve used to value the commodity derivative contracts, applied as of December 31, 2018, would have resulted in a $1 million (decrease) increase in unrealized losses recognized in the combined statement of income assuming all other variables remain constant.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methods, estimates and judgments we use in applying our most critical accounting policies have a significant impact on the results we report in our combined financial statements. Specific areas requiring the application of management’s estimates and judgments include, among others, assumptions pertaining to benefit plan assumptions, valuation assumptions of goodwill and intangible assets, useful lives of long-lived assets, sales incentives and income taxes. Accordingly, a different financial presentation could result depending on the judgments, estimates or assumptions that are used. The most critical accounting policies and estimates are those that are most important to the portrayal of our financial condition and results of operations and require us to</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make the most difficult and subjective judgments, often estimating the outcome of future events that are inherently uncertain. Our most critical accounting policies and estimates are related to revenue recognition, the valuation of goodwill and intangible assets and income taxes. A summary of our significant accounting policies and use of estimates is contained in Note 2–Summary of Significant Accounting Policies of our annual combined financial statements included elsewhere in this prospectus.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Recognition—Sales Incentives</w:t>
      </w:r>
    </w:p>
    <w:p>
      <w:pPr>
        <w:spacing w:after="0" w:line="11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 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5% of total net revenues for fiscal year 2018 and 6% of total net revenues for each of fiscal year 2017 and fiscal year 2016. As of December 31, 2018 and 2017, we had accruals of $40 million and $32 million, respectively, reflected on our combined balance sheets in Accrued and other current liabilities related to sales incentive programs.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Indefinite-Lived Intangible Assets and Long-Lived Assets</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2018, 2017 and 2016.</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Our reporting units for goodwill impairment testing purposes are Reynolds Cooking &amp; Baking, Hefty Waste &amp; Storage, Hefty Tableware and Presto Products. No instances of impairment were identified during the fiscal year 2018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 (i) the estimated future branded revenue from the use of the asset;</w:t>
      </w:r>
    </w:p>
    <w:p>
      <w:pPr>
        <w:spacing w:after="0" w:line="2" w:lineRule="exact"/>
        <w:rPr>
          <w:sz w:val="20"/>
          <w:szCs w:val="20"/>
          <w:color w:val="auto"/>
        </w:rPr>
      </w:pPr>
    </w:p>
    <w:p>
      <w:pPr>
        <w:ind w:left="200" w:right="40" w:firstLine="4"/>
        <w:spacing w:after="0" w:line="254" w:lineRule="auto"/>
        <w:tabs>
          <w:tab w:leader="none" w:pos="4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2018 annual impairment review. Each of our indefinite-lived intangible assets had fair values that significantly exceeded recorded carrying values.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Prior to the closing of this offering, our U.S. operations were included in a consolidated U.S. federal return as well as certain state and local tax returns filed by RGHL Group. We also file certain separate U.S. state and local and foreign income tax returns. The income tax expense (benefit) included in our combined statements of income has been calculated using the separate return basis. It is possible that we will make different tax accounting elections and assertions subsequent to our shares being issued to the public. Therefore, our income taxes, as presented in our combined financial statements included elsewhere in this prospectus, may not be indicative of our income taxes in the future. Where we have been included in the tax returns filed by RGHL Group, any income taxes payable resulting from the separate return basis have been reflected in our combined balance sheets in Net Parent deficit.</w:t>
      </w:r>
    </w:p>
    <w:p>
      <w:pPr>
        <w:spacing w:after="0" w:line="18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Considerable management judgment is necessary to assess the inherent uncertainties related to the interpretations of complex tax laws, regulations and taxing authority rulings.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New accounting guidance that we have recently adopted, as well as accounting guidance that has been recently issued but not yet adopted by us, is included in Note 2—Summary of Significant Account Policies of our annual combined financial statements included elsewhere in this prospectus.</w:t>
      </w:r>
    </w:p>
    <w:p>
      <w:pPr>
        <w:spacing w:after="0" w:line="5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simplify daily life so consumers can enjoy what matters most.</w:t>
      </w:r>
    </w:p>
    <w:p>
      <w:pPr>
        <w:spacing w:after="0" w:line="225"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over 65% of our revenue for the year ended December 31, 2018 came from products where we hold the #1 U.S. market share position in the category, and in virtually all of our major product categories we hold either a #1 or #2 U.S. market share position by revenue. We have developed our market-leading position by investing in our product categories and consistently developing innovative products that meet the evolving needs and preferences of the modern consumer.</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 The combination of our store brand offerings, the shared goal of category growth and indispensable support in marketing, innovation, branding and promotions has enabled us to achieve the position of category captain level advisor across 29 customers, which represent 73% of U.S. category sales, based on Nielsen ACV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135890</wp:posOffset>
            </wp:positionV>
            <wp:extent cx="6997700" cy="231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231775"/>
                    </a:xfrm>
                    <a:prstGeom prst="rect">
                      <a:avLst/>
                    </a:prstGeom>
                    <a:noFill/>
                  </pic:spPr>
                </pic:pic>
              </a:graphicData>
            </a:graphic>
          </wp:anchor>
        </w:drawing>
      </w: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Our leading brand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1217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have strong relationships with a diverse set of customers including leading grocery stores, mass merchants, warehouse clubs, discount chains,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10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24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As a category captain level advisor for many of our retail partners, we provide the insights retailers require to grow entire product categories. We provide our customers with category management expertise, including assortment analytics and promotion strategies, which is supported by innovation and consumer-focused insights. We believe that championing our categories helps cement our retailer relationships and will drive growth across all of our product lines. This approach, combined with our leading products, capabilities and service, further differentiates us from our competitors.</w:t>
      </w:r>
    </w:p>
    <w:p>
      <w:pPr>
        <w:spacing w:after="0" w:line="154"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While our products have been trusted for generations, we place significant emphasis on constantly improving them. Innovation is a key component of our corporate culture and we aim to continually evolve across our segments through both the introduction of new features on our existing product portfolio and the development of new product solutions. Our objective is to generate 20% of our revenue each year from new products introduced within the prior three years. All of our key product lines include newly developed innovative products such as our Hefty Ultra Strong trash bags, Reynolds KITCHENS Slow Cooker Liners, Parchment Pop Up Sheets, 75% Unbleached Compostable Parchment Paper, Hefty branded party cups, store brand party cups and our Presto store brand square-shaped snack bags. We believe our commitment to innovation has driven our growth and is a key reason why consumers continue to choose our products.</w:t>
      </w:r>
    </w:p>
    <w:p>
      <w:pPr>
        <w:spacing w:after="0" w:line="17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put safety first, treat people with respect and act ethically to operate a business that is sustainable for the long-term. We never compromise our values in the face of market forces and we remain committed to strong rules of governance. We strive to operate with respect for the environment, and we are committed to sustainability across three key areas: our product portfolio, supply chain and communities. We currently deliver sustainable solutions across all of our product lines and are focused on innovation that further develops the eco-friendly profile of our product portfolio.</w:t>
      </w:r>
    </w:p>
    <w:p>
      <w:pPr>
        <w:spacing w:after="0" w:line="154"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an attractive financial profile with steady, organic revenue growth, robust margins and disciplined capital expenditures. These attributes allow us to generate significant free cash flow. In the year ended December 31, 2018, we generated $3.1 billion in revenue, $176 million in net income and $647 million in Adjusted EBITDA. Since 2014, our income from operations margin and Adjusted EBITDA margin have grown by 364 and 242 basis points to 16% and 21%, respectively, in the year ended December 31, 2018. We have driven margin expansion mainly through our consistent focus on improving operational efficiency, managing costs throughout the cycle and driving innovation. Our revenue, net income and Adjusted EBITDA in the year ended December 31, 2018 reflect a CAGR of 2.2%, 110.3% and 5.5%, respectively, since 2014. In the year ended December 31, 2018, we generated $530 million of net cash provided by operating activities, spent $82 million on capital expenditures and generated $377 million in Adjusted Free Cash Flow. See “Prospectus Summary—Summary Historical and Unaudited Pro Forma Combined Financial Data” and “Management’s Discussion and Analysis of Financial Condition and Results of Operations—How We Assess the Performance of Our Business” for a reconciliation of Adjusted EBITDA to net income and of Adjusted Free Cash Flow to net cash provided by operating activities.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Each of our businesses and brands have long heritages, beginning over 70 years ago with the introduction of Reynolds Wrap aluminum foil in 1947 and subsequently the introduction of our Hefty waste and food storage bags in the 1960s. RCP was primarily formed through the combination of three businesses: the Reynolds cooking products business, the Presto waste and food storage bag business and the Hefty trash bag, food storage bag and tableware business. The graphic below shows a timeline of our history from 1947 to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135255</wp:posOffset>
            </wp:positionV>
            <wp:extent cx="5188585" cy="2761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858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‘Reyvolution’ Culture</w:t>
      </w:r>
    </w:p>
    <w:p>
      <w:pPr>
        <w:spacing w:after="0" w:line="121"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have a unique corporate culture that aims to continually reinvent and optimize our business. We have formalized our approach into an ethos we refer to as ‘Reyvolution.’ Reyvolution is an all-encompassing way of thinking, planning and evaluating our operations to accelerate future growth through product innovation, process automation and cost reduction. Through this disciplined process and mindset, we aim to drive revenue growth, market share increases and margin expansion. We are focused on long-term planning and goal-setting strategies as well as our near term operating results. We believe it is critical to embrace new technology and, through this program, we have made significant investment across our business to accelerate optimization opportunities. Reyvolution is focused on four key areas:</w:t>
      </w:r>
    </w:p>
    <w:p>
      <w:pPr>
        <w:spacing w:after="0" w:line="80" w:lineRule="exact"/>
        <w:rPr>
          <w:sz w:val="20"/>
          <w:szCs w:val="20"/>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Growth</w:t>
      </w:r>
      <w:r>
        <w:rPr>
          <w:rFonts w:ascii="Arial" w:cs="Arial" w:eastAsia="Arial" w:hAnsi="Arial"/>
          <w:sz w:val="18"/>
          <w:szCs w:val="18"/>
          <w:color w:val="auto"/>
        </w:rPr>
        <w:t>—support our products and customers through a holistic approach to our categories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Innovation</w:t>
      </w:r>
      <w:r>
        <w:rPr>
          <w:rFonts w:ascii="Arial" w:cs="Arial" w:eastAsia="Arial" w:hAnsi="Arial"/>
          <w:sz w:val="18"/>
          <w:szCs w:val="18"/>
          <w:color w:val="auto"/>
        </w:rPr>
        <w:t>—reinforce our existing product portfolio with new and on-trend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Cost reduction</w:t>
      </w:r>
      <w:r>
        <w:rPr>
          <w:rFonts w:ascii="Arial" w:cs="Arial" w:eastAsia="Arial" w:hAnsi="Arial"/>
          <w:sz w:val="18"/>
          <w:szCs w:val="18"/>
          <w:color w:val="auto"/>
        </w:rPr>
        <w:t>—optimize our processes to drive increased profitability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Automation</w:t>
      </w:r>
      <w:r>
        <w:rPr>
          <w:rFonts w:ascii="Arial" w:cs="Arial" w:eastAsia="Arial" w:hAnsi="Arial"/>
          <w:sz w:val="18"/>
          <w:szCs w:val="18"/>
          <w:color w:val="auto"/>
        </w:rPr>
        <w:t>—continuously refine our manufacturing base to increase efficiency</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Reyvolution includes a collective, cross-functional effort to drive growth across our business. This systematic program includes collaborative partnerships across our business units, monthly meetings with top executives and rigorous measurement of initiatives and progress against internal benchmarks. The program has yielded significant results both on the top and bottom line. For the two year period ended December 31, 2018, the impact of Reyvolution was approximately $176 million of Adjusted EBITDA benefit. Of the total, $126 million was generated through cost savings across our businesses, with $50 million of Adjusted EBITDA being</w:t>
      </w:r>
    </w:p>
    <w:p>
      <w:pPr>
        <w:spacing w:after="0" w:line="12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240" w:top="459"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generated through revenue initiatives. Our Reyvolution initiatives also include internal goals for innovation. Our objective is to generate 20% of our revenue from new products introduced within the prior three years. In fiscal year 2018, 21% of our revenue was generated from products that were less than three years old. Reyvolution will continue to impact everything we do on a daily basis.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Reyvolution success stories can be found across all of our business segments. For example, we have been able to leverage the success of the unique designs of our Hefty party cup to launch new innovative products. Within our Presto segment, we have incorporated consumer research and competitive insights to develop an “easy to grip and open” color grip opening zipper. Our focus on automation has led to the utilization of digital capabilities to significantly improve our operational efficiency and the effectiveness of our intelligent factories. Our dedication to continuous improvement has also been supported by strategic investments which allow us to utilize higher levels of post-consumer aluminum in our manufacturing processes at a lower cost.</w:t>
      </w:r>
    </w:p>
    <w:p>
      <w:pPr>
        <w:spacing w:after="0" w:line="193"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By achieving our objectives year-in and year-out, producing the highest quality and most convenient-to-use products and maintaining a commitment to the safety of our employees, we have built a company that is trusted by our customers, vendors, employees and, most importantly, the consumers who use our products.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Segments and Products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pie charts below show the breakdown of our revenue for the fiscal year ended December 31, 2018 by our segments and products.</w:t>
      </w:r>
    </w:p>
    <w:p>
      <w:pPr>
        <w:spacing w:after="0" w:line="278" w:lineRule="exact"/>
        <w:rPr>
          <w:sz w:val="20"/>
          <w:szCs w:val="20"/>
          <w:color w:val="auto"/>
        </w:rPr>
      </w:pPr>
    </w:p>
    <w:tbl>
      <w:tblPr>
        <w:tblLayout w:type="fixed"/>
        <w:tblInd w:w="220" w:type="dxa"/>
        <w:tblCellMar>
          <w:top w:w="0" w:type="dxa"/>
          <w:left w:w="0" w:type="dxa"/>
          <w:bottom w:w="0" w:type="dxa"/>
          <w:right w:w="0" w:type="dxa"/>
        </w:tblCellMar>
      </w:tblPr>
      <w:tr>
        <w:trPr>
          <w:trHeight w:val="284"/>
        </w:trPr>
        <w:tc>
          <w:tcPr>
            <w:tcW w:w="540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87"/>
              </w:rPr>
              <w:t>Our segments</w:t>
            </w:r>
          </w:p>
        </w:tc>
        <w:tc>
          <w:tcPr>
            <w:tcW w:w="340" w:type="dxa"/>
            <w:vAlign w:val="bottom"/>
          </w:tcPr>
          <w:p>
            <w:pPr>
              <w:spacing w:after="0"/>
              <w:rPr>
                <w:sz w:val="24"/>
                <w:szCs w:val="24"/>
                <w:color w:val="auto"/>
              </w:rPr>
            </w:pPr>
          </w:p>
        </w:tc>
        <w:tc>
          <w:tcPr>
            <w:tcW w:w="5280" w:type="dxa"/>
            <w:vAlign w:val="bottom"/>
            <w:shd w:val="clear" w:color="auto" w:fill="02237A"/>
          </w:tcPr>
          <w:p>
            <w:pPr>
              <w:jc w:val="center"/>
              <w:spacing w:after="0"/>
              <w:rPr>
                <w:sz w:val="20"/>
                <w:szCs w:val="20"/>
                <w:color w:val="auto"/>
              </w:rPr>
            </w:pPr>
            <w:r>
              <w:rPr>
                <w:rFonts w:ascii="Arial" w:cs="Arial" w:eastAsia="Arial" w:hAnsi="Arial"/>
                <w:sz w:val="18"/>
                <w:szCs w:val="18"/>
                <w:b w:val="1"/>
                <w:bCs w:val="1"/>
                <w:color w:val="FFFFFF"/>
                <w:w w:val="91"/>
              </w:rPr>
              <w:t>Our products</w:t>
            </w:r>
          </w:p>
        </w:tc>
        <w:tc>
          <w:tcPr>
            <w:tcW w:w="0" w:type="dxa"/>
            <w:vAlign w:val="bottom"/>
          </w:tcPr>
          <w:p>
            <w:pPr>
              <w:spacing w:after="0"/>
              <w:rPr>
                <w:sz w:val="1"/>
                <w:szCs w:val="1"/>
                <w:color w:val="auto"/>
              </w:rPr>
            </w:pPr>
          </w:p>
        </w:tc>
      </w:tr>
      <w:tr>
        <w:trPr>
          <w:trHeight w:val="81"/>
        </w:trPr>
        <w:tc>
          <w:tcPr>
            <w:tcW w:w="5400" w:type="dxa"/>
            <w:vAlign w:val="bottom"/>
            <w:shd w:val="clear" w:color="auto" w:fill="02237A"/>
          </w:tcPr>
          <w:p>
            <w:pPr>
              <w:spacing w:after="0"/>
              <w:rPr>
                <w:sz w:val="7"/>
                <w:szCs w:val="7"/>
                <w:color w:val="auto"/>
              </w:rPr>
            </w:pPr>
          </w:p>
        </w:tc>
        <w:tc>
          <w:tcPr>
            <w:tcW w:w="340" w:type="dxa"/>
            <w:vAlign w:val="bottom"/>
            <w:vMerge w:val="restart"/>
          </w:tcPr>
          <w:p>
            <w:pPr>
              <w:spacing w:after="0"/>
              <w:rPr>
                <w:sz w:val="7"/>
                <w:szCs w:val="7"/>
                <w:color w:val="auto"/>
              </w:rPr>
            </w:pPr>
          </w:p>
        </w:tc>
        <w:tc>
          <w:tcPr>
            <w:tcW w:w="5280" w:type="dxa"/>
            <w:vAlign w:val="bottom"/>
            <w:shd w:val="clear" w:color="auto" w:fill="02237A"/>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1"/>
              </w:rPr>
              <w:t>FY2018 revenue</w:t>
            </w:r>
          </w:p>
        </w:tc>
        <w:tc>
          <w:tcPr>
            <w:tcW w:w="340" w:type="dxa"/>
            <w:vAlign w:val="bottom"/>
            <w:vMerge w:val="continue"/>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0"/>
              </w:rPr>
              <w:t>FY2018 revenue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65405</wp:posOffset>
            </wp:positionV>
            <wp:extent cx="2023745" cy="17665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23745" cy="176657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65405</wp:posOffset>
            </wp:positionV>
            <wp:extent cx="1783715" cy="1355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71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Segments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manage our operations in four reportable segments: Reynolds Cooking &amp; Baking, Hefty Waste &amp; Storage, Hefty Tableware and Presto Products.</w:t>
      </w:r>
    </w:p>
    <w:p>
      <w:pPr>
        <w:spacing w:after="0" w:line="76" w:lineRule="exact"/>
        <w:rPr>
          <w:sz w:val="20"/>
          <w:szCs w:val="20"/>
          <w:color w:val="auto"/>
        </w:rPr>
      </w:pPr>
    </w:p>
    <w:p>
      <w:pPr>
        <w:ind w:left="1180" w:right="40" w:hanging="436"/>
        <w:spacing w:after="0" w:line="293" w:lineRule="auto"/>
        <w:tabs>
          <w:tab w:leader="none" w:pos="11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Reynolds Cooking &amp; Baking</w:t>
      </w:r>
      <w:r>
        <w:rPr>
          <w:rFonts w:ascii="Arial" w:cs="Arial" w:eastAsia="Arial" w:hAnsi="Arial"/>
          <w:sz w:val="16"/>
          <w:szCs w:val="16"/>
          <w:color w:val="auto"/>
        </w:rPr>
        <w:t>: Reynolds Cooking &amp; Baking generated $1.2 billion in revenue and $234 million in Adjusted EBITDA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 Adjusted EBITDA margin) for the year ended December 31, 2018 and has grown its revenue at a 4.7% CAGR from 2016 to 2018. Through our Reynolds Cooking &amp; Baking segment, we produce branded and store brand foil, disposable 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w:t>
      </w:r>
    </w:p>
    <w:p>
      <w:pPr>
        <w:spacing w:after="0" w:line="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spacing w:after="0" w:line="255" w:lineRule="auto"/>
        <w:rPr>
          <w:sz w:val="20"/>
          <w:szCs w:val="20"/>
          <w:color w:val="auto"/>
        </w:rPr>
      </w:pPr>
      <w:r>
        <w:rPr>
          <w:rFonts w:ascii="Arial" w:cs="Arial" w:eastAsia="Arial" w:hAnsi="Arial"/>
          <w:sz w:val="18"/>
          <w:szCs w:val="18"/>
          <w:color w:val="auto"/>
        </w:rPr>
        <w:t>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 This sustained leadership provides us with a platform for continued product innovation and expansion into adjacent categories. Reynolds Wrap has been one of the most trusted household brands in the United States since 1947, and Reynolds has aided brand awareness of 98%, according to a 2015 brand awareness study.</w:t>
      </w:r>
    </w:p>
    <w:p>
      <w:pPr>
        <w:spacing w:after="0" w:line="99" w:lineRule="exact"/>
        <w:rPr>
          <w:sz w:val="20"/>
          <w:szCs w:val="20"/>
          <w:color w:val="auto"/>
        </w:rPr>
      </w:pPr>
    </w:p>
    <w:p>
      <w:pPr>
        <w:ind w:left="1180" w:right="20" w:hanging="436"/>
        <w:spacing w:after="0" w:line="255"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Hefty Waste &amp; Storage</w:t>
      </w:r>
      <w:r>
        <w:rPr>
          <w:rFonts w:ascii="Arial" w:cs="Arial" w:eastAsia="Arial" w:hAnsi="Arial"/>
          <w:sz w:val="18"/>
          <w:szCs w:val="18"/>
          <w:color w:val="auto"/>
        </w:rPr>
        <w:t>: Hefty generated $696 million in revenue and $172 million in Adjusted EBITDA (a 25%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for the year ended December 31, 2018 and has grown its revenue at a 2.2% CAGR from 2016 to 2018. Through our Hefty segment, we produce both branded and store brand trash and food storage bags. Our products are sold under the Hefty Ultra Strong, Hefty Strong Trash Bags, Hefty Renew and Hefty Slider Bags brands. Hefty is a well-recognized leader in the food storage bag and trash bag categories. We have the #1 market share in U.S. outdoor trash bags. Our robust product portfolio includes a full suite of indoor and outdoor and contractor bags. It also includes sustainable solutions such as blue and clear recycling bags, compostable bags, bags made from recycled materials and the Hefty EnergyBag Program.</w:t>
      </w:r>
    </w:p>
    <w:p>
      <w:pPr>
        <w:spacing w:after="0" w:line="94" w:lineRule="exact"/>
        <w:rPr>
          <w:rFonts w:ascii="Arial" w:cs="Arial" w:eastAsia="Arial" w:hAnsi="Arial"/>
          <w:sz w:val="18"/>
          <w:szCs w:val="18"/>
          <w:color w:val="auto"/>
        </w:rPr>
      </w:pPr>
    </w:p>
    <w:p>
      <w:pPr>
        <w:ind w:left="1180" w:right="40" w:hanging="436"/>
        <w:spacing w:after="0" w:line="272" w:lineRule="auto"/>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Hefty Tableware</w:t>
      </w:r>
      <w:r>
        <w:rPr>
          <w:rFonts w:ascii="Arial" w:cs="Arial" w:eastAsia="Arial" w:hAnsi="Arial"/>
          <w:sz w:val="17"/>
          <w:szCs w:val="17"/>
          <w:color w:val="auto"/>
        </w:rPr>
        <w:t>: Tableware generated $757 million in revenue and $168 million in Adjusted EBITDA (a 22% Adjusted EBITDA margin)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year ended December 31, 2018 and has grown its revenue at a 3.3% CAGR from 2016 to 2018. Through our Tableware segment, we sell both branded and store brand disposable and compostable plates, bowls, platters, cups and cutlery. Our Hefty branded products include dishes and party cups. Hefty branded party cups were the #1 party cup in America by market share in 2018.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83" w:lineRule="exact"/>
        <w:rPr>
          <w:rFonts w:ascii="Arial" w:cs="Arial" w:eastAsia="Arial" w:hAnsi="Arial"/>
          <w:sz w:val="17"/>
          <w:szCs w:val="17"/>
          <w:color w:val="auto"/>
        </w:rPr>
      </w:pPr>
    </w:p>
    <w:p>
      <w:pPr>
        <w:ind w:left="1180" w:right="220" w:hanging="436"/>
        <w:spacing w:after="0" w:line="270" w:lineRule="auto"/>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Presto Products</w:t>
      </w:r>
      <w:r>
        <w:rPr>
          <w:rFonts w:ascii="Arial" w:cs="Arial" w:eastAsia="Arial" w:hAnsi="Arial"/>
          <w:sz w:val="17"/>
          <w:szCs w:val="17"/>
          <w:color w:val="auto"/>
        </w:rPr>
        <w:t>: Presto generated $539 million in revenue and $85 million in Adjusted EBITDA (a 16% Adjusted EBITDA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2018 and has grown its revenue at a 2.7% CAGR from 2016 to 2018. Through our Presto segment, we primarily sell store brand products in four main categories: food storage bags, trash bags, reusable storage containers and plastic wrap. Presto is a market leader in food storage bags and differentiates itself by providing access to category management, consumer insights, marketing, merchandising and R&amp;D resources. As a result, through Presto we had a 57% share of the U.S. store brand food storage bag category and a 26% share of the total category in 2018. Our store brand products are national brand equivalent (or better) and we offer consumer-desired features, including compostable bags and products made with plant-based and recycled materials. Our Presto segment also includes our growing specialty business, which serves other consumer products companies by providing Fresh-Lock and Slide-Rite resealable closure systems. We have extended our innovative product technology from our food storage bag products and are growing it through this unique channel.</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portfolio consists of three main product groups: waste &amp; storage products, cooking products and tableware. All of our key product lines include newly developed innovative products such as our Hefty branded Ultra Strong trash bags, Reynolds KITCHENS Slow Cooker Liners, Parchment Pop Up Sheets, 75% Unbleached Compostable Parchment Paper and compostable Hefty paper plates. We have the #1 branded market share in product categories that comprised over 65% of our total revenue in fiscal year 2018. We are also a leading store brand supplier in many of the same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124460</wp:posOffset>
            </wp:positionV>
            <wp:extent cx="6852285"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2285" cy="18034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FY18</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revenue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millions)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FY16 –</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FY18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FFFFFF"/>
        </w:rPr>
        <w:t>Our key product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57785</wp:posOffset>
            </wp:positionV>
            <wp:extent cx="68522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118110</wp:posOffset>
            </wp:positionV>
            <wp:extent cx="699770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2460" w:type="dxa"/>
            <w:vAlign w:val="bottom"/>
          </w:tcPr>
          <w:p>
            <w:pPr>
              <w:spacing w:after="0"/>
              <w:rPr>
                <w:sz w:val="20"/>
                <w:szCs w:val="20"/>
                <w:color w:val="auto"/>
              </w:rPr>
            </w:pPr>
            <w:r>
              <w:rPr>
                <w:rFonts w:ascii="Arial" w:cs="Arial" w:eastAsia="Arial" w:hAnsi="Arial"/>
                <w:sz w:val="14"/>
                <w:szCs w:val="14"/>
                <w:b w:val="1"/>
                <w:bCs w:val="1"/>
                <w:color w:val="auto"/>
              </w:rPr>
              <w:t>Waste &amp; storage products</w:t>
            </w:r>
          </w:p>
        </w:tc>
        <w:tc>
          <w:tcPr>
            <w:tcW w:w="2900" w:type="dxa"/>
            <w:vAlign w:val="bottom"/>
          </w:tcPr>
          <w:p>
            <w:pPr>
              <w:ind w:left="860"/>
              <w:spacing w:after="0"/>
              <w:rPr>
                <w:sz w:val="20"/>
                <w:szCs w:val="20"/>
                <w:color w:val="auto"/>
              </w:rPr>
            </w:pPr>
            <w:r>
              <w:rPr>
                <w:rFonts w:ascii="Arial" w:cs="Arial" w:eastAsia="Arial" w:hAnsi="Arial"/>
                <w:sz w:val="14"/>
                <w:szCs w:val="14"/>
                <w:b w:val="1"/>
                <w:bCs w:val="1"/>
                <w:color w:val="auto"/>
              </w:rPr>
              <w:t>Cooking products</w:t>
            </w:r>
          </w:p>
        </w:tc>
        <w:tc>
          <w:tcPr>
            <w:tcW w:w="1580" w:type="dxa"/>
            <w:vAlign w:val="bottom"/>
          </w:tcPr>
          <w:p>
            <w:pPr>
              <w:ind w:left="940"/>
              <w:spacing w:after="0"/>
              <w:rPr>
                <w:sz w:val="20"/>
                <w:szCs w:val="20"/>
                <w:color w:val="auto"/>
              </w:rPr>
            </w:pPr>
            <w:r>
              <w:rPr>
                <w:rFonts w:ascii="Arial" w:cs="Arial" w:eastAsia="Arial" w:hAnsi="Arial"/>
                <w:sz w:val="14"/>
                <w:szCs w:val="14"/>
                <w:b w:val="1"/>
                <w:bCs w:val="1"/>
                <w:color w:val="auto"/>
                <w:w w:val="90"/>
              </w:rPr>
              <w:t>Tableware</w:t>
            </w:r>
          </w:p>
        </w:tc>
      </w:tr>
      <w:tr>
        <w:trPr>
          <w:trHeight w:val="485"/>
        </w:trPr>
        <w:tc>
          <w:tcPr>
            <w:tcW w:w="2460" w:type="dxa"/>
            <w:vAlign w:val="bottom"/>
          </w:tcPr>
          <w:p>
            <w:pPr>
              <w:jc w:val="right"/>
              <w:ind w:right="1336"/>
              <w:spacing w:after="0"/>
              <w:rPr>
                <w:sz w:val="20"/>
                <w:szCs w:val="20"/>
                <w:color w:val="auto"/>
              </w:rPr>
            </w:pPr>
            <w:r>
              <w:rPr>
                <w:rFonts w:ascii="Arial" w:cs="Arial" w:eastAsia="Arial" w:hAnsi="Arial"/>
                <w:sz w:val="18"/>
                <w:szCs w:val="18"/>
                <w:color w:val="auto"/>
              </w:rPr>
              <w:t>$1,226</w:t>
            </w:r>
          </w:p>
        </w:tc>
        <w:tc>
          <w:tcPr>
            <w:tcW w:w="2900" w:type="dxa"/>
            <w:vAlign w:val="bottom"/>
          </w:tcPr>
          <w:p>
            <w:pPr>
              <w:jc w:val="right"/>
              <w:ind w:right="1176"/>
              <w:spacing w:after="0"/>
              <w:rPr>
                <w:sz w:val="20"/>
                <w:szCs w:val="20"/>
                <w:color w:val="auto"/>
              </w:rPr>
            </w:pPr>
            <w:r>
              <w:rPr>
                <w:rFonts w:ascii="Arial" w:cs="Arial" w:eastAsia="Arial" w:hAnsi="Arial"/>
                <w:sz w:val="18"/>
                <w:szCs w:val="18"/>
                <w:color w:val="auto"/>
              </w:rPr>
              <w:t>$1,159</w:t>
            </w:r>
          </w:p>
        </w:tc>
        <w:tc>
          <w:tcPr>
            <w:tcW w:w="1580" w:type="dxa"/>
            <w:vAlign w:val="bottom"/>
          </w:tcPr>
          <w:p>
            <w:pPr>
              <w:jc w:val="right"/>
              <w:ind w:right="56"/>
              <w:spacing w:after="0"/>
              <w:rPr>
                <w:sz w:val="20"/>
                <w:szCs w:val="20"/>
                <w:color w:val="auto"/>
              </w:rPr>
            </w:pPr>
            <w:r>
              <w:rPr>
                <w:rFonts w:ascii="Arial" w:cs="Arial" w:eastAsia="Arial" w:hAnsi="Arial"/>
                <w:sz w:val="18"/>
                <w:szCs w:val="18"/>
                <w:color w:val="auto"/>
              </w:rPr>
              <w:t>$757</w:t>
            </w:r>
          </w:p>
        </w:tc>
      </w:tr>
      <w:tr>
        <w:trPr>
          <w:trHeight w:val="783"/>
        </w:trPr>
        <w:tc>
          <w:tcPr>
            <w:tcW w:w="2460" w:type="dxa"/>
            <w:vAlign w:val="bottom"/>
          </w:tcPr>
          <w:p>
            <w:pPr>
              <w:jc w:val="right"/>
              <w:ind w:right="1396"/>
              <w:spacing w:after="0"/>
              <w:rPr>
                <w:sz w:val="20"/>
                <w:szCs w:val="20"/>
                <w:color w:val="auto"/>
              </w:rPr>
            </w:pPr>
            <w:r>
              <w:rPr>
                <w:rFonts w:ascii="Arial" w:cs="Arial" w:eastAsia="Arial" w:hAnsi="Arial"/>
                <w:sz w:val="18"/>
                <w:szCs w:val="18"/>
                <w:color w:val="auto"/>
              </w:rPr>
              <w:t>2.5%</w:t>
            </w:r>
          </w:p>
        </w:tc>
        <w:tc>
          <w:tcPr>
            <w:tcW w:w="2900" w:type="dxa"/>
            <w:vAlign w:val="bottom"/>
          </w:tcPr>
          <w:p>
            <w:pPr>
              <w:jc w:val="right"/>
              <w:ind w:right="1236"/>
              <w:spacing w:after="0"/>
              <w:rPr>
                <w:sz w:val="20"/>
                <w:szCs w:val="20"/>
                <w:color w:val="auto"/>
              </w:rPr>
            </w:pPr>
            <w:r>
              <w:rPr>
                <w:rFonts w:ascii="Arial" w:cs="Arial" w:eastAsia="Arial" w:hAnsi="Arial"/>
                <w:sz w:val="18"/>
                <w:szCs w:val="18"/>
                <w:color w:val="auto"/>
              </w:rPr>
              <w:t>4.7%</w:t>
            </w:r>
          </w:p>
        </w:tc>
        <w:tc>
          <w:tcPr>
            <w:tcW w:w="1580" w:type="dxa"/>
            <w:vAlign w:val="bottom"/>
          </w:tcPr>
          <w:p>
            <w:pPr>
              <w:jc w:val="right"/>
              <w:ind w:right="56"/>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257175</wp:posOffset>
            </wp:positionV>
            <wp:extent cx="6997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-334010</wp:posOffset>
            </wp:positionV>
            <wp:extent cx="6997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-762635</wp:posOffset>
            </wp:positionV>
            <wp:extent cx="6997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531495</wp:posOffset>
            </wp:positionV>
            <wp:extent cx="6997700" cy="9861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vMerge w:val="restart"/>
          </w:tcPr>
          <w:p>
            <w:pPr>
              <w:jc w:val="center"/>
              <w:ind w:right="190"/>
              <w:spacing w:after="0"/>
              <w:rPr>
                <w:sz w:val="20"/>
                <w:szCs w:val="20"/>
                <w:color w:val="auto"/>
              </w:rPr>
            </w:pPr>
            <w:r>
              <w:rPr>
                <w:rFonts w:ascii="Arial" w:cs="Arial" w:eastAsia="Arial" w:hAnsi="Arial"/>
                <w:sz w:val="18"/>
                <w:szCs w:val="18"/>
                <w:color w:val="auto"/>
                <w:w w:val="88"/>
              </w:rPr>
              <w:t>Indoor bags</w:t>
            </w:r>
          </w:p>
        </w:tc>
        <w:tc>
          <w:tcPr>
            <w:tcW w:w="3160" w:type="dxa"/>
            <w:vAlign w:val="bottom"/>
          </w:tcPr>
          <w:p>
            <w:pPr>
              <w:jc w:val="center"/>
              <w:ind w:left="350"/>
              <w:spacing w:after="0"/>
              <w:rPr>
                <w:sz w:val="20"/>
                <w:szCs w:val="20"/>
                <w:color w:val="auto"/>
              </w:rPr>
            </w:pPr>
            <w:r>
              <w:rPr>
                <w:rFonts w:ascii="Arial" w:cs="Arial" w:eastAsia="Arial" w:hAnsi="Arial"/>
                <w:sz w:val="18"/>
                <w:szCs w:val="18"/>
                <w:color w:val="auto"/>
                <w:w w:val="99"/>
              </w:rPr>
              <w:t>Aluminum foil</w:t>
            </w:r>
          </w:p>
        </w:tc>
        <w:tc>
          <w:tcPr>
            <w:tcW w:w="2180" w:type="dxa"/>
            <w:vAlign w:val="bottom"/>
            <w:vMerge w:val="restart"/>
          </w:tcPr>
          <w:p>
            <w:pPr>
              <w:jc w:val="center"/>
              <w:ind w:left="530"/>
              <w:spacing w:after="0"/>
              <w:rPr>
                <w:sz w:val="20"/>
                <w:szCs w:val="20"/>
                <w:color w:val="auto"/>
              </w:rPr>
            </w:pPr>
            <w:r>
              <w:rPr>
                <w:rFonts w:ascii="Arial" w:cs="Arial" w:eastAsia="Arial" w:hAnsi="Arial"/>
                <w:sz w:val="18"/>
                <w:szCs w:val="18"/>
                <w:color w:val="auto"/>
                <w:w w:val="89"/>
              </w:rPr>
              <w:t>Party cups</w:t>
            </w:r>
          </w:p>
        </w:tc>
        <w:tc>
          <w:tcPr>
            <w:tcW w:w="0" w:type="dxa"/>
            <w:vAlign w:val="bottom"/>
          </w:tcPr>
          <w:p>
            <w:pPr>
              <w:spacing w:after="0"/>
              <w:rPr>
                <w:sz w:val="1"/>
                <w:szCs w:val="1"/>
                <w:color w:val="auto"/>
              </w:rPr>
            </w:pPr>
          </w:p>
        </w:tc>
      </w:tr>
      <w:tr>
        <w:trPr>
          <w:trHeight w:val="122"/>
        </w:trPr>
        <w:tc>
          <w:tcPr>
            <w:tcW w:w="2240" w:type="dxa"/>
            <w:vAlign w:val="bottom"/>
            <w:vMerge w:val="continue"/>
          </w:tcPr>
          <w:p>
            <w:pPr>
              <w:spacing w:after="0"/>
              <w:rPr>
                <w:sz w:val="10"/>
                <w:szCs w:val="10"/>
                <w:color w:val="auto"/>
              </w:rPr>
            </w:pPr>
          </w:p>
        </w:tc>
        <w:tc>
          <w:tcPr>
            <w:tcW w:w="316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9"/>
        </w:trPr>
        <w:tc>
          <w:tcPr>
            <w:tcW w:w="2240" w:type="dxa"/>
            <w:vAlign w:val="bottom"/>
          </w:tcPr>
          <w:p>
            <w:pPr>
              <w:jc w:val="center"/>
              <w:ind w:right="190"/>
              <w:spacing w:after="0"/>
              <w:rPr>
                <w:sz w:val="20"/>
                <w:szCs w:val="20"/>
                <w:color w:val="auto"/>
              </w:rPr>
            </w:pPr>
            <w:r>
              <w:rPr>
                <w:rFonts w:ascii="Arial" w:cs="Arial" w:eastAsia="Arial" w:hAnsi="Arial"/>
                <w:sz w:val="18"/>
                <w:szCs w:val="18"/>
                <w:color w:val="auto"/>
                <w:w w:val="87"/>
              </w:rPr>
              <w:t>Outdoor bags</w:t>
            </w:r>
          </w:p>
        </w:tc>
        <w:tc>
          <w:tcPr>
            <w:tcW w:w="3160" w:type="dxa"/>
            <w:vAlign w:val="bottom"/>
          </w:tcPr>
          <w:p>
            <w:pPr>
              <w:jc w:val="center"/>
              <w:ind w:left="350"/>
              <w:spacing w:after="0"/>
              <w:rPr>
                <w:sz w:val="20"/>
                <w:szCs w:val="20"/>
                <w:color w:val="auto"/>
              </w:rPr>
            </w:pPr>
            <w:r>
              <w:rPr>
                <w:rFonts w:ascii="Arial" w:cs="Arial" w:eastAsia="Arial" w:hAnsi="Arial"/>
                <w:sz w:val="18"/>
                <w:szCs w:val="18"/>
                <w:color w:val="auto"/>
                <w:w w:val="93"/>
              </w:rPr>
              <w:t>Aluminum bakeware</w:t>
            </w:r>
          </w:p>
        </w:tc>
        <w:tc>
          <w:tcPr>
            <w:tcW w:w="2180" w:type="dxa"/>
            <w:vAlign w:val="bottom"/>
            <w:vMerge w:val="restart"/>
          </w:tcPr>
          <w:p>
            <w:pPr>
              <w:jc w:val="center"/>
              <w:ind w:left="530"/>
              <w:spacing w:after="0"/>
              <w:rPr>
                <w:sz w:val="20"/>
                <w:szCs w:val="20"/>
                <w:color w:val="auto"/>
              </w:rPr>
            </w:pPr>
            <w:r>
              <w:rPr>
                <w:rFonts w:ascii="Arial" w:cs="Arial" w:eastAsia="Arial" w:hAnsi="Arial"/>
                <w:sz w:val="18"/>
                <w:szCs w:val="18"/>
                <w:color w:val="auto"/>
                <w:w w:val="90"/>
              </w:rPr>
              <w:t>Tableware</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2240" w:type="dxa"/>
            <w:vAlign w:val="bottom"/>
          </w:tcPr>
          <w:p>
            <w:pPr>
              <w:spacing w:after="0"/>
              <w:rPr>
                <w:sz w:val="24"/>
                <w:szCs w:val="24"/>
                <w:color w:val="auto"/>
              </w:rPr>
            </w:pPr>
          </w:p>
        </w:tc>
        <w:tc>
          <w:tcPr>
            <w:tcW w:w="3160" w:type="dxa"/>
            <w:vAlign w:val="bottom"/>
          </w:tcPr>
          <w:p>
            <w:pPr>
              <w:jc w:val="center"/>
              <w:ind w:left="350"/>
              <w:spacing w:after="0"/>
              <w:rPr>
                <w:sz w:val="20"/>
                <w:szCs w:val="20"/>
                <w:color w:val="auto"/>
              </w:rPr>
            </w:pPr>
            <w:r>
              <w:rPr>
                <w:rFonts w:ascii="Arial" w:cs="Arial" w:eastAsia="Arial" w:hAnsi="Arial"/>
                <w:sz w:val="18"/>
                <w:szCs w:val="18"/>
                <w:color w:val="auto"/>
                <w:w w:val="86"/>
              </w:rPr>
              <w:t>Parchment paper</w:t>
            </w:r>
          </w:p>
        </w:tc>
        <w:tc>
          <w:tcPr>
            <w:tcW w:w="2180" w:type="dxa"/>
            <w:vAlign w:val="bottom"/>
            <w:vMerge w:val="restart"/>
          </w:tcPr>
          <w:p>
            <w:pPr>
              <w:jc w:val="center"/>
              <w:ind w:left="530"/>
              <w:spacing w:after="0"/>
              <w:rPr>
                <w:sz w:val="20"/>
                <w:szCs w:val="20"/>
                <w:color w:val="auto"/>
              </w:rPr>
            </w:pPr>
            <w:r>
              <w:rPr>
                <w:rFonts w:ascii="Arial" w:cs="Arial" w:eastAsia="Arial" w:hAnsi="Arial"/>
                <w:sz w:val="18"/>
                <w:szCs w:val="18"/>
                <w:color w:val="auto"/>
                <w:w w:val="88"/>
              </w:rPr>
              <w:t>Sustainable tableware</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8"/>
        </w:trPr>
        <w:tc>
          <w:tcPr>
            <w:tcW w:w="2240" w:type="dxa"/>
            <w:vAlign w:val="bottom"/>
            <w:vMerge w:val="restart"/>
          </w:tcPr>
          <w:p>
            <w:pPr>
              <w:jc w:val="center"/>
              <w:ind w:right="190"/>
              <w:spacing w:after="0"/>
              <w:rPr>
                <w:sz w:val="20"/>
                <w:szCs w:val="20"/>
                <w:color w:val="auto"/>
              </w:rPr>
            </w:pPr>
            <w:r>
              <w:rPr>
                <w:rFonts w:ascii="Arial" w:cs="Arial" w:eastAsia="Arial" w:hAnsi="Arial"/>
                <w:sz w:val="18"/>
                <w:szCs w:val="18"/>
                <w:color w:val="auto"/>
                <w:w w:val="86"/>
              </w:rPr>
              <w:t>Sustainable bags</w:t>
            </w:r>
          </w:p>
        </w:tc>
        <w:tc>
          <w:tcPr>
            <w:tcW w:w="3160" w:type="dxa"/>
            <w:vAlign w:val="bottom"/>
          </w:tcPr>
          <w:p>
            <w:pPr>
              <w:jc w:val="center"/>
              <w:ind w:left="350"/>
              <w:spacing w:after="0"/>
              <w:rPr>
                <w:sz w:val="20"/>
                <w:szCs w:val="20"/>
                <w:color w:val="auto"/>
              </w:rPr>
            </w:pPr>
            <w:r>
              <w:rPr>
                <w:rFonts w:ascii="Arial" w:cs="Arial" w:eastAsia="Arial" w:hAnsi="Arial"/>
                <w:sz w:val="18"/>
                <w:szCs w:val="18"/>
                <w:color w:val="auto"/>
                <w:w w:val="93"/>
              </w:rPr>
              <w:t>Slow cooker liners</w:t>
            </w:r>
          </w:p>
        </w:tc>
        <w:tc>
          <w:tcPr>
            <w:tcW w:w="2180" w:type="dxa"/>
            <w:vAlign w:val="bottom"/>
            <w:vMerge w:val="restart"/>
          </w:tcPr>
          <w:p>
            <w:pPr>
              <w:jc w:val="center"/>
              <w:ind w:left="550"/>
              <w:spacing w:after="0"/>
              <w:rPr>
                <w:sz w:val="20"/>
                <w:szCs w:val="20"/>
                <w:color w:val="auto"/>
              </w:rPr>
            </w:pPr>
            <w:r>
              <w:rPr>
                <w:rFonts w:ascii="Arial" w:cs="Arial" w:eastAsia="Arial" w:hAnsi="Arial"/>
                <w:sz w:val="18"/>
                <w:szCs w:val="18"/>
                <w:color w:val="auto"/>
                <w:w w:val="88"/>
              </w:rPr>
              <w:t>Platters</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316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6"/>
        </w:trPr>
        <w:tc>
          <w:tcPr>
            <w:tcW w:w="2240" w:type="dxa"/>
            <w:vAlign w:val="bottom"/>
          </w:tcPr>
          <w:p>
            <w:pPr>
              <w:spacing w:after="0"/>
              <w:rPr>
                <w:sz w:val="24"/>
                <w:szCs w:val="24"/>
                <w:color w:val="auto"/>
              </w:rPr>
            </w:pPr>
          </w:p>
        </w:tc>
        <w:tc>
          <w:tcPr>
            <w:tcW w:w="3160" w:type="dxa"/>
            <w:vAlign w:val="bottom"/>
          </w:tcPr>
          <w:p>
            <w:pPr>
              <w:jc w:val="center"/>
              <w:ind w:left="350"/>
              <w:spacing w:after="0"/>
              <w:rPr>
                <w:sz w:val="20"/>
                <w:szCs w:val="20"/>
                <w:color w:val="auto"/>
              </w:rPr>
            </w:pPr>
            <w:r>
              <w:rPr>
                <w:rFonts w:ascii="Arial" w:cs="Arial" w:eastAsia="Arial" w:hAnsi="Arial"/>
                <w:sz w:val="18"/>
                <w:szCs w:val="18"/>
                <w:color w:val="auto"/>
                <w:w w:val="87"/>
              </w:rPr>
              <w:t>Oven bags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40" w:type="dxa"/>
            <w:vAlign w:val="bottom"/>
          </w:tcPr>
          <w:p>
            <w:pPr>
              <w:jc w:val="center"/>
              <w:ind w:right="190"/>
              <w:spacing w:after="0"/>
              <w:rPr>
                <w:sz w:val="20"/>
                <w:szCs w:val="20"/>
                <w:color w:val="auto"/>
              </w:rPr>
            </w:pPr>
            <w:r>
              <w:rPr>
                <w:rFonts w:ascii="Arial" w:cs="Arial" w:eastAsia="Arial" w:hAnsi="Arial"/>
                <w:sz w:val="18"/>
                <w:szCs w:val="18"/>
                <w:color w:val="auto"/>
                <w:w w:val="87"/>
              </w:rPr>
              <w:t>Slider storage bags</w:t>
            </w:r>
          </w:p>
        </w:tc>
        <w:tc>
          <w:tcPr>
            <w:tcW w:w="3160" w:type="dxa"/>
            <w:vAlign w:val="bottom"/>
          </w:tcPr>
          <w:p>
            <w:pPr>
              <w:spacing w:after="0"/>
              <w:rPr>
                <w:sz w:val="24"/>
                <w:szCs w:val="24"/>
                <w:color w:val="auto"/>
              </w:rPr>
            </w:pPr>
          </w:p>
        </w:tc>
        <w:tc>
          <w:tcPr>
            <w:tcW w:w="2180" w:type="dxa"/>
            <w:vAlign w:val="bottom"/>
          </w:tcPr>
          <w:p>
            <w:pPr>
              <w:jc w:val="center"/>
              <w:ind w:left="550"/>
              <w:spacing w:after="0"/>
              <w:rPr>
                <w:sz w:val="20"/>
                <w:szCs w:val="20"/>
                <w:color w:val="auto"/>
              </w:rPr>
            </w:pPr>
            <w:r>
              <w:rPr>
                <w:rFonts w:ascii="Arial" w:cs="Arial" w:eastAsia="Arial" w:hAnsi="Arial"/>
                <w:sz w:val="18"/>
                <w:szCs w:val="18"/>
                <w:color w:val="auto"/>
                <w:w w:val="94"/>
              </w:rPr>
              <w:t>Cutlery</w:t>
            </w:r>
          </w:p>
        </w:tc>
        <w:tc>
          <w:tcPr>
            <w:tcW w:w="0" w:type="dxa"/>
            <w:vAlign w:val="bottom"/>
          </w:tcPr>
          <w:p>
            <w:pPr>
              <w:spacing w:after="0"/>
              <w:rPr>
                <w:sz w:val="1"/>
                <w:szCs w:val="1"/>
                <w:color w:val="auto"/>
              </w:rPr>
            </w:pPr>
          </w:p>
        </w:tc>
      </w:tr>
      <w:tr>
        <w:trPr>
          <w:trHeight w:val="662"/>
        </w:trPr>
        <w:tc>
          <w:tcPr>
            <w:tcW w:w="2240" w:type="dxa"/>
            <w:vAlign w:val="bottom"/>
          </w:tcPr>
          <w:p>
            <w:pPr>
              <w:jc w:val="center"/>
              <w:ind w:right="190"/>
              <w:spacing w:after="0"/>
              <w:rPr>
                <w:sz w:val="20"/>
                <w:szCs w:val="20"/>
                <w:color w:val="auto"/>
              </w:rPr>
            </w:pPr>
            <w:r>
              <w:rPr>
                <w:rFonts w:ascii="Arial" w:cs="Arial" w:eastAsia="Arial" w:hAnsi="Arial"/>
                <w:sz w:val="18"/>
                <w:szCs w:val="18"/>
                <w:color w:val="auto"/>
                <w:w w:val="87"/>
              </w:rPr>
              <w:t>Press-to-close storage bags</w:t>
            </w:r>
          </w:p>
        </w:tc>
        <w:tc>
          <w:tcPr>
            <w:tcW w:w="3160" w:type="dxa"/>
            <w:vAlign w:val="bottom"/>
          </w:tcPr>
          <w:p>
            <w:pPr>
              <w:jc w:val="center"/>
              <w:ind w:left="350"/>
              <w:spacing w:after="0"/>
              <w:rPr>
                <w:sz w:val="20"/>
                <w:szCs w:val="20"/>
                <w:color w:val="auto"/>
              </w:rPr>
            </w:pPr>
            <w:r>
              <w:rPr>
                <w:rFonts w:ascii="Arial" w:cs="Arial" w:eastAsia="Arial" w:hAnsi="Arial"/>
                <w:sz w:val="18"/>
                <w:szCs w:val="18"/>
                <w:color w:val="auto"/>
                <w:w w:val="88"/>
              </w:rPr>
              <w:t>Freezer paper</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240" w:type="dxa"/>
            <w:vAlign w:val="bottom"/>
            <w:vMerge w:val="restart"/>
          </w:tcPr>
          <w:p>
            <w:pPr>
              <w:jc w:val="center"/>
              <w:ind w:right="190"/>
              <w:spacing w:after="0"/>
              <w:rPr>
                <w:sz w:val="20"/>
                <w:szCs w:val="20"/>
                <w:color w:val="auto"/>
              </w:rPr>
            </w:pPr>
            <w:r>
              <w:rPr>
                <w:rFonts w:ascii="Arial" w:cs="Arial" w:eastAsia="Arial" w:hAnsi="Arial"/>
                <w:sz w:val="18"/>
                <w:szCs w:val="18"/>
                <w:color w:val="auto"/>
                <w:w w:val="87"/>
              </w:rPr>
              <w:t>Reusable storage</w:t>
            </w:r>
          </w:p>
        </w:tc>
        <w:tc>
          <w:tcPr>
            <w:tcW w:w="3160" w:type="dxa"/>
            <w:vAlign w:val="bottom"/>
          </w:tcPr>
          <w:p>
            <w:pPr>
              <w:jc w:val="center"/>
              <w:ind w:left="350"/>
              <w:spacing w:after="0"/>
              <w:rPr>
                <w:sz w:val="20"/>
                <w:szCs w:val="20"/>
                <w:color w:val="auto"/>
              </w:rPr>
            </w:pPr>
            <w:r>
              <w:rPr>
                <w:rFonts w:ascii="Arial" w:cs="Arial" w:eastAsia="Arial" w:hAnsi="Arial"/>
                <w:sz w:val="18"/>
                <w:szCs w:val="18"/>
                <w:color w:val="auto"/>
                <w:w w:val="87"/>
              </w:rPr>
              <w:t>Wax paper</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240" w:type="dxa"/>
            <w:vAlign w:val="bottom"/>
            <w:vMerge w:val="continue"/>
          </w:tcPr>
          <w:p>
            <w:pPr>
              <w:spacing w:after="0"/>
              <w:rPr>
                <w:sz w:val="10"/>
                <w:szCs w:val="10"/>
                <w:color w:val="auto"/>
              </w:rPr>
            </w:pPr>
          </w:p>
        </w:tc>
        <w:tc>
          <w:tcPr>
            <w:tcW w:w="31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40" w:type="dxa"/>
            <w:vAlign w:val="bottom"/>
          </w:tcPr>
          <w:p>
            <w:pPr>
              <w:jc w:val="center"/>
              <w:ind w:right="170"/>
              <w:spacing w:after="0"/>
              <w:rPr>
                <w:sz w:val="20"/>
                <w:szCs w:val="20"/>
                <w:color w:val="auto"/>
              </w:rPr>
            </w:pPr>
            <w:r>
              <w:rPr>
                <w:rFonts w:ascii="Arial" w:cs="Arial" w:eastAsia="Arial" w:hAnsi="Arial"/>
                <w:sz w:val="18"/>
                <w:szCs w:val="18"/>
                <w:color w:val="auto"/>
                <w:w w:val="89"/>
              </w:rPr>
              <w:t>containers</w:t>
            </w:r>
          </w:p>
        </w:tc>
        <w:tc>
          <w:tcPr>
            <w:tcW w:w="3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40" w:type="dxa"/>
            <w:vAlign w:val="bottom"/>
          </w:tcPr>
          <w:p>
            <w:pPr>
              <w:spacing w:after="0"/>
              <w:rPr>
                <w:sz w:val="24"/>
                <w:szCs w:val="24"/>
                <w:color w:val="auto"/>
              </w:rPr>
            </w:pPr>
          </w:p>
        </w:tc>
        <w:tc>
          <w:tcPr>
            <w:tcW w:w="3160" w:type="dxa"/>
            <w:vAlign w:val="bottom"/>
          </w:tcPr>
          <w:p>
            <w:pPr>
              <w:jc w:val="right"/>
              <w:ind w:right="2610"/>
              <w:spacing w:after="0"/>
              <w:rPr>
                <w:sz w:val="20"/>
                <w:szCs w:val="20"/>
                <w:color w:val="auto"/>
              </w:rPr>
            </w:pPr>
            <w:r>
              <w:rPr>
                <w:rFonts w:ascii="Arial" w:cs="Arial" w:eastAsia="Arial" w:hAnsi="Arial"/>
                <w:sz w:val="18"/>
                <w:szCs w:val="18"/>
                <w:color w:val="auto"/>
              </w:rPr>
              <w:t>89</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-239395</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-3301365</wp:posOffset>
            </wp:positionV>
            <wp:extent cx="892175" cy="2228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92175" cy="22288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-2743835</wp:posOffset>
            </wp:positionV>
            <wp:extent cx="934720" cy="8058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4720" cy="80581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-1602740</wp:posOffset>
            </wp:positionV>
            <wp:extent cx="420370"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0370" cy="18034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-1131570</wp:posOffset>
            </wp:positionV>
            <wp:extent cx="29146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1465" cy="15430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-762635</wp:posOffset>
            </wp:positionV>
            <wp:extent cx="291465"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1465" cy="2400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-3378200</wp:posOffset>
            </wp:positionV>
            <wp:extent cx="300355" cy="300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-2863850</wp:posOffset>
            </wp:positionV>
            <wp:extent cx="14605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050" cy="18034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-2228850</wp:posOffset>
            </wp:positionV>
            <wp:extent cx="29146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-1809115</wp:posOffset>
            </wp:positionV>
            <wp:extent cx="668655" cy="2317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8655" cy="23177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-1122680</wp:posOffset>
            </wp:positionV>
            <wp:extent cx="87503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75030" cy="14605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-762635</wp:posOffset>
            </wp:positionV>
            <wp:extent cx="73723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7235" cy="154305"/>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-3318510</wp:posOffset>
            </wp:positionV>
            <wp:extent cx="548640" cy="283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8640" cy="28321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-2820670</wp:posOffset>
            </wp:positionV>
            <wp:extent cx="428625"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8625" cy="214630"/>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-2152015</wp:posOffset>
            </wp:positionV>
            <wp:extent cx="274320" cy="2660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4320" cy="26606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-1671320</wp:posOffset>
            </wp:positionV>
            <wp:extent cx="334645" cy="197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4645" cy="197485"/>
                    </a:xfrm>
                    <a:prstGeom prst="rect">
                      <a:avLst/>
                    </a:prstGeom>
                    <a:noFill/>
                  </pic:spPr>
                </pic:pic>
              </a:graphicData>
            </a:graphic>
          </wp:anchor>
        </w:drawing>
      </w:r>
    </w:p>
    <w:p>
      <w:pPr>
        <w:sectPr>
          <w:pgSz w:w="11900" w:h="16838" w:orient="portrait"/>
          <w:cols w:equalWidth="0" w:num="2">
            <w:col w:w="2500" w:space="720"/>
            <w:col w:w="7960"/>
          </w:cols>
          <w:pgMar w:left="240" w:top="459" w:right="47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Leading market positions in attractive consumer categories reinforced by well-recognized, iconic brands that resonate with consumers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hold the #1 or #2 market position by revenue in virtually all of our product categories and are well positioned to capitalize on their growth. Over 65% of our revenue comes from products that are #1 in their respective categories. We invest in both our branded and store brand products, which allows us to focus on growing the entire product category. We have preeminent market positions across both branded and store brand products with total market share of 44% across all of our major product categories in 2018.</w:t>
      </w: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Leading market share in core categories across both branded and store brand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 total combined market share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997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33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96"/>
              </w:rPr>
              <w:t>Aluminum foil</w:t>
            </w:r>
          </w:p>
        </w:tc>
        <w:tc>
          <w:tcPr>
            <w:tcW w:w="68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89"/>
              </w:rPr>
              <w:t>Convenience cooking</w:t>
            </w:r>
          </w:p>
        </w:tc>
        <w:tc>
          <w:tcPr>
            <w:tcW w:w="64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90"/>
              </w:rPr>
              <w:t>Trash bags</w:t>
            </w:r>
          </w:p>
        </w:tc>
      </w:tr>
      <w:tr>
        <w:trPr>
          <w:trHeight w:val="126"/>
        </w:trPr>
        <w:tc>
          <w:tcPr>
            <w:tcW w:w="33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(Total category: $794 million of 2018 revenues)</w:t>
            </w:r>
          </w:p>
        </w:tc>
        <w:tc>
          <w:tcPr>
            <w:tcW w:w="680" w:type="dxa"/>
            <w:vAlign w:val="bottom"/>
          </w:tcPr>
          <w:p>
            <w:pPr>
              <w:spacing w:after="0"/>
              <w:rPr>
                <w:sz w:val="10"/>
                <w:szCs w:val="10"/>
                <w:color w:val="auto"/>
              </w:rPr>
            </w:pPr>
          </w:p>
        </w:tc>
        <w:tc>
          <w:tcPr>
            <w:tcW w:w="3200" w:type="dxa"/>
            <w:vAlign w:val="bottom"/>
          </w:tcPr>
          <w:p>
            <w:pPr>
              <w:jc w:val="center"/>
              <w:ind w:left="28"/>
              <w:spacing w:after="0" w:line="126" w:lineRule="exact"/>
              <w:rPr>
                <w:sz w:val="20"/>
                <w:szCs w:val="20"/>
                <w:color w:val="auto"/>
              </w:rPr>
            </w:pPr>
            <w:r>
              <w:rPr>
                <w:rFonts w:ascii="Arial" w:cs="Arial" w:eastAsia="Arial" w:hAnsi="Arial"/>
                <w:sz w:val="14"/>
                <w:szCs w:val="14"/>
                <w:b w:val="1"/>
                <w:bCs w:val="1"/>
                <w:color w:val="auto"/>
                <w:w w:val="92"/>
              </w:rPr>
              <w:t>(Parchment, wax and freezer paper,</w:t>
            </w:r>
          </w:p>
        </w:tc>
        <w:tc>
          <w:tcPr>
            <w:tcW w:w="640" w:type="dxa"/>
            <w:vAlign w:val="bottom"/>
          </w:tcPr>
          <w:p>
            <w:pPr>
              <w:spacing w:after="0"/>
              <w:rPr>
                <w:sz w:val="10"/>
                <w:szCs w:val="10"/>
                <w:color w:val="auto"/>
              </w:rPr>
            </w:pPr>
          </w:p>
        </w:tc>
        <w:tc>
          <w:tcPr>
            <w:tcW w:w="3200" w:type="dxa"/>
            <w:vAlign w:val="bottom"/>
          </w:tcPr>
          <w:p>
            <w:pPr>
              <w:jc w:val="center"/>
              <w:ind w:left="28"/>
              <w:spacing w:after="0" w:line="126" w:lineRule="exact"/>
              <w:rPr>
                <w:sz w:val="20"/>
                <w:szCs w:val="20"/>
                <w:color w:val="auto"/>
              </w:rPr>
            </w:pPr>
            <w:r>
              <w:rPr>
                <w:rFonts w:ascii="Arial" w:cs="Arial" w:eastAsia="Arial" w:hAnsi="Arial"/>
                <w:sz w:val="14"/>
                <w:szCs w:val="14"/>
                <w:b w:val="1"/>
                <w:bCs w:val="1"/>
                <w:color w:val="auto"/>
                <w:w w:val="92"/>
              </w:rPr>
              <w:t>(Total category: $2,665 million of 2018 revenues)</w:t>
            </w:r>
          </w:p>
        </w:tc>
      </w:tr>
      <w:tr>
        <w:trPr>
          <w:trHeight w:val="149"/>
        </w:trPr>
        <w:tc>
          <w:tcPr>
            <w:tcW w:w="3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slow cooker liners, oven bags</w:t>
            </w:r>
          </w:p>
        </w:tc>
        <w:tc>
          <w:tcPr>
            <w:tcW w:w="6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and baking cups)</w:t>
            </w:r>
          </w:p>
        </w:tc>
        <w:tc>
          <w:tcPr>
            <w:tcW w:w="64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86"/>
        </w:trPr>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(Total category: $257 million of 2018 revenues)</w:t>
            </w:r>
          </w:p>
        </w:tc>
        <w:tc>
          <w:tcPr>
            <w:tcW w:w="640" w:type="dxa"/>
            <w:vAlign w:val="bottom"/>
          </w:tcPr>
          <w:p>
            <w:pPr>
              <w:spacing w:after="0"/>
              <w:rPr>
                <w:sz w:val="16"/>
                <w:szCs w:val="16"/>
                <w:color w:val="auto"/>
              </w:rPr>
            </w:pPr>
          </w:p>
        </w:tc>
        <w:tc>
          <w:tcPr>
            <w:tcW w:w="3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76200</wp:posOffset>
            </wp:positionV>
            <wp:extent cx="857885" cy="8489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76200</wp:posOffset>
            </wp:positionV>
            <wp:extent cx="857885" cy="8489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76200</wp:posOffset>
            </wp:positionV>
            <wp:extent cx="857885" cy="8489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8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3300" w:type="dxa"/>
            <w:vAlign w:val="bottom"/>
            <w:tcBorders>
              <w:bottom w:val="single" w:sz="8" w:color="02237A"/>
            </w:tcBorders>
            <w:shd w:val="clear" w:color="auto" w:fill="02237A"/>
          </w:tcPr>
          <w:p>
            <w:pPr>
              <w:jc w:val="center"/>
              <w:spacing w:after="0"/>
              <w:rPr>
                <w:sz w:val="20"/>
                <w:szCs w:val="20"/>
                <w:color w:val="auto"/>
              </w:rPr>
            </w:pPr>
            <w:r>
              <w:rPr>
                <w:rFonts w:ascii="Arial" w:cs="Arial" w:eastAsia="Arial" w:hAnsi="Arial"/>
                <w:sz w:val="14"/>
                <w:szCs w:val="14"/>
                <w:b w:val="1"/>
                <w:bCs w:val="1"/>
                <w:color w:val="FFFFFF"/>
                <w:w w:val="89"/>
              </w:rPr>
              <w:t>Food storage bags</w:t>
            </w:r>
          </w:p>
        </w:tc>
        <w:tc>
          <w:tcPr>
            <w:tcW w:w="68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1"/>
              </w:rPr>
              <w:t>Foam dishes</w:t>
            </w:r>
          </w:p>
        </w:tc>
        <w:tc>
          <w:tcPr>
            <w:tcW w:w="640" w:type="dxa"/>
            <w:vAlign w:val="bottom"/>
          </w:tcPr>
          <w:p>
            <w:pPr>
              <w:spacing w:after="0"/>
              <w:rPr>
                <w:sz w:val="19"/>
                <w:szCs w:val="19"/>
                <w:color w:val="auto"/>
              </w:rPr>
            </w:pPr>
          </w:p>
        </w:tc>
        <w:tc>
          <w:tcPr>
            <w:tcW w:w="3200" w:type="dxa"/>
            <w:vAlign w:val="bottom"/>
            <w:tcBorders>
              <w:bottom w:val="single" w:sz="8" w:color="02237A"/>
            </w:tcBorders>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88"/>
              </w:rPr>
              <w:t>Plastic cups</w:t>
            </w:r>
          </w:p>
        </w:tc>
      </w:tr>
      <w:tr>
        <w:trPr>
          <w:trHeight w:val="126"/>
        </w:trPr>
        <w:tc>
          <w:tcPr>
            <w:tcW w:w="33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(Total category: $1,623 million of</w:t>
            </w:r>
          </w:p>
        </w:tc>
        <w:tc>
          <w:tcPr>
            <w:tcW w:w="680" w:type="dxa"/>
            <w:vAlign w:val="bottom"/>
          </w:tcPr>
          <w:p>
            <w:pPr>
              <w:spacing w:after="0"/>
              <w:rPr>
                <w:sz w:val="10"/>
                <w:szCs w:val="10"/>
                <w:color w:val="auto"/>
              </w:rPr>
            </w:pPr>
          </w:p>
        </w:tc>
        <w:tc>
          <w:tcPr>
            <w:tcW w:w="3200" w:type="dxa"/>
            <w:vAlign w:val="bottom"/>
          </w:tcPr>
          <w:p>
            <w:pPr>
              <w:jc w:val="center"/>
              <w:ind w:left="8"/>
              <w:spacing w:after="0" w:line="126" w:lineRule="exact"/>
              <w:rPr>
                <w:sz w:val="20"/>
                <w:szCs w:val="20"/>
                <w:color w:val="auto"/>
              </w:rPr>
            </w:pPr>
            <w:r>
              <w:rPr>
                <w:rFonts w:ascii="Arial" w:cs="Arial" w:eastAsia="Arial" w:hAnsi="Arial"/>
                <w:sz w:val="14"/>
                <w:szCs w:val="14"/>
                <w:b w:val="1"/>
                <w:bCs w:val="1"/>
                <w:color w:val="auto"/>
                <w:w w:val="93"/>
              </w:rPr>
              <w:t>(Total category: $751 million of</w:t>
            </w:r>
          </w:p>
        </w:tc>
        <w:tc>
          <w:tcPr>
            <w:tcW w:w="640" w:type="dxa"/>
            <w:vAlign w:val="bottom"/>
          </w:tcPr>
          <w:p>
            <w:pPr>
              <w:spacing w:after="0"/>
              <w:rPr>
                <w:sz w:val="10"/>
                <w:szCs w:val="10"/>
                <w:color w:val="auto"/>
              </w:rPr>
            </w:pPr>
          </w:p>
        </w:tc>
        <w:tc>
          <w:tcPr>
            <w:tcW w:w="3200" w:type="dxa"/>
            <w:vAlign w:val="bottom"/>
          </w:tcPr>
          <w:p>
            <w:pPr>
              <w:jc w:val="center"/>
              <w:ind w:left="8"/>
              <w:spacing w:after="0" w:line="126" w:lineRule="exact"/>
              <w:rPr>
                <w:sz w:val="20"/>
                <w:szCs w:val="20"/>
                <w:color w:val="auto"/>
              </w:rPr>
            </w:pPr>
            <w:r>
              <w:rPr>
                <w:rFonts w:ascii="Arial" w:cs="Arial" w:eastAsia="Arial" w:hAnsi="Arial"/>
                <w:sz w:val="14"/>
                <w:szCs w:val="14"/>
                <w:b w:val="1"/>
                <w:bCs w:val="1"/>
                <w:color w:val="auto"/>
                <w:w w:val="93"/>
              </w:rPr>
              <w:t>(Total category: $601 million of</w:t>
            </w:r>
          </w:p>
        </w:tc>
      </w:tr>
      <w:tr>
        <w:trPr>
          <w:trHeight w:val="186"/>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0"/>
              </w:rPr>
              <w:t>2018 revenues)</w:t>
            </w:r>
          </w:p>
        </w:tc>
        <w:tc>
          <w:tcPr>
            <w:tcW w:w="680" w:type="dxa"/>
            <w:vAlign w:val="bottom"/>
          </w:tcPr>
          <w:p>
            <w:pPr>
              <w:spacing w:after="0"/>
              <w:rPr>
                <w:sz w:val="16"/>
                <w:szCs w:val="16"/>
                <w:color w:val="auto"/>
              </w:rPr>
            </w:pPr>
          </w:p>
        </w:tc>
        <w:tc>
          <w:tcPr>
            <w:tcW w:w="320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2018 revenues)</w:t>
            </w:r>
          </w:p>
        </w:tc>
        <w:tc>
          <w:tcPr>
            <w:tcW w:w="640" w:type="dxa"/>
            <w:vAlign w:val="bottom"/>
          </w:tcPr>
          <w:p>
            <w:pPr>
              <w:spacing w:after="0"/>
              <w:rPr>
                <w:sz w:val="16"/>
                <w:szCs w:val="16"/>
                <w:color w:val="auto"/>
              </w:rPr>
            </w:pPr>
          </w:p>
        </w:tc>
        <w:tc>
          <w:tcPr>
            <w:tcW w:w="32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2018 revenues)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67945</wp:posOffset>
            </wp:positionV>
            <wp:extent cx="857885" cy="8489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67945</wp:posOffset>
            </wp:positionV>
            <wp:extent cx="857885" cy="8489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885" cy="84899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67945</wp:posOffset>
            </wp:positionV>
            <wp:extent cx="857885" cy="8489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8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Nielsen xAOC 2018.</w:t>
      </w:r>
    </w:p>
    <w:p>
      <w:pPr>
        <w:spacing w:after="0" w:line="20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participate in large and growing consumer product categories, with an average growth rate of 3.8% year-over-year from 2017 to 2018. Our categories continue to experience consistent growth, with foil and food storage bags growing at 5.1% and 2.9%, respectively, year-over-year from 2017 to 2018. Our categories are supported by strong demographic profiles, consumer demand for convenience and evolving consumer needs. We continue to drive category growth through our innovation driven new product development and relationships with leading retailers.</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iconic brands, such as Reynolds and Hefty, have developed strong brand recognition within their categories. Our brands are recognized across all demographics and generations for their quality, strength and reliability. Reynolds Wrap has been one of the top trusted household brands in the United States since 1947. According to a 2015 brand awareness study, Reynolds Wrap has aided brand awareness of 98%. Additionally, Hefty has aided brand awareness of 95%, according to a 2017 brand awareness study.</w:t>
      </w: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brands have #1 positions across nearly all our categories</w:t>
      </w:r>
    </w:p>
    <w:p>
      <w:pPr>
        <w:spacing w:after="0" w:line="34" w:lineRule="exact"/>
        <w:rPr>
          <w:sz w:val="20"/>
          <w:szCs w:val="20"/>
          <w:color w:val="auto"/>
        </w:rPr>
      </w:pPr>
    </w:p>
    <w:tbl>
      <w:tblPr>
        <w:tblLayout w:type="fixed"/>
        <w:tblInd w:w="220" w:type="dxa"/>
        <w:tblCellMar>
          <w:top w:w="0" w:type="dxa"/>
          <w:left w:w="0" w:type="dxa"/>
          <w:bottom w:w="0" w:type="dxa"/>
          <w:right w:w="0" w:type="dxa"/>
        </w:tblCellMar>
      </w:tblPr>
      <w:tr>
        <w:trPr>
          <w:trHeight w:val="252"/>
        </w:trPr>
        <w:tc>
          <w:tcPr>
            <w:tcW w:w="2860" w:type="dxa"/>
            <w:vAlign w:val="bottom"/>
            <w:tcBorders>
              <w:top w:val="single" w:sz="8" w:color="auto"/>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2"/>
              </w:rPr>
              <w:t>Category</w:t>
            </w:r>
          </w:p>
        </w:tc>
        <w:tc>
          <w:tcPr>
            <w:tcW w:w="23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Brand</w:t>
            </w:r>
          </w:p>
        </w:tc>
        <w:tc>
          <w:tcPr>
            <w:tcW w:w="24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b w:val="1"/>
                <w:bCs w:val="1"/>
                <w:color w:val="auto"/>
              </w:rPr>
              <w:t>Position</w:t>
            </w:r>
          </w:p>
        </w:tc>
        <w:tc>
          <w:tcPr>
            <w:tcW w:w="3360" w:type="dxa"/>
            <w:vAlign w:val="bottom"/>
            <w:tcBorders>
              <w:top w:val="single" w:sz="8" w:color="auto"/>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Brand share of total category</w:t>
            </w:r>
          </w:p>
        </w:tc>
      </w:tr>
      <w:tr>
        <w:trPr>
          <w:trHeight w:val="389"/>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97"/>
              </w:rPr>
              <w:t>Aluminum foil (U.S.)</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63%</w:t>
            </w:r>
          </w:p>
        </w:tc>
      </w:tr>
      <w:tr>
        <w:trPr>
          <w:trHeight w:val="527"/>
        </w:trPr>
        <w:tc>
          <w:tcPr>
            <w:tcW w:w="2860" w:type="dxa"/>
            <w:vAlign w:val="bottom"/>
          </w:tcPr>
          <w:p>
            <w:pPr>
              <w:jc w:val="center"/>
              <w:ind w:right="390"/>
              <w:spacing w:after="0"/>
              <w:rPr>
                <w:sz w:val="20"/>
                <w:szCs w:val="20"/>
                <w:color w:val="auto"/>
              </w:rPr>
            </w:pPr>
            <w:r>
              <w:rPr>
                <w:rFonts w:ascii="Arial" w:cs="Arial" w:eastAsia="Arial" w:hAnsi="Arial"/>
                <w:sz w:val="18"/>
                <w:szCs w:val="18"/>
                <w:color w:val="auto"/>
                <w:w w:val="94"/>
              </w:rPr>
              <w:t>Aluminum foil (Canada)</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71%</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86"/>
              </w:rPr>
              <w:t>Parchment paper</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52%</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87"/>
              </w:rPr>
              <w:t>Wax paper</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63%</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93"/>
              </w:rPr>
              <w:t>Slow cooker liners</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76%</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87"/>
              </w:rPr>
              <w:t>Oven bags</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94%</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88"/>
              </w:rPr>
              <w:t>Freezer paper</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97%</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88"/>
              </w:rPr>
              <w:t>Slider bags</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32%</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89"/>
              </w:rPr>
              <w:t>Party cups</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20%</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89"/>
              </w:rPr>
              <w:t>Foam dishes</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43%</w:t>
            </w:r>
          </w:p>
        </w:tc>
      </w:tr>
      <w:tr>
        <w:trPr>
          <w:trHeight w:val="500"/>
        </w:trPr>
        <w:tc>
          <w:tcPr>
            <w:tcW w:w="2860" w:type="dxa"/>
            <w:vAlign w:val="bottom"/>
          </w:tcPr>
          <w:p>
            <w:pPr>
              <w:jc w:val="center"/>
              <w:ind w:right="370"/>
              <w:spacing w:after="0"/>
              <w:rPr>
                <w:sz w:val="20"/>
                <w:szCs w:val="20"/>
                <w:color w:val="auto"/>
              </w:rPr>
            </w:pPr>
            <w:r>
              <w:rPr>
                <w:rFonts w:ascii="Arial" w:cs="Arial" w:eastAsia="Arial" w:hAnsi="Arial"/>
                <w:sz w:val="18"/>
                <w:szCs w:val="18"/>
                <w:color w:val="auto"/>
                <w:w w:val="84"/>
              </w:rPr>
              <w:t>Trash bags</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jc w:val="center"/>
              <w:ind w:left="270"/>
              <w:spacing w:after="0"/>
              <w:rPr>
                <w:sz w:val="20"/>
                <w:szCs w:val="20"/>
                <w:color w:val="auto"/>
              </w:rPr>
            </w:pPr>
            <w:r>
              <w:rPr>
                <w:rFonts w:ascii="Arial" w:cs="Arial" w:eastAsia="Arial" w:hAnsi="Arial"/>
                <w:sz w:val="18"/>
                <w:szCs w:val="18"/>
                <w:color w:val="auto"/>
                <w:w w:val="88"/>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-3335655</wp:posOffset>
            </wp:positionV>
            <wp:extent cx="60007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0075" cy="20574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-3395345</wp:posOffset>
            </wp:positionV>
            <wp:extent cx="2178050" cy="3439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78050" cy="343916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-3395345</wp:posOffset>
            </wp:positionV>
            <wp:extent cx="2178050" cy="3439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78050" cy="343916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Nielsen xAOC 2018.</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strategic relationships with a diverse set of leading customers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customer relationships across leading grocery stores, mass merchants, warehouse clubs, discount chains, drug stores, home improvement stores, military outlets and eCommerce retailers are based on a long history of trust. With many of our customers, we have maintained an ongoing relationship since the inception of our Reynolds brand over 70 years ago. Our experienced sales force, which averages over 10 years of experience at RCP, and the superb service we provide our customers drive our superior levels of ongoing customer satisfaction. The majority of our products are made in the United States, and our strategically located national manufacturing footprint provides logistics advantages and certainty of supply for our retail partners. Our short supply chain relative to competitors and the vendor-managed inventory we offer our major customers are highly valued by our customers because it reduces the inventory they have to carry and limits product shortages.</w:t>
      </w:r>
    </w:p>
    <w:p>
      <w:pPr>
        <w:spacing w:after="0" w:line="17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have over 70 years of technical knowledge about our products. We deploy this experience across our business segments to deliver custom innovation solutions. This, together with our low cost manufacturing capabilities and consistent product quality, enables us to provide our customers with a compelling value proposition. For example, in addition to our renowned branded products, our store brand products are subject to the same high degree of quality control as branded products and as a result consistently receive a “Pass” rating when tested against the national brands at third-party laboratories.</w:t>
      </w:r>
    </w:p>
    <w:p>
      <w:pPr>
        <w:spacing w:after="0" w:line="1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work to make not only our individual products successful but also to provide our retail partners with the insights and recommendations they need to grow entire product categories. We provide our retailers with category management expertise that is supported by innovation and consumer focused insights and includes assortment and promotion strategies. Our ability to provide best-in-class shopper insights directly results in stronger customer loyalty.</w:t>
      </w:r>
    </w:p>
    <w:p>
      <w:pPr>
        <w:spacing w:after="0" w:line="18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We believe these value-added services differentiate us from our competitors and strengthen our customer relationships. This is evidenced by our relationships with our largest retail customers, who we partner with to sell our branded products and to produce their store brand products.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Demonstrated track record of new product development</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We have a strong track record of innovation, focused on the addition of innovative features to our existing products and the development of new products that address consumers’ unmet needs. Additionally, we strive to further enhance our core product portfolio. We are able to identify emerging consumer trends through our extensive consumer insights, allowing us to develop products with the features and functions that consumers are looking for. We believe we were the first to introduce a food storage bag, the first to introduce a slider closure on food storage bags, the first to introduce the drawstring trash bag, the first to introduce the “gripper” feature on trash bags, the first to add an unscented odor block feature to trash bags and the first to add non-stick coating to aluminum foil. We have a robust track record of developing and launching successful new products.</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20" w:type="dxa"/>
            <w:vAlign w:val="bottom"/>
            <w:vMerge w:val="restart"/>
            <w:shd w:val="clear" w:color="auto" w:fill="02237A"/>
          </w:tcPr>
          <w:p>
            <w:pPr>
              <w:ind w:left="1180"/>
              <w:spacing w:after="0"/>
              <w:rPr>
                <w:sz w:val="20"/>
                <w:szCs w:val="20"/>
                <w:color w:val="auto"/>
              </w:rPr>
            </w:pPr>
            <w:r>
              <w:rPr>
                <w:rFonts w:ascii="Arial" w:cs="Arial" w:eastAsia="Arial" w:hAnsi="Arial"/>
                <w:sz w:val="14"/>
                <w:szCs w:val="14"/>
                <w:b w:val="1"/>
                <w:bCs w:val="1"/>
                <w:color w:val="FFFFFF"/>
              </w:rPr>
              <w:t>Hefty Ultra Strong</w:t>
            </w:r>
          </w:p>
        </w:tc>
        <w:tc>
          <w:tcPr>
            <w:tcW w:w="360" w:type="dxa"/>
            <w:vAlign w:val="bottom"/>
          </w:tcPr>
          <w:p>
            <w:pPr>
              <w:spacing w:after="0"/>
              <w:rPr>
                <w:sz w:val="16"/>
                <w:szCs w:val="16"/>
                <w:color w:val="auto"/>
              </w:rPr>
            </w:pPr>
          </w:p>
        </w:tc>
        <w:tc>
          <w:tcPr>
            <w:tcW w:w="3400" w:type="dxa"/>
            <w:vAlign w:val="bottom"/>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7"/>
              </w:rPr>
              <w:t>Reynolds KITCHENS Slow</w:t>
            </w:r>
          </w:p>
        </w:tc>
        <w:tc>
          <w:tcPr>
            <w:tcW w:w="320" w:type="dxa"/>
            <w:vAlign w:val="bottom"/>
          </w:tcPr>
          <w:p>
            <w:pPr>
              <w:spacing w:after="0"/>
              <w:rPr>
                <w:sz w:val="16"/>
                <w:szCs w:val="16"/>
                <w:color w:val="auto"/>
              </w:rPr>
            </w:pPr>
          </w:p>
        </w:tc>
        <w:tc>
          <w:tcPr>
            <w:tcW w:w="3420" w:type="dxa"/>
            <w:vAlign w:val="bottom"/>
            <w:shd w:val="clear" w:color="auto" w:fill="02237A"/>
          </w:tcPr>
          <w:p>
            <w:pPr>
              <w:jc w:val="center"/>
              <w:ind w:left="8"/>
              <w:spacing w:after="0"/>
              <w:rPr>
                <w:sz w:val="20"/>
                <w:szCs w:val="20"/>
                <w:color w:val="auto"/>
              </w:rPr>
            </w:pPr>
            <w:r>
              <w:rPr>
                <w:rFonts w:ascii="Arial" w:cs="Arial" w:eastAsia="Arial" w:hAnsi="Arial"/>
                <w:sz w:val="14"/>
                <w:szCs w:val="14"/>
                <w:b w:val="1"/>
                <w:bCs w:val="1"/>
                <w:color w:val="FFFFFF"/>
                <w:w w:val="91"/>
              </w:rPr>
              <w:t>Store brand square</w:t>
            </w:r>
          </w:p>
        </w:tc>
        <w:tc>
          <w:tcPr>
            <w:tcW w:w="0" w:type="dxa"/>
            <w:vAlign w:val="bottom"/>
          </w:tcPr>
          <w:p>
            <w:pPr>
              <w:spacing w:after="0"/>
              <w:rPr>
                <w:sz w:val="1"/>
                <w:szCs w:val="1"/>
                <w:color w:val="auto"/>
              </w:rPr>
            </w:pPr>
          </w:p>
        </w:tc>
      </w:tr>
      <w:tr>
        <w:trPr>
          <w:trHeight w:val="119"/>
        </w:trPr>
        <w:tc>
          <w:tcPr>
            <w:tcW w:w="3520" w:type="dxa"/>
            <w:vAlign w:val="bottom"/>
            <w:vMerge w:val="continue"/>
            <w:shd w:val="clear" w:color="auto" w:fill="02237A"/>
          </w:tcPr>
          <w:p>
            <w:pPr>
              <w:spacing w:after="0"/>
              <w:rPr>
                <w:sz w:val="10"/>
                <w:szCs w:val="10"/>
                <w:color w:val="auto"/>
              </w:rPr>
            </w:pPr>
          </w:p>
        </w:tc>
        <w:tc>
          <w:tcPr>
            <w:tcW w:w="360" w:type="dxa"/>
            <w:vAlign w:val="bottom"/>
          </w:tcPr>
          <w:p>
            <w:pPr>
              <w:spacing w:after="0"/>
              <w:rPr>
                <w:sz w:val="10"/>
                <w:szCs w:val="10"/>
                <w:color w:val="auto"/>
              </w:rPr>
            </w:pPr>
          </w:p>
        </w:tc>
        <w:tc>
          <w:tcPr>
            <w:tcW w:w="3400" w:type="dxa"/>
            <w:vAlign w:val="bottom"/>
            <w:vMerge w:val="restart"/>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95"/>
              </w:rPr>
              <w:t>Cooker Liners</w:t>
            </w:r>
          </w:p>
        </w:tc>
        <w:tc>
          <w:tcPr>
            <w:tcW w:w="320" w:type="dxa"/>
            <w:vAlign w:val="bottom"/>
          </w:tcPr>
          <w:p>
            <w:pPr>
              <w:spacing w:after="0"/>
              <w:rPr>
                <w:sz w:val="10"/>
                <w:szCs w:val="10"/>
                <w:color w:val="auto"/>
              </w:rPr>
            </w:pPr>
          </w:p>
        </w:tc>
        <w:tc>
          <w:tcPr>
            <w:tcW w:w="3420" w:type="dxa"/>
            <w:vAlign w:val="bottom"/>
            <w:vMerge w:val="restart"/>
            <w:shd w:val="clear" w:color="auto" w:fill="02237A"/>
          </w:tcPr>
          <w:p>
            <w:pPr>
              <w:jc w:val="center"/>
              <w:ind w:left="28"/>
              <w:spacing w:after="0"/>
              <w:rPr>
                <w:sz w:val="20"/>
                <w:szCs w:val="20"/>
                <w:color w:val="auto"/>
              </w:rPr>
            </w:pPr>
            <w:r>
              <w:rPr>
                <w:rFonts w:ascii="Arial" w:cs="Arial" w:eastAsia="Arial" w:hAnsi="Arial"/>
                <w:sz w:val="14"/>
                <w:szCs w:val="14"/>
                <w:b w:val="1"/>
                <w:bCs w:val="1"/>
                <w:color w:val="FFFFFF"/>
                <w:w w:val="89"/>
              </w:rPr>
              <w:t>snack bags</w:t>
            </w:r>
          </w:p>
        </w:tc>
        <w:tc>
          <w:tcPr>
            <w:tcW w:w="0" w:type="dxa"/>
            <w:vAlign w:val="bottom"/>
          </w:tcPr>
          <w:p>
            <w:pPr>
              <w:spacing w:after="0"/>
              <w:rPr>
                <w:sz w:val="1"/>
                <w:szCs w:val="1"/>
                <w:color w:val="auto"/>
              </w:rPr>
            </w:pPr>
          </w:p>
        </w:tc>
      </w:tr>
      <w:tr>
        <w:trPr>
          <w:trHeight w:val="68"/>
        </w:trPr>
        <w:tc>
          <w:tcPr>
            <w:tcW w:w="3520" w:type="dxa"/>
            <w:vAlign w:val="bottom"/>
            <w:shd w:val="clear" w:color="auto" w:fill="02237A"/>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vMerge w:val="continue"/>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vMerge w:val="continue"/>
            <w:shd w:val="clear" w:color="auto" w:fill="02237A"/>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520" w:type="dxa"/>
            <w:vAlign w:val="bottom"/>
            <w:shd w:val="clear" w:color="auto" w:fill="02237A"/>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shd w:val="clear" w:color="auto" w:fill="02237A"/>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shd w:val="clear" w:color="auto" w:fill="02237A"/>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77470</wp:posOffset>
            </wp:positionV>
            <wp:extent cx="780415" cy="780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80415" cy="7804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205740</wp:posOffset>
            </wp:positionV>
            <wp:extent cx="1097915" cy="4546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97915" cy="45466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60325</wp:posOffset>
            </wp:positionV>
            <wp:extent cx="617220" cy="7461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7220" cy="74612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hanging="224"/>
        <w:spacing w:after="0" w:line="253" w:lineRule="auto"/>
        <w:tabs>
          <w:tab w:leader="none" w:pos="479"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Addresses top consumer dissatisfactions such as odors, drawstring breaks and bag tears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7" w:hanging="207"/>
        <w:spacing w:after="0" w:line="253" w:lineRule="auto"/>
        <w:tabs>
          <w:tab w:leader="none" w:pos="186" w:val="left"/>
        </w:tabs>
        <w:numPr>
          <w:ilvl w:val="0"/>
          <w:numId w:val="63"/>
        </w:numPr>
        <w:rPr>
          <w:rFonts w:ascii="Arial" w:cs="Arial" w:eastAsia="Arial" w:hAnsi="Arial"/>
          <w:sz w:val="14"/>
          <w:szCs w:val="14"/>
          <w:color w:val="auto"/>
        </w:rPr>
      </w:pPr>
      <w:r>
        <w:rPr>
          <w:rFonts w:ascii="Arial" w:cs="Arial" w:eastAsia="Arial" w:hAnsi="Arial"/>
          <w:sz w:val="14"/>
          <w:szCs w:val="14"/>
          <w:color w:val="auto"/>
        </w:rPr>
        <w:t>Addresses key pain point of soaking/scrubbing the slow cooker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19" w:right="60" w:hanging="219"/>
        <w:spacing w:after="0" w:line="238" w:lineRule="auto"/>
        <w:tabs>
          <w:tab w:leader="none" w:pos="199"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Addresses consumer need for taller bags that can fit a larger assortment of snacks in terms of size and shape</w:t>
      </w:r>
    </w:p>
    <w:p>
      <w:pPr>
        <w:spacing w:after="0" w:line="62" w:lineRule="exact"/>
        <w:rPr>
          <w:sz w:val="20"/>
          <w:szCs w:val="20"/>
          <w:color w:val="auto"/>
        </w:rPr>
      </w:pPr>
    </w:p>
    <w:p>
      <w:pPr>
        <w:sectPr>
          <w:pgSz w:w="11900" w:h="16838" w:orient="portrait"/>
          <w:cols w:equalWidth="0" w:num="3">
            <w:col w:w="3640" w:space="633"/>
            <w:col w:w="3107" w:space="621"/>
            <w:col w:w="3239"/>
          </w:cols>
          <w:pgMar w:left="240" w:top="459" w:right="419" w:bottom="1440" w:gutter="0" w:footer="0" w:header="0"/>
          <w:type w:val="continuous"/>
        </w:sectPr>
      </w:pPr>
    </w:p>
    <w:tbl>
      <w:tblPr>
        <w:tblLayout w:type="fixed"/>
        <w:tblInd w:w="220" w:type="dxa"/>
        <w:tblCellMar>
          <w:top w:w="0" w:type="dxa"/>
          <w:left w:w="0" w:type="dxa"/>
          <w:bottom w:w="0" w:type="dxa"/>
          <w:right w:w="0" w:type="dxa"/>
        </w:tblCellMar>
      </w:tblPr>
      <w:tr>
        <w:trPr>
          <w:trHeight w:val="161"/>
        </w:trPr>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3540" w:type="dxa"/>
            <w:vAlign w:val="bottom"/>
          </w:tcPr>
          <w:p>
            <w:pPr>
              <w:ind w:left="80"/>
              <w:spacing w:after="0"/>
              <w:rPr>
                <w:sz w:val="20"/>
                <w:szCs w:val="20"/>
                <w:color w:val="auto"/>
              </w:rPr>
            </w:pPr>
            <w:r>
              <w:rPr>
                <w:rFonts w:ascii="Arial" w:cs="Arial" w:eastAsia="Arial" w:hAnsi="Arial"/>
                <w:sz w:val="14"/>
                <w:szCs w:val="14"/>
                <w:color w:val="auto"/>
              </w:rPr>
              <w:t>Utilizes Arm &amp; Hammer patented odor neutralizer for</w:t>
            </w:r>
          </w:p>
        </w:tc>
        <w:tc>
          <w:tcPr>
            <w:tcW w:w="460" w:type="dxa"/>
            <w:vAlign w:val="bottom"/>
          </w:tcPr>
          <w:p>
            <w:pPr>
              <w:ind w:left="34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BPA-free product that offers convenience for</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3120" w:type="dxa"/>
            <w:vAlign w:val="bottom"/>
          </w:tcPr>
          <w:p>
            <w:pPr>
              <w:ind w:left="80"/>
              <w:spacing w:after="0"/>
              <w:rPr>
                <w:sz w:val="20"/>
                <w:szCs w:val="20"/>
                <w:color w:val="auto"/>
              </w:rPr>
            </w:pPr>
            <w:r>
              <w:rPr>
                <w:rFonts w:ascii="Arial" w:cs="Arial" w:eastAsia="Arial" w:hAnsi="Arial"/>
                <w:sz w:val="14"/>
                <w:szCs w:val="14"/>
                <w:color w:val="auto"/>
                <w:w w:val="96"/>
              </w:rPr>
              <w:t>Unique square shape that is easier to fill and close</w:t>
            </w:r>
          </w:p>
        </w:tc>
      </w:tr>
      <w:tr>
        <w:trPr>
          <w:trHeight w:val="182"/>
        </w:trPr>
        <w:tc>
          <w:tcPr>
            <w:tcW w:w="180" w:type="dxa"/>
            <w:vAlign w:val="bottom"/>
          </w:tcPr>
          <w:p>
            <w:pPr>
              <w:spacing w:after="0"/>
              <w:rPr>
                <w:sz w:val="15"/>
                <w:szCs w:val="15"/>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revitalized scents</w:t>
            </w:r>
          </w:p>
        </w:tc>
        <w:tc>
          <w:tcPr>
            <w:tcW w:w="460" w:type="dxa"/>
            <w:vAlign w:val="bottom"/>
          </w:tcPr>
          <w:p>
            <w:pPr>
              <w:spacing w:after="0"/>
              <w:rPr>
                <w:sz w:val="15"/>
                <w:szCs w:val="15"/>
                <w:color w:val="auto"/>
              </w:rPr>
            </w:pPr>
          </w:p>
        </w:tc>
        <w:tc>
          <w:tcPr>
            <w:tcW w:w="3140" w:type="dxa"/>
            <w:vAlign w:val="bottom"/>
          </w:tcPr>
          <w:p>
            <w:pPr>
              <w:ind w:left="80"/>
              <w:spacing w:after="0"/>
              <w:rPr>
                <w:sz w:val="20"/>
                <w:szCs w:val="20"/>
                <w:color w:val="auto"/>
              </w:rPr>
            </w:pPr>
            <w:r>
              <w:rPr>
                <w:rFonts w:ascii="Arial" w:cs="Arial" w:eastAsia="Arial" w:hAnsi="Arial"/>
                <w:sz w:val="14"/>
                <w:szCs w:val="14"/>
                <w:color w:val="auto"/>
              </w:rPr>
              <w:t>household meal preparation</w:t>
            </w:r>
          </w:p>
        </w:tc>
        <w:tc>
          <w:tcPr>
            <w:tcW w:w="5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4"/>
                <w:szCs w:val="14"/>
                <w:color w:val="auto"/>
                <w:w w:val="98"/>
              </w:rPr>
              <w:t>and offers more optionality than rectangular bags</w:t>
            </w:r>
          </w:p>
        </w:tc>
      </w:tr>
      <w:tr>
        <w:trPr>
          <w:trHeight w:val="223"/>
        </w:trPr>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3540" w:type="dxa"/>
            <w:vAlign w:val="bottom"/>
          </w:tcPr>
          <w:p>
            <w:pPr>
              <w:ind w:left="80"/>
              <w:spacing w:after="0"/>
              <w:rPr>
                <w:sz w:val="20"/>
                <w:szCs w:val="20"/>
                <w:color w:val="auto"/>
              </w:rPr>
            </w:pPr>
            <w:r>
              <w:rPr>
                <w:rFonts w:ascii="Arial" w:cs="Arial" w:eastAsia="Arial" w:hAnsi="Arial"/>
                <w:sz w:val="14"/>
                <w:szCs w:val="14"/>
                <w:color w:val="auto"/>
              </w:rPr>
              <w:t>Uses active tear-resistant technology and higher grade</w:t>
            </w:r>
          </w:p>
        </w:tc>
        <w:tc>
          <w:tcPr>
            <w:tcW w:w="460" w:type="dxa"/>
            <w:vAlign w:val="bottom"/>
          </w:tcPr>
          <w:p>
            <w:pPr>
              <w:ind w:left="34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Provides fast and easy clean up in seconds</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3120" w:type="dxa"/>
            <w:vAlign w:val="bottom"/>
          </w:tcPr>
          <w:p>
            <w:pPr>
              <w:ind w:left="80"/>
              <w:spacing w:after="0"/>
              <w:rPr>
                <w:sz w:val="20"/>
                <w:szCs w:val="20"/>
                <w:color w:val="auto"/>
              </w:rPr>
            </w:pPr>
            <w:r>
              <w:rPr>
                <w:rFonts w:ascii="Arial" w:cs="Arial" w:eastAsia="Arial" w:hAnsi="Arial"/>
                <w:sz w:val="14"/>
                <w:szCs w:val="14"/>
                <w:color w:val="auto"/>
              </w:rPr>
              <w:t>Multipurpose storage that seals in flavor and</w:t>
            </w:r>
          </w:p>
        </w:tc>
      </w:tr>
      <w:tr>
        <w:trPr>
          <w:trHeight w:val="167"/>
        </w:trPr>
        <w:tc>
          <w:tcPr>
            <w:tcW w:w="1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resin for stronger bags and improved performance</w:t>
            </w:r>
          </w:p>
        </w:tc>
        <w:tc>
          <w:tcPr>
            <w:tcW w:w="4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freshness for food items</w:t>
            </w:r>
          </w:p>
        </w:tc>
      </w:tr>
    </w:tbl>
    <w:p>
      <w:pPr>
        <w:spacing w:after="0" w:line="202" w:lineRule="exact"/>
        <w:rPr>
          <w:sz w:val="20"/>
          <w:szCs w:val="20"/>
          <w:color w:val="auto"/>
        </w:rPr>
      </w:pPr>
    </w:p>
    <w:p>
      <w:pPr>
        <w:jc w:val="both"/>
        <w:ind w:left="200" w:right="320" w:firstLine="441"/>
        <w:spacing w:after="0" w:line="302" w:lineRule="auto"/>
        <w:rPr>
          <w:sz w:val="20"/>
          <w:szCs w:val="20"/>
          <w:color w:val="auto"/>
        </w:rPr>
      </w:pPr>
      <w:r>
        <w:rPr>
          <w:rFonts w:ascii="Arial" w:cs="Arial" w:eastAsia="Arial" w:hAnsi="Arial"/>
          <w:sz w:val="16"/>
          <w:szCs w:val="16"/>
          <w:color w:val="auto"/>
        </w:rPr>
        <w:t>We have invested considerable resources to develop proprietary products and efficient manufacturing capabilities and we actively protect our intellectual property. 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also look to partner with both our suppliers and customers to drive innovation through the entire supply chain.</w:t>
      </w:r>
    </w:p>
    <w:p>
      <w:pPr>
        <w:spacing w:after="0" w:line="15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sustainability becomes more central to the consumer’s purchasing decision, we remain focused on developing new eco-friendly products, and we are continuously investing in our capabilities to improve our ability to utilize recycled materials. We currently have environmentally friendly options across the vast majority of our product categories, such as compostable trash bags and store brand bags made from plant-based resins and recyclable materials. We believe we are well positioned to capitalize on these trends as aluminum, one of our</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core inputs, is infinitely recyclable and is supported as a green, recoverable material. We have, for example, launched Reynolds Wrap 100% Recycled Foil into retail distribution and we have recently launched 75% Unbleached Compostable Parchment Paper. We have a strong pipeline of new products in development, many of which are part of our broader sustainability initiatives.</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Innovation is a significant component of our culture and is further instilled through Reyvolution. We have devoted significant resources towards this endeavor and believe that our highly experienced R&amp;D teams will remain on the cutting edge.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Well-invested manufacturing footprint that serves as a competitive moat</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a robust and well invested manufacturing footprint which includes 17 manufacturing facilities and over 5,000 employees. Our facilities are strategically located across the United States and Canada, and the majority of our products are proudly made in the United States. Our low-cost and efficient manufacturing facilities enable us to optimize distribution, minimize lead times and reduce freight costs. This significant production base, built over decades, positions us well versus our competitive peer set. We estimate that it would require more than $2.5 billion to replicate our manufacturing assets, and we believe it would be exceedingly difficult to replicate our proprietary manufacturing know-how and in-house developed technology that enable us to run our facilities faster, with greater automation and with higher quality control. Our unique manufacturing capabilities enable us to produce a broad selection of differentiated products that help drive growth while providing a substantial barrier to entry.</w:t>
      </w:r>
    </w:p>
    <w:p>
      <w:pPr>
        <w:spacing w:after="0" w:line="16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Through Reyvolution, we are focused on lean manufacturing initiatives to reduce material usage, improve uptime and increase productivity across every site. We are heavily automated today and are committed to further investments in automation, including recent initiatives focused on the automation of repetitive manual tasks to increase operating efficiency and consistency, while protecting ourselves from labor fluctuations. Our automation processes and proprietary manufacturing technologies are difficult for competitors to replicate.</w:t>
      </w:r>
    </w:p>
    <w:p>
      <w:pPr>
        <w:spacing w:after="0" w:line="17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operations have significant scale and substantial vertical integration, which provides us with competitive advantages. Our substantial vertical integration gives us increased independence from suppliers and the ability to control costs more efficiently. It also partially insulates us from import volatility. We have a robust network of suppliers allowing us to be nimble in our input material purchasing.</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Attractive financial performance with strong free cash flow generation</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have an attractive financial profile with steady organic revenue growth, strong margins and disciplined capital expenditures. These attributes allow us to generate robust free cash flow.</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Since 2014, our income from operations margin and Adjusted EBITDA margin have grown by 364 and 242 basis points to 16% and 21%, respectively, in the year ended December 31, 2018. We have driven margin expansion mainly by managing costs, increasing our volumes and manufacturing efficiency and driving innovation. We are able to deliver attractive Adjusted EBITDA margins due to the high value-added nature of our products. We defend our margin position through innovation driven growth, cost savings and effective purchasing. The vertically integrated nature of our business provides further insulation for our margin profile.</w:t>
      </w:r>
    </w:p>
    <w:p>
      <w:pPr>
        <w:spacing w:after="0" w:line="18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plan to continue leveraging Reyvolution to deliver incremental operational productivity savings, improve our business mix and increase the effectiveness of our sales force. Historically our business has relatively low capital expenditure requirements, averaging $60 million per year over the past three fiscal years, which drives our high rate of free cash flow conversion.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Commitment to sustainability and values</w:t>
      </w:r>
    </w:p>
    <w:p>
      <w:pPr>
        <w:spacing w:after="0" w:line="117" w:lineRule="exact"/>
        <w:rPr>
          <w:sz w:val="20"/>
          <w:szCs w:val="20"/>
          <w:color w:val="auto"/>
        </w:rPr>
      </w:pPr>
    </w:p>
    <w:p>
      <w:pPr>
        <w:jc w:val="both"/>
        <w:ind w:left="200" w:right="240" w:firstLine="441"/>
        <w:spacing w:after="0" w:line="277" w:lineRule="auto"/>
        <w:rPr>
          <w:sz w:val="20"/>
          <w:szCs w:val="20"/>
          <w:color w:val="auto"/>
        </w:rPr>
      </w:pPr>
      <w:r>
        <w:rPr>
          <w:rFonts w:ascii="Arial" w:cs="Arial" w:eastAsia="Arial" w:hAnsi="Arial"/>
          <w:sz w:val="18"/>
          <w:szCs w:val="18"/>
          <w:color w:val="auto"/>
        </w:rPr>
        <w:t>We put safety first, treat people with respect and operate ethically to help ensure that we manage our business on a sound long-term foundation. We never compromise our values, regardless of market forces, and we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remain committed to strong rules of governance. We manage our business for long-term results, as evidenced by the robust Reyvolution initiative pipeline across all facets of our business. We believe corporate responsibility is the obligation of all employees. Our management team is committed to maintaining our culture, which has been an important component of our success.</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strive to operate with respect for the environment and are committed to sustainability across three key areas: our product portfolio, supply chain and communities. We engage with our employees and partner with our customers to explore sustainability topics like plant and distribution route efficiency. We participate at the forefront of emerging municipal programs that generate new community based solutions and also end-to-end recycling solutions with our Hefty EnergyBag Program in partnership with a key supplier. We are longstanding members of the Sustainable Packaging Coalition, an industry working group dedicated to a more robust environmental vision for packaging, and the Forest Stewardship Council through their voluntary program for responsible forest management. We are committed to using recycled, renewable, recyclable, compostable and other sustainable materials in our products, which drives our product-oriented sustainability initiatives. Currently, 33% of the products that we sell in the United States are recyclable.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Management team with a strong track record of innovation-driven growth</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a deep bench of talented managers led by Lance Mitchell, our President and Chief Executive Officer, who has over 35 years of industry experience. Both our CEO and CFO have played a pivotal role in the successful integration of the Reynolds and Hefty businesses. We have continued to assemble a leading team through strategic hires and have expanded our organizational capabilities in new product development. Through the lens of Reyvolution, our management team is focused on their vision for RCP, which includes a culture of innovation, excelling at quality and service, creating products people love and constantly evolving the business. Our management team’s key accomplishments include integrating, developing and growing a company with a strong ethics-driven and safety-focused culture while still achieving best-in-class market share and strong financial results. In addition, we attribute our lower than industry standard turnover rates to our collaborative, trustworthy company culture and our unwavering commitment to safety and to our people. Our strong management team is well positioned to effectively manage the business into the future with a depth of talented and dedicated employees already primed to lead the next generation of RCP.</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elements of our business strategy include: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Champion our categories and grow with our customers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participate in large consumer categories with strong household penetration. Our combined branded and store brand share is significant in our categories. Our products appeal to consumers of all demographics and have a multitude of usage occasions. Our scale across household aisles and ability to offer trusted branded and store brand products enable us to grow the overall category and has earned us the opportunity to provide category captain level advisor insights at the majority of our retail partners. Our respected and trusted category managers provide our customers with category management expertise, insight and analytics to help them drive consumer traffic and spending. Through marketing and consumer education strategies, both inside the store and out, we expand usage occasions and stimulate consumption. Our new product innovation drives incremental growth within our categories. These factors and our focus on offering a high quality portfolio of branded and store brand products provide tremendous value to our retailers versus our competition.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Continued investment behind our market-leading brand portfolio</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iconic brands and a proven ability to innovate, which enable us to approach adjacencies strategically and enhance our brand relevance with consumers. We plan to continue our investment in marketing</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and advertising to grow the revenues of our product offerings and the categories in which they participate. Our innovative approach to advertising, and early adoption of new channels such as digital, social media and experiential events, have addressed the full range of consumer constituents and resulted in powerful penetration growth, market share growth and increased usage occasions, even in some of our more mature categories. For example, we have worked closely with advertisers to integrate aluminum foil, parchment paper, slow cooker liners and oven bags into recipes, which has resulted in over 40,000 integrated online recipes which offer simplified solutions in the kitchen. Additionally, our successful Hefty advertising campaigns have driven a 5% market share growth in the trash bag category over the last four years. We have a strong competency in measuring, monitoring and improving the efficiency of our marketing spending through internal proprietary analytical techniques. We believe there is a significant opportunity to use our existing brand equity and expand into adjacent categories.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Strengthen presence across distribution channels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to traditional grocery, we believe there is significant opportunity to expand within the club, home improvement, dollar-store and eCommerce channels across our full product portfolio. Building on Hefty’s brand dominance in large trash bags, we have provided new consumer insights to the home improvement and club channels, which have generated growth and new distribution. For example, the introduction of the new Hefty Load ‘n Carry product in the home improvement channel has energized Hefty’s relationships with DIYers and generated significant interest from these retail partners. Additionally, we see opportunity for our Reynolds products in the home improvement and club channels, with recent new customer wins and SKU expansion driving future growth.</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eCommerce penetration is expected to increase, due to the convenience of online ordering and subscription delivery, particularly for easy-to-ship household product categories. Given our strong relationship with online retailers, we are well-positioned to compete profitably and gain share in this growing channel. We provide both branded and private brand products through this channel, to address the consumer’s need for convenience and value. Furthering our eCommerce strategy, we recently launched a full line of store brand aluminum foil, trash bags and food storage bags as the exclusive supplier to the eCommerce leader. Additionally, most of our products are compatible with the eCommerce channel because they are shelf stable and efficient to transport. The recurring nature of consumer purchase cycles for our products positions us well to capitalize on continued growth of grocery pickup and subscription services.</w:t>
      </w:r>
    </w:p>
    <w:p>
      <w:pPr>
        <w:spacing w:after="0" w:line="189"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Finally, given our brand strength, technical expertise and the extensive use of products within our categories around the world, we see opportunities to selectively expand internationally. We currently sell to 54 countries around the world; however, this currently represents a small percentage of our annual revenue. During fiscal year 2018, North America represented 99% of our total sales. We estimate our addressable market outside the United States and Canada to be approximately $7.3 billion.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Drive growth through new and innovative products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an innovation driven company, and through Reyvolution, new product development plays a significant role in our growth strategy. Our innovation capabilities, combined with our investments in consumer-focused market research, will allow us to continue our track record of successful new product launches. We proactively collaborate with our retail partners on customized product innovation. Our product innovation pipeline focuses on use occasions including meals and snacks on-the-go as well as sustainability and the needs of the millennial consumer. Our objective is to generate 20% of our revenue each year from new products introduced within the prior three years. In fiscal year 2018, 21% of our revenue was generated from products that were less than three years old.</w:t>
      </w:r>
    </w:p>
    <w:p>
      <w:pPr>
        <w:spacing w:after="0" w:line="19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More recently, through Hefty, we launched a new Ultra Strong product line that takes advantage of our triple action technology, which Nielsen awarded the 2018 Innovation Award (one of only 25 nationally). Our</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Reynolds KITCHENS Parchment Pop Up Sheets and Presto store brand square-shaped snack bags have been great successes with consumers, providing products better aligned with usage needs than the existing options on the shelf. Furthermore, Hefty sliders storage bags with the Stand &amp; Fill feature, launched in 2019, are preferred over the competition by 73% of consumers.</w:t>
      </w:r>
    </w:p>
    <w:p>
      <w:pPr>
        <w:spacing w:after="0" w:line="181"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have focused much of our innovation efforts around sustainability, and we offer a broad line of products that are better for the planet. We are focusing on products made with recycled, renewable, recyclable and compostable materials. For example, we recently launched 75% Unbleached Compostable Parchment Paper and redesigned our Hefty party cups to reduce the plastic by 10% while maintaining strength.</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Systematically improve operational efficiency and reduce cost</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cultivated a continuous improvement mindset oriented towards cost reduction, productivity improvements and lean manufacturing. We are focused on improving the ways in which we develop and manufacture products with data-driven decision making and robust lean business principles. Deep manufacturing expertise across our portfolio provides us with trade secret manufacturing know-how that delivers technical advantages and a low-cost competitive position. Our scale enables us to purchase inputs efficiently and increases our purchasing flexibility. We have implemented a simplified go-to-market strategy that fully leverages our customer relationships and scale and reduces overhead. We also continue to invest in automating repetitive manual tasks to increase operating efficiency and consistency, while reducing our exposure to labor fluctuations. We use digital capabilities to significantly improve our operational efficiency and effectiveness. We have launched an “intelligent factory program” to establish an integrated, data-driven culture that transforms our operations through digitally-connected people, assets and processes.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Drive shareholder returns through balanced capital allocation</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believe our strong free cash flow enables us to invest in and grow our business organically, reduce our indebtedness and pursue strategic M&amp;A to create value for our stockholders. We also expect to return capital to our stockholders through regular dividend payments. We expect to pay a regular</w:t>
      </w:r>
    </w:p>
    <w:p>
      <w:pPr>
        <w:ind w:left="200" w:right="140"/>
        <w:spacing w:after="0" w:line="261" w:lineRule="auto"/>
        <w:rPr>
          <w:sz w:val="20"/>
          <w:szCs w:val="20"/>
          <w:color w:val="auto"/>
        </w:rPr>
      </w:pPr>
      <w:r>
        <w:rPr>
          <w:rFonts w:ascii="Arial" w:cs="Arial" w:eastAsia="Arial" w:hAnsi="Arial"/>
          <w:sz w:val="18"/>
          <w:szCs w:val="18"/>
          <w:color w:val="auto"/>
        </w:rPr>
        <w:t>quarterly cash dividend on our common stock of $ per share beginning in the quarter of fiscal year 20 , subject to declaration by our board of directors. See “Dividend Policy” for additional details.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Waste &amp; Storage Products</w:t>
      </w:r>
    </w:p>
    <w:p>
      <w:pPr>
        <w:spacing w:after="0" w:line="117"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The U.S. waste and storage products category generated $4.3 billion of sales across Nielsen tracked channels in 2018. Waste and storage products include branded and store brand trash bags and food storage bags sold through our Hefty and Presto segments. The table below shows overall category size, recent growth and category share of store brand and branded in the waste and storage products category within the United States.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Category size</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Category share</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1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CAGR ‘16-‘18</w:t>
            </w:r>
          </w:p>
        </w:tc>
        <w:tc>
          <w:tcPr>
            <w:tcW w:w="214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 Store Brand</w:t>
            </w: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20" w:type="dxa"/>
            <w:vAlign w:val="bottom"/>
            <w:gridSpan w:val="3"/>
          </w:tcPr>
          <w:p>
            <w:pPr>
              <w:ind w:left="174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 ‘18</w:t>
            </w:r>
          </w:p>
        </w:tc>
        <w:tc>
          <w:tcPr>
            <w:tcW w:w="2140" w:type="dxa"/>
            <w:vAlign w:val="bottom"/>
            <w:gridSpan w:val="3"/>
            <w:vMerge w:val="continue"/>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Trash bags</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2,665</w:t>
            </w:r>
          </w:p>
        </w:tc>
        <w:tc>
          <w:tcPr>
            <w:tcW w:w="2140" w:type="dxa"/>
            <w:vAlign w:val="bottom"/>
            <w:gridSpan w:val="3"/>
          </w:tcPr>
          <w:p>
            <w:pPr>
              <w:jc w:val="right"/>
              <w:ind w:right="360"/>
              <w:spacing w:after="0"/>
              <w:rPr>
                <w:sz w:val="20"/>
                <w:szCs w:val="20"/>
                <w:color w:val="auto"/>
              </w:rPr>
            </w:pPr>
            <w:r>
              <w:rPr>
                <w:rFonts w:ascii="Arial" w:cs="Arial" w:eastAsia="Arial" w:hAnsi="Arial"/>
                <w:sz w:val="18"/>
                <w:szCs w:val="18"/>
                <w:color w:val="auto"/>
              </w:rPr>
              <w:t>0.7%</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47%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Food storage bags</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21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Nielsen xAOC 2016-2018.</w:t>
      </w:r>
    </w:p>
    <w:p>
      <w:pPr>
        <w:spacing w:after="0" w:line="20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have leading market shares across the full suite of our trash and food storage bag products. Hefty trash bags can be found in 59% of all U.S. households. Through our Presto segment, we are the largest supplier of store brand food storage bags in the United States with a 57% share of the store brand market. Additionally, we</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have a 35% share of the overall branded and store brand market. Hefty led the slider bag segment with a 32% share. The table below shows our market share across the waste and storage products category.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Total RCP</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14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and Store</w:t>
            </w:r>
          </w:p>
        </w:tc>
        <w:tc>
          <w:tcPr>
            <w:tcW w:w="14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98"/>
              </w:rPr>
              <w:t>Brand</w:t>
            </w:r>
          </w:p>
        </w:tc>
        <w:tc>
          <w:tcPr>
            <w:tcW w:w="1400" w:type="dxa"/>
            <w:vAlign w:val="bottom"/>
            <w:gridSpan w:val="3"/>
            <w:vMerge w:val="continue"/>
          </w:tcPr>
          <w:p>
            <w:pPr>
              <w:spacing w:after="0"/>
              <w:rPr>
                <w:sz w:val="12"/>
                <w:szCs w:val="12"/>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40" w:type="dxa"/>
            <w:vAlign w:val="bottom"/>
            <w:gridSpan w:val="3"/>
          </w:tcPr>
          <w:p>
            <w:pPr>
              <w:ind w:left="200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category</w:t>
            </w:r>
          </w:p>
        </w:tc>
        <w:tc>
          <w:tcPr>
            <w:tcW w:w="540" w:type="dxa"/>
            <w:vAlign w:val="bottom"/>
            <w:gridSpan w:val="2"/>
            <w:vMerge w:val="continue"/>
          </w:tcPr>
          <w:p>
            <w:pPr>
              <w:spacing w:after="0"/>
              <w:rPr>
                <w:sz w:val="14"/>
                <w:szCs w:val="14"/>
                <w:color w:val="auto"/>
              </w:rPr>
            </w:pP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category</w:t>
            </w: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Trash bags</w:t>
            </w:r>
          </w:p>
        </w:tc>
        <w:tc>
          <w:tcPr>
            <w:tcW w:w="222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500</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963</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Food storage bags</w:t>
            </w:r>
          </w:p>
        </w:tc>
        <w:tc>
          <w:tcPr>
            <w:tcW w:w="22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Nielsen xAOC 2018.</w:t>
      </w:r>
    </w:p>
    <w:p>
      <w:pPr>
        <w:spacing w:after="0" w:line="208"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Within the trash bags category there is limited shelf space for multiple brands and significant investment is required to build brand equity with consumers. Our cost competitive manufacturing and effective marketing enable us to succeed in our product categories. In trash bags, consumers are increasingly purchasing bags with added features such as flex, drawstring and various scent choices. We deliver on these consumer trends and the consumer’s desire for value and quality with our high performing product portfolio. “Better Bag, Better Value” is our operating philosophy and our competitive advantage.</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Within food storage bags, consumers are migrating to higher-count pack sizes while seeking a right-sized bag to avoid waste. Additionally, consumers are trading up from traditional non-reclosable bags to products with more convenient closures such as press-to-close and sliders. Our success in this category is a result of high quality, scale, significant technical know-how and a competitive cost position.</w:t>
      </w:r>
    </w:p>
    <w:p>
      <w:pPr>
        <w:spacing w:after="0" w:line="166"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We offer a wide range of sustainable solutions, including compostable bags and products made from plant-based and recycled materials. Our Hefty EnergyBag Program continues to expand, helping communities increase recycling rates and unlock the value of hard-to-recycle plastics by converting them into useful resources such as energy, fuel or durable building materials.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Cooking Products</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Cooking products includes branded and store brand aluminum foil, aluminum bakeware and convenience cooking products, primarily sold through our Reynolds Cooking &amp; Baking segment. Within the convenience cooking category, we sell parchment paper, slow cooker liners, oven bags, wax paper, freezer paper and baking cups. The overall cooking products category generated approximately $1.1 billion of sales in the U.S. across Nielsen tracked channels in 2018. The table below shows overall category size, recent growth and category share of store brand and branded in the cooking products category within the United States.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Category size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w w:val="92"/>
              </w:rPr>
              <w:t>Category share</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1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CAGR ‘16-‘18</w:t>
            </w:r>
          </w:p>
        </w:tc>
        <w:tc>
          <w:tcPr>
            <w:tcW w:w="21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 Store Brand</w:t>
            </w: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500" w:type="dxa"/>
            <w:vAlign w:val="bottom"/>
            <w:gridSpan w:val="3"/>
          </w:tcPr>
          <w:p>
            <w:pPr>
              <w:ind w:left="162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 ‘18</w:t>
            </w:r>
          </w:p>
        </w:tc>
        <w:tc>
          <w:tcPr>
            <w:tcW w:w="2100" w:type="dxa"/>
            <w:vAlign w:val="bottom"/>
            <w:gridSpan w:val="3"/>
            <w:vMerge w:val="continue"/>
          </w:tcPr>
          <w:p>
            <w:pPr>
              <w:spacing w:after="0"/>
              <w:rPr>
                <w:sz w:val="14"/>
                <w:szCs w:val="14"/>
                <w:color w:val="auto"/>
              </w:rPr>
            </w:pPr>
          </w:p>
        </w:tc>
        <w:tc>
          <w:tcPr>
            <w:tcW w:w="21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Foil (excl. foodservice)</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794</w:t>
            </w:r>
          </w:p>
        </w:tc>
        <w:tc>
          <w:tcPr>
            <w:tcW w:w="2100" w:type="dxa"/>
            <w:vAlign w:val="bottom"/>
            <w:gridSpan w:val="3"/>
          </w:tcPr>
          <w:p>
            <w:pPr>
              <w:jc w:val="right"/>
              <w:ind w:right="360"/>
              <w:spacing w:after="0"/>
              <w:rPr>
                <w:sz w:val="20"/>
                <w:szCs w:val="20"/>
                <w:color w:val="auto"/>
              </w:rPr>
            </w:pPr>
            <w:r>
              <w:rPr>
                <w:rFonts w:ascii="Arial" w:cs="Arial" w:eastAsia="Arial" w:hAnsi="Arial"/>
                <w:sz w:val="18"/>
                <w:szCs w:val="18"/>
                <w:color w:val="auto"/>
              </w:rPr>
              <w:t>1.3%</w:t>
            </w:r>
          </w:p>
        </w:tc>
        <w:tc>
          <w:tcPr>
            <w:tcW w:w="2100" w:type="dxa"/>
            <w:vAlign w:val="bottom"/>
            <w:gridSpan w:val="3"/>
          </w:tcPr>
          <w:p>
            <w:pPr>
              <w:ind w:left="1120"/>
              <w:spacing w:after="0"/>
              <w:rPr>
                <w:sz w:val="20"/>
                <w:szCs w:val="20"/>
                <w:color w:val="auto"/>
              </w:rPr>
            </w:pPr>
            <w:r>
              <w:rPr>
                <w:rFonts w:ascii="Arial" w:cs="Arial" w:eastAsia="Arial" w:hAnsi="Arial"/>
                <w:sz w:val="18"/>
                <w:szCs w:val="18"/>
                <w:color w:val="auto"/>
              </w:rPr>
              <w:t>36%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Convenience cooking</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21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28%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Nielsen xAOC 2016 – 2018.</w:t>
      </w:r>
    </w:p>
    <w:p>
      <w:pPr>
        <w:spacing w:after="0" w:line="208"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have leading market shares in the U.S. across the cooking products category. Reynolds Wrap is the largest brand within the U.S. foil market and is nearly 50 times the size of all other foil brands combined. It is a renowned cooking aide, found in 82% of U.S. households according to a 1Q Panel survey fielded in July 2019. We have a leadership position within virtually all of our convenience cooking subcategories including a 94%</w:t>
      </w:r>
    </w:p>
    <w:p>
      <w:pPr>
        <w:spacing w:after="0" w:line="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share in branded oven bags, a 76% share in slow cooker liners, a 97% share in freezer paper and a 63% share in wax paper. The table below shows our market share across the cooking products category.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 RCP</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and Store</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3"/>
              </w:rPr>
              <w:t>Brand</w:t>
            </w:r>
          </w:p>
        </w:tc>
        <w:tc>
          <w:tcPr>
            <w:tcW w:w="1380" w:type="dxa"/>
            <w:vAlign w:val="bottom"/>
            <w:gridSpan w:val="3"/>
            <w:vMerge w:val="continue"/>
          </w:tcPr>
          <w:p>
            <w:pPr>
              <w:spacing w:after="0"/>
              <w:rPr>
                <w:sz w:val="12"/>
                <w:szCs w:val="12"/>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00" w:type="dxa"/>
            <w:vAlign w:val="bottom"/>
            <w:gridSpan w:val="3"/>
          </w:tcPr>
          <w:p>
            <w:pPr>
              <w:ind w:left="186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540" w:type="dxa"/>
            <w:vAlign w:val="bottom"/>
            <w:gridSpan w:val="2"/>
            <w:vMerge w:val="continue"/>
          </w:tcPr>
          <w:p>
            <w:pPr>
              <w:spacing w:after="0"/>
              <w:rPr>
                <w:sz w:val="14"/>
                <w:szCs w:val="14"/>
                <w:color w:val="auto"/>
              </w:rPr>
            </w:pPr>
          </w:p>
        </w:tc>
        <w:tc>
          <w:tcPr>
            <w:tcW w:w="1060" w:type="dxa"/>
            <w:vAlign w:val="bottom"/>
            <w:gridSpan w:val="3"/>
          </w:tcPr>
          <w:p>
            <w:pPr>
              <w:ind w:left="4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million)</w:t>
            </w:r>
          </w:p>
        </w:tc>
        <w:tc>
          <w:tcPr>
            <w:tcW w:w="4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category</w:t>
            </w: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Foil (excl. foodservice)</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500</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63%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547</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Convenience cooking</w:t>
            </w:r>
          </w:p>
        </w:tc>
        <w:tc>
          <w:tcPr>
            <w:tcW w:w="20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Nielsen xAOC 2018.</w:t>
      </w:r>
    </w:p>
    <w:p>
      <w:pPr>
        <w:spacing w:after="0" w:line="20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solve key kitchen pain points for consumers by enabling speed and ease, eliminating mess, and enhancing the quality of meals. We foster a love for cooking by serving as a trusted “kitchen assistant”, which gives consumers confidence in the kitchen. Consumers are gravitating towards meals with simple ingredients and this trend aligns well with foil usage in single sheet pan meals and foil pouch cooking. Many consumers, including millennials, are avid grillers and desire high quality foil products that can withstand heat and enhance their cooking. Aluminum foil is infinitely recyclable and is supported as a green material. We have introduced Reynolds Wrap 100% Recycled Foil to meet consumers’ growing demand for sustainable products. We have approximately 80 new product ideas in the pipeline to further capitalize on this and other emerging consumer needs and preferences.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Tableware</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Tableware products include branded and store brand disposable plates, cups, bowls, platters and cutlery. The disposable tableware category generated $4.5 billion of sales in the U.S. across Nielsen tracked channels in 2018 across disposable dishes, cups and cutlery. Within this group, we have leading market shares in plastic cups and foam dishes, which together accounted for $1.4 billion of sales in this category in 2018. We have significant space to grow in this category, and our strong brand equity in foam plates and plastic cups positions us well to grow in other category adjacencies by leveraging our customer relationships and innovation, as demonstrated by our recent launches of hot cup and compostable molded fiber products. The table below shows overall category size, recent growth and category share of store brand and branded in the tableware products category within the United States.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Category size</w:t>
            </w:r>
          </w:p>
        </w:tc>
        <w:tc>
          <w:tcPr>
            <w:tcW w:w="18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CAGR</w:t>
            </w:r>
          </w:p>
        </w:tc>
        <w:tc>
          <w:tcPr>
            <w:tcW w:w="4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Category share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jc w:val="right"/>
              <w:ind w:right="488"/>
              <w:spacing w:after="0" w:line="119" w:lineRule="exact"/>
              <w:rPr>
                <w:sz w:val="20"/>
                <w:szCs w:val="20"/>
                <w:color w:val="auto"/>
              </w:rPr>
            </w:pPr>
            <w:r>
              <w:rPr>
                <w:rFonts w:ascii="Arial" w:cs="Arial" w:eastAsia="Arial" w:hAnsi="Arial"/>
                <w:sz w:val="13"/>
                <w:szCs w:val="13"/>
                <w:b w:val="1"/>
                <w:bCs w:val="1"/>
                <w:color w:val="auto"/>
                <w:w w:val="99"/>
              </w:rPr>
              <w:t>% Store</w:t>
            </w:r>
          </w:p>
        </w:tc>
        <w:tc>
          <w:tcPr>
            <w:tcW w:w="13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Branded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00" w:type="dxa"/>
            <w:vAlign w:val="bottom"/>
            <w:gridSpan w:val="3"/>
          </w:tcPr>
          <w:p>
            <w:pPr>
              <w:ind w:left="202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 ‘18</w:t>
            </w:r>
          </w:p>
        </w:tc>
        <w:tc>
          <w:tcPr>
            <w:tcW w:w="18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‘16-‘18</w:t>
            </w:r>
          </w:p>
        </w:tc>
        <w:tc>
          <w:tcPr>
            <w:tcW w:w="400" w:type="dxa"/>
            <w:vAlign w:val="bottom"/>
          </w:tcPr>
          <w:p>
            <w:pPr>
              <w:spacing w:after="0"/>
              <w:rPr>
                <w:sz w:val="14"/>
                <w:szCs w:val="14"/>
                <w:color w:val="auto"/>
              </w:rPr>
            </w:pPr>
          </w:p>
        </w:tc>
        <w:tc>
          <w:tcPr>
            <w:tcW w:w="106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Brand</w:t>
            </w: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Disposable dishes</w:t>
            </w:r>
          </w:p>
        </w:tc>
        <w:tc>
          <w:tcPr>
            <w:tcW w:w="23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2,903</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3.4%</w:t>
            </w:r>
          </w:p>
        </w:tc>
        <w:tc>
          <w:tcPr>
            <w:tcW w:w="1460" w:type="dxa"/>
            <w:vAlign w:val="bottom"/>
            <w:gridSpan w:val="3"/>
          </w:tcPr>
          <w:p>
            <w:pPr>
              <w:jc w:val="right"/>
              <w:ind w:right="328"/>
              <w:spacing w:after="0"/>
              <w:rPr>
                <w:sz w:val="20"/>
                <w:szCs w:val="20"/>
                <w:color w:val="auto"/>
              </w:rPr>
            </w:pPr>
            <w:r>
              <w:rPr>
                <w:rFonts w:ascii="Arial" w:cs="Arial" w:eastAsia="Arial" w:hAnsi="Arial"/>
                <w:sz w:val="18"/>
                <w:szCs w:val="18"/>
                <w:color w:val="auto"/>
              </w:rPr>
              <w:t>58%</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Foam dishes</w:t>
            </w:r>
          </w:p>
        </w:tc>
        <w:tc>
          <w:tcPr>
            <w:tcW w:w="23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46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55%</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Disposable cups</w:t>
            </w:r>
          </w:p>
        </w:tc>
        <w:tc>
          <w:tcPr>
            <w:tcW w:w="23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977</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0.4%</w:t>
            </w:r>
          </w:p>
        </w:tc>
        <w:tc>
          <w:tcPr>
            <w:tcW w:w="1460" w:type="dxa"/>
            <w:vAlign w:val="bottom"/>
            <w:gridSpan w:val="3"/>
          </w:tcPr>
          <w:p>
            <w:pPr>
              <w:jc w:val="right"/>
              <w:ind w:right="328"/>
              <w:spacing w:after="0"/>
              <w:rPr>
                <w:sz w:val="20"/>
                <w:szCs w:val="20"/>
                <w:color w:val="auto"/>
              </w:rPr>
            </w:pPr>
            <w:r>
              <w:rPr>
                <w:rFonts w:ascii="Arial" w:cs="Arial" w:eastAsia="Arial" w:hAnsi="Arial"/>
                <w:sz w:val="18"/>
                <w:szCs w:val="18"/>
                <w:color w:val="auto"/>
              </w:rPr>
              <w:t>61%</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Plastic cups</w:t>
            </w:r>
          </w:p>
        </w:tc>
        <w:tc>
          <w:tcPr>
            <w:tcW w:w="23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46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70%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700"/>
              <w:spacing w:after="0"/>
              <w:rPr>
                <w:sz w:val="20"/>
                <w:szCs w:val="20"/>
                <w:color w:val="auto"/>
              </w:rPr>
            </w:pPr>
            <w:r>
              <w:rPr>
                <w:rFonts w:ascii="Arial" w:cs="Arial" w:eastAsia="Arial" w:hAnsi="Arial"/>
                <w:sz w:val="18"/>
                <w:szCs w:val="18"/>
                <w:i w:val="1"/>
                <w:iCs w:val="1"/>
                <w:color w:val="auto"/>
              </w:rPr>
              <w:t>Party cups</w:t>
            </w:r>
          </w:p>
        </w:tc>
        <w:tc>
          <w:tcPr>
            <w:tcW w:w="23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334</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0.4%</w:t>
            </w:r>
          </w:p>
        </w:tc>
        <w:tc>
          <w:tcPr>
            <w:tcW w:w="1460" w:type="dxa"/>
            <w:vAlign w:val="bottom"/>
            <w:gridSpan w:val="3"/>
          </w:tcPr>
          <w:p>
            <w:pPr>
              <w:jc w:val="right"/>
              <w:ind w:right="328"/>
              <w:spacing w:after="0"/>
              <w:rPr>
                <w:sz w:val="20"/>
                <w:szCs w:val="20"/>
                <w:color w:val="auto"/>
              </w:rPr>
            </w:pPr>
            <w:r>
              <w:rPr>
                <w:rFonts w:ascii="Arial" w:cs="Arial" w:eastAsia="Arial" w:hAnsi="Arial"/>
                <w:sz w:val="18"/>
                <w:szCs w:val="18"/>
                <w:color w:val="auto"/>
              </w:rPr>
              <w:t>65%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Nielsen xAOC 2016 – 2018.</w:t>
      </w:r>
    </w:p>
    <w:p>
      <w:pPr>
        <w:spacing w:after="0" w:line="20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Hefty Party Cup was the #1 branded party cup in America with 20% market share, driven both by the iconic red party cup as well as our seasonal color cups for summer and holiday entertaining. Within this category, everyday occasions account for the largest percentage of disposable tableware use as time-starved consumers seek to alleviate the daily stress of washing the dishes, while sharing meals with friends and family, at home or on-the-go. Consumer satisfaction among heavy users of our products is very high. In addition to our strong Hefty</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branded portfolio we also collaborate with our customers as a full service store brand supplier across the disposable tableware aisle. The table below shows our market share across the tableware category.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Branded</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 RCP</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Branded</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Revenues</w:t>
            </w:r>
          </w:p>
        </w:tc>
        <w:tc>
          <w:tcPr>
            <w:tcW w:w="13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and Store</w:t>
            </w:r>
          </w:p>
        </w:tc>
        <w:tc>
          <w:tcPr>
            <w:tcW w:w="13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Brand</w:t>
            </w:r>
          </w:p>
        </w:tc>
        <w:tc>
          <w:tcPr>
            <w:tcW w:w="1360" w:type="dxa"/>
            <w:vAlign w:val="bottom"/>
            <w:gridSpan w:val="3"/>
            <w:vMerge w:val="continue"/>
          </w:tcPr>
          <w:p>
            <w:pPr>
              <w:spacing w:after="0"/>
              <w:rPr>
                <w:sz w:val="12"/>
                <w:szCs w:val="12"/>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40" w:type="dxa"/>
            <w:vAlign w:val="bottom"/>
            <w:gridSpan w:val="3"/>
          </w:tcPr>
          <w:p>
            <w:pPr>
              <w:ind w:left="198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w:t>
            </w:r>
          </w:p>
        </w:tc>
        <w:tc>
          <w:tcPr>
            <w:tcW w:w="4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540" w:type="dxa"/>
            <w:vAlign w:val="bottom"/>
            <w:gridSpan w:val="2"/>
            <w:vMerge w:val="continue"/>
          </w:tcPr>
          <w:p>
            <w:pPr>
              <w:spacing w:after="0"/>
              <w:rPr>
                <w:sz w:val="14"/>
                <w:szCs w:val="14"/>
                <w:color w:val="auto"/>
              </w:rPr>
            </w:pPr>
          </w:p>
        </w:tc>
        <w:tc>
          <w:tcPr>
            <w:tcW w:w="1060" w:type="dxa"/>
            <w:vAlign w:val="bottom"/>
            <w:gridSpan w:val="3"/>
          </w:tcPr>
          <w:p>
            <w:pPr>
              <w:ind w:left="400"/>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million)</w:t>
            </w:r>
          </w:p>
        </w:tc>
        <w:tc>
          <w:tcPr>
            <w:tcW w:w="4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category</w:t>
            </w: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Disposable dishes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331</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539</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Foam dishes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Disposable cups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Plastic cups</w:t>
            </w:r>
          </w:p>
        </w:tc>
        <w:tc>
          <w:tcPr>
            <w:tcW w:w="22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700"/>
              <w:spacing w:after="0"/>
              <w:rPr>
                <w:sz w:val="20"/>
                <w:szCs w:val="20"/>
                <w:color w:val="auto"/>
              </w:rPr>
            </w:pPr>
            <w:r>
              <w:rPr>
                <w:rFonts w:ascii="Arial" w:cs="Arial" w:eastAsia="Arial" w:hAnsi="Arial"/>
                <w:sz w:val="18"/>
                <w:szCs w:val="18"/>
                <w:i w:val="1"/>
                <w:iCs w:val="1"/>
                <w:color w:val="auto"/>
              </w:rPr>
              <w:t>Party cups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Nielsen xAOC 2018.</w:t>
      </w:r>
    </w:p>
    <w:p>
      <w:pPr>
        <w:spacing w:after="0" w:line="208"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Our ability to compete across both branded and store brand products allows us to grow with the category and deliver a differentiated suite of category management insights, product development leadership and innovation to our customers. We continue to see opportunities for growth within tableware by expanding penetration of existing channels and capitalizing on our strong brand equity to expand into adjacent growth categories, such as hot cups, compostable molded fiber dishes and Elegantware</w:t>
      </w:r>
      <w:r>
        <w:rPr>
          <w:rFonts w:ascii="Arial" w:cs="Arial" w:eastAsia="Arial" w:hAnsi="Arial"/>
          <w:sz w:val="14"/>
          <w:szCs w:val="14"/>
          <w:color w:val="auto"/>
        </w:rPr>
        <w:t>®</w:t>
      </w:r>
      <w:r>
        <w:rPr>
          <w:rFonts w:ascii="Arial" w:cs="Arial" w:eastAsia="Arial" w:hAnsi="Arial"/>
          <w:sz w:val="17"/>
          <w:szCs w:val="17"/>
          <w:color w:val="auto"/>
        </w:rPr>
        <w:t xml:space="preserve"> tableware for home entertainment.</w:t>
      </w:r>
    </w:p>
    <w:p>
      <w:pPr>
        <w:spacing w:after="0" w:line="171" w:lineRule="exact"/>
        <w:rPr>
          <w:sz w:val="20"/>
          <w:szCs w:val="20"/>
          <w:color w:val="auto"/>
        </w:rPr>
      </w:pPr>
    </w:p>
    <w:p>
      <w:pPr>
        <w:ind w:left="200" w:right="400" w:firstLine="441"/>
        <w:spacing w:after="0" w:line="302" w:lineRule="auto"/>
        <w:rPr>
          <w:sz w:val="20"/>
          <w:szCs w:val="20"/>
          <w:color w:val="auto"/>
        </w:rPr>
      </w:pPr>
      <w:r>
        <w:rPr>
          <w:rFonts w:ascii="Arial" w:cs="Arial" w:eastAsia="Arial" w:hAnsi="Arial"/>
          <w:sz w:val="16"/>
          <w:szCs w:val="16"/>
          <w:color w:val="auto"/>
        </w:rPr>
        <w:t>Our product innovation pipeline focuses on usage occasions, including meals and snacks on-the-go, as well as the needs of the millennial consumer. We offer eco-friendly options across our portfolio, such as our compostable Hefty paper plates and our plastic cups made with 30% post-consumer recycled PET. We have redesigned cups to decrease the amount of material by 10% in each cup while maintaining functionality and are expanding our offering of renewable and compostable products as part of our broader sustainability initiatives.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Sustainability</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committed to corporate responsibility and strive to maintain strong and transparent environmental, social and governance practices. Our sustainability efforts are led by a sustainability committee, which is comprised of a cross functional group of employees who receive senior-level input. This committee is responsible for promoting RCP initiatives across segments and engaging with our employee base. We strive to bring the best sustainability solutions to our customers by partnering with them to support their initiatives through our innovative portfolio of products, industry-leading insights, and state-of-the-art manufacturing facilities. RCP has a comprehensive approach to sustainability that is focused on the following three key areas.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Product Portfolio</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offer sustainable and eco-friendly products across our portfolio. We are focused on sustainable innovation and offer a broad line of eco-friendly products made with recycled, renewable and compostable materials. We have launched several eco-friendly products including recycled aluminum foil and unbleached compostable parchment paper, compostable tableware, and plant-based resin food storage bags. We continue to devote resources towards sustainability research and believe this will allow us to stay on the cutting edge. For example, we have found ways to expand aluminum scrap utilization and have developed unique foam alternatives. In addition, through operational initiatives, we reduced the amount of plastic in each Hefty party cup by 10%, saving 2.7 million pounds of plastic annually while maintaining product strength and quality. Furthermore, our products provide efficient food storage solutions that preserve leftovers and reduce food waste.</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Supply Chain</w:t>
      </w:r>
    </w:p>
    <w:p>
      <w:pPr>
        <w:spacing w:after="0" w:line="11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have developed an end-to-end approach to reduce our carbon footprint and support increased use of renewable and recycled materials across our supply chain. Our sustainable supply chain strategy is centered on the utilization of better materials through proprietary development, better product design, efficient shipments of products and continuous process improvement. We have developed plant and office initiatives focused on material recycling, collection and after-life usage of, for example, oil, metal, corrugate and resin. Additionally, we have long-standing programs focused on energy efficiency, emission reduction, waste water management and landfill minimization. For instance, we have recently invested heavily in air compressor energy efficiency and LED lighting. We were one of the first to switch to more compact packaging from cut-and-fold to bag-on-a-roll technology, which reduced packaging materials by 45%, decreased shipping cube per order by 30% and increased shelf display capacity by 25%. We also partner with key suppliers to identify renewable and recyclable materials, develop sustainable capabilities, and identify end markets that facilitate the recycling process overall. We work with our suppliers to develop closed loop resin recycling paths and with municipalities to increase recycling.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Communities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seek to promote sustainable communities through our products. We encourage employees to identify sustainable solutions, support community outreach especially in the communities near our facilities, lead by example and educate themselves and others about sustainability overall. Our efforts to expand these programs are focused on adding communities to the program and developing demand for post-consumer recycled plastics. We also continue to expand our Hefty EnergyBag Program which now serves over 500,000 households, turning hard to recycle plastics into useful items such as AgFuel, railroad ties and park benches.</w:t>
      </w:r>
    </w:p>
    <w:p>
      <w:pPr>
        <w:spacing w:after="0" w:line="18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are also proud members of the Sustainable Packaging Coalition, an industry working group dedicated to a more robust environmental vision for packaging. We have included the How2Recycle labelling on our packaging since 2016, which helps encourage recycling behavior of consumers through clear, concise labelling. We also support the Forest Stewardship Council (“FSC”) by participating in their voluntary program for responsible forest management. The FSC is supported by the World Wildlife Fund, the Sierra Club, Greenpeace, the Resources Defense Council and the National Wildlife Federation. We have the FSC certification on all of our parchment items, as well as wax paper sandwich bags.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Sales to our top ten customers accounted for 69%, 68% and 67% of our total revenue in fiscal years 2018, 2017 and 2016, respectively. Walmart accounted for 28%, 27% and 26% and Sam’s Club accounted for 12%, 12% and 12% of our total revenue in fiscal years 2018, 2017 and 2016, respectively. Sales to Sam’s Club are concentrated more heavily in our Tableware segment.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fiscal year 2018, North America and the United States represented 99% and 98% of our total sales, respectively.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Category Management and Marketing</w:t>
      </w:r>
    </w:p>
    <w:p>
      <w:pPr>
        <w:spacing w:after="0" w:line="12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a direct sales force organized by customer type, including national accounts, regional accounts and eCommerce. Our sales force is responsible for sales across each of our segments and our portfolio of branded and store brand products. We have a best-in-class sales organization comprised of approximately 100 experienced professionals who are committed to providing exceptional service to our customers. We take pride in the average tenure of our sales force of over 10 years at RCP, low turnover rate, relevant industry experience and data-driven sales process. We complement our internal sales platform by selectively utilizing third-party brokers for certain products and customers. In addition to sales professionals, each of our top 20 customers has a dedicated customer support team, including customer service representatives, category management teams and a logistics and transportation team.</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Category Management</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provide our customers with category management expertise across household aisles, including merchandising, assortment, pricing, promotion strategies, points of distribution and on-shelf placement, supported by market intelligence and consumer-focused insights. Category managers act as advisors to customers, providing support to retailers on overall SKU strategy and brand/product selection. We implemented this strategy upon creation of the combined Reynolds Consumer Products business in 2010 and have since achieved this premier category captain level advisor position at 29 retailers. These 29 retailers represent 73% of ACV across total U.S. retailers (xAOC), as defined by Nielsen. We believe this value-added service differentiates us from our competitors and strengthens our customer relationships. In addition, this service lends us credibility as an unbiased advisor to customers and leverages our focus on category growth. Today we have 23 category managers serving all of our customers.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Marketing</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Each of our segments has its own marketing team, focused on growth through product development, innovation, promotion, pricing and advertising. We apply our marketing expertise to both our brands and store brand products. We engage with consumers across nearly every marketing channel, including experiential, social media platforms, sports marketing and public relations in addition to traditional media advertising. Our marketing teams also lead insightful consumer market research, which fuels our innovation process. We have an in-house visual branding team that executes rapid graphics changes across both our branded and store brand products. These in-house capabilities allow us to serve our customers better and bring new products to market more efficiently.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Product Development</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fiscal year 2018, we generated 21% of our revenue from new products that were launched in the prior three years. Our new product development is an integrated, continual process, with collaboration across teams, including research and development, marketing, category management and engineering. Through our investments, we have generated increased revenue and a portfolio of intellectual property assets including approximately 750 patents globally. Research and development costs were $29 million, $27 million and $30 million for the fiscal years 2018, 2017 and 2016, respectively. Our new product development process is customer centric and profit-driven. Our new product development team leverages extensive work and data from our marketing team. We believe that innovation should be centered on consumer needs and wants, identified through extensive market research and testing. Our continuous reinvention of our core products, development of new products, expansion into adjacent categories and consistent collaboration and partnership with our customers enable us to remain a leader in our categories.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U.S. household consumer products market is mature and highly competitive. Our competitive set consists of consumer products companies, including large and well-established multinational companies as well</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200" w:right="520"/>
        <w:spacing w:after="0" w:line="286" w:lineRule="auto"/>
        <w:rPr>
          <w:sz w:val="20"/>
          <w:szCs w:val="20"/>
          <w:color w:val="auto"/>
        </w:rPr>
      </w:pPr>
      <w:r>
        <w:rPr>
          <w:rFonts w:ascii="Arial" w:cs="Arial" w:eastAsia="Arial" w:hAnsi="Arial"/>
          <w:sz w:val="17"/>
          <w:szCs w:val="17"/>
          <w:color w:val="auto"/>
        </w:rPr>
        <w:t>as smaller regional and local companies. These competitors include The Clorox Company, S.C. Johnson &amp; Sons, Inc., Poly-America, Handi-Foil Corporation, Republic Plastics, Ltd., Trinidad Benham Corporation, Inteplast Group, Ltd. and Dart Container Corporation. Within each product category, most of our products compete with other widely advertised brands and store brand products.</w:t>
      </w:r>
    </w:p>
    <w:p>
      <w:pPr>
        <w:spacing w:after="0" w:line="166"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Competition in our categories is based on a number of factors including price, quality and brand recognition.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Distribution</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have demonstrated manufacturing expertise in casting, spooling, converting, resin extrusion, injection molding, machining, joining and thermoforming. We operate 16 manufacturing facilities strategically located across the United States and one manufacturing facility located in Canada. This allows us to optimize distribution and minimize lead times and freight costs. Virtually all of our manufacturing plants are dedicated to one of our segments. We are the only integrated aluminum foil manufacturer in North America, processing aluminum from ingot to the finished good. Our manufacturing processes in cooking and waste and storage products are also vertically integrated from resin pellets to the finished goods. We utilize third party manufacturers for certain products for which we do not have in-house manufacturing expertise. We also maximize our manufacturing facilities by contracting out excess capacity, for example by selling rolled aluminum from our Malvern facility to third parties.</w:t>
      </w:r>
    </w:p>
    <w:p>
      <w:pPr>
        <w:spacing w:after="0" w:line="17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utilize two routes of distribution to deliver our products to our customers. In many cases, we ship directly from our warehouses to the customer distribution center. Given the breadth of our product offerings, we are also able to optimize truckloads and reduce inventory for our retail partners by shipping trucks from third-party mixing centers filled with SKUs across all of our product categories. Approximately 60% of all orders are delivered from a mixing center and our remaining orders are shipped directly from our manufacturing facilities.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Raw Materials and Suppliers</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have a diverse supplier base, and are not reliant on any single supplier for our primary raw materials, including polyethylene, polystyrene and aluminum. In fiscal year 2018, the total value of raw materials we consumed was $1,489 million and represented 64% of our total cost of sales, excluding depreciation and amortization. Plastic resins accounted for 39% of raw material costs for the year, while aluminum and other metal-related components collectively accounted for 29%. We also purchase raw material additives, secondary packaging materials and finished products for resale. We source a significant majority of our resin requirements from domestic suppliers. We have a track record of actively managing and/or successfully passing along to customers raw material price fluctuations. We also enter into hedging agreements at the request of certain customers who want to mitigate the risk of changes in raw material costs in their product pricing.</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Centralized purchasing enables us to leverage the global purchasing power of our operations and reduces our dependence on any one supplier. We generally have one to two year contracts with resin suppliers and multi-</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year contracts with aluminum suppliers, which have historically provided us with a steady supply of raw materials. In certain instances, we purchase selected finished goods from third-party suppliers to supplement capacity and source specialty items. We have not historically experienced any significant interruptions of key raw material supplies.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Quality Management</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segments each maintain end-to-end quality procedures through strong corporate leadership, comprehensive integrated quality controls across manufacturing operations, collaboration with suppliers and contract manufacturers, analytical capabilities and physical property testing. We have continuous improvement programs focused on cost reduction, productivity enhancements and improving product quality. Our store brand products are subject to the same degree of quality control as our branded products and many have “national brand equivalent” certification from third parties. Ensuring product quality is essential to brand equity and consumer trust. We use a six sigma methodology to measure the quality of our products, as well as receiving customer feedback through in home tests, interviews and complaint monitoring. Our commitment to quality has driven reductions in year-over-year consumer complaint rates across all of our segments, including a 38% reduction in Reynolds Wrap and store brand aluminum foil, an 18% reduction in our ALCAN aluminum foil, a 49% reduction in our bakeware products and a 35% reduction in Hefty party cups.</w:t>
      </w:r>
    </w:p>
    <w:p>
      <w:pPr>
        <w:spacing w:after="0" w:line="166"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Furthermore, our manufacturing operations are designed to achieve the highest degree of product safety through disciplined control of primary materials and retail traceability of products. Supplier controls that are in place throughout our facilities aim to ensure product and process controls, a safe and healthy work environment, environmental compliance and product safety. We review our facilities at least annually for full compliance, and appropriate remediation procedures are taken if necessary. Our high workforce engagement and industry leading safety rates at plants reflect our commitment to the safety and well-being of our employees. Safety is a top priority in all aspects of our business, and we continue to make steady improvements in safety metrics. For instance, we had an Occupational Health and Safety Administration Recordable Incident Rate of under 1.00 for the last three years (as compared to an industry average of 3.5), with a 20% improvement from prior years.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93"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Other than licenses for commercially available software, we do not believe that any of our licenses from third parties are material to us taken as a whole. We do not believe that any of our licenses to intellectual property rights granted to third parties are material to us taken as a whole.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of July 1, 2019, we employed approximately 5,000 people located primarily in our U.S. and Canada manufacturing facilities. Approximately 23% of our employees are covered by collective labor agreements. We have not experienced any significant union-related work stoppages over the last ten years. We believe our relationships with our employees and labor unions are satisfactory.</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Systems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utilize predominantly commonplace commercially available third-party technology and systems to support our operations, including for financial reporting, inventory management, customer and supply chain management and category management.</w:t>
      </w:r>
    </w:p>
    <w:p>
      <w:pPr>
        <w:spacing w:after="0" w:line="17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 single enterprise resource planning (“ERP”) ecosystem is used by all of our facilities for operations, procurement, receiving, warehousing, inventory management and order processing. Our ERP environment provides us with the ability to transact with customers and vendors in real time, optimize manufacturing in support of our demand signals and order cycles, efficiently process orders and shipments and manage inventory. We also use targeted information technology systems and analytics to support business intelligence and processes across our sales channels, including in relation to trade management, industry trends, demand forecasting and segment planning and reporting.</w:t>
      </w:r>
    </w:p>
    <w:p>
      <w:pPr>
        <w:spacing w:after="0" w:line="17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continue to innovate and invest in information systems and technology to enhance the customer experience, drive sales and create operating efficiencies. Over the last five years, we have consolidated acquired facilities into our common ERP landscape, and added modern analysis systems that provide us additional functionality and scalability in order to better support operational and financial decision-making, using the latest data management technology. These investments also include a specific focus on in-plant real-time analysis in support of differentiated operational efficiency and production quality. We believe our existing systems are scalable to support future growth.</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Properties</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corporate headquarters are located in Lake Forest, Illinois. In addition, our production and distribution network consists of 16 manufacturing facilities in the United States and one manufacturing facility in Canada, which are used to produce the products sold in all four of our business segments. The following table sets forth the location, use, size, whether owned or leased and lease expiration date, if applicable, of our principal properties: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2"/>
          </w:tcPr>
          <w:p>
            <w:pPr>
              <w:ind w:left="1060"/>
              <w:spacing w:after="0"/>
              <w:rPr>
                <w:sz w:val="20"/>
                <w:szCs w:val="20"/>
                <w:color w:val="auto"/>
              </w:rPr>
            </w:pPr>
            <w:r>
              <w:rPr>
                <w:rFonts w:ascii="Arial" w:cs="Arial" w:eastAsia="Arial" w:hAnsi="Arial"/>
                <w:sz w:val="14"/>
                <w:szCs w:val="14"/>
                <w:b w:val="1"/>
                <w:bCs w:val="1"/>
                <w:color w:val="auto"/>
              </w:rPr>
              <w:t>Location</w:t>
            </w: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Use</w:t>
            </w:r>
          </w:p>
        </w:tc>
        <w:tc>
          <w:tcPr>
            <w:tcW w:w="2540" w:type="dxa"/>
            <w:vAlign w:val="bottom"/>
            <w:gridSpan w:val="2"/>
          </w:tcPr>
          <w:p>
            <w:pPr>
              <w:ind w:left="720"/>
              <w:spacing w:after="0"/>
              <w:rPr>
                <w:sz w:val="20"/>
                <w:szCs w:val="20"/>
                <w:color w:val="auto"/>
              </w:rPr>
            </w:pPr>
            <w:r>
              <w:rPr>
                <w:rFonts w:ascii="Arial" w:cs="Arial" w:eastAsia="Arial" w:hAnsi="Arial"/>
                <w:sz w:val="14"/>
                <w:szCs w:val="14"/>
                <w:b w:val="1"/>
                <w:bCs w:val="1"/>
                <w:color w:val="auto"/>
              </w:rPr>
              <w:t>Square Footage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Owned / Lease Expiration</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4"/>
              </w:rPr>
              <w:t>1900</w:t>
            </w:r>
          </w:p>
        </w:tc>
        <w:tc>
          <w:tcPr>
            <w:tcW w:w="30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W. Field Court,</w:t>
            </w:r>
          </w:p>
        </w:tc>
        <w:tc>
          <w:tcPr>
            <w:tcW w:w="12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Headquarters</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70,400</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December 31, 2024</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Lake Forest, Illinois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w w:val="84"/>
              </w:rPr>
              <w:t>6500</w:t>
            </w:r>
          </w:p>
        </w:tc>
        <w:tc>
          <w:tcPr>
            <w:tcW w:w="31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Tomken Road,</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0"/>
              </w:rPr>
              <w:t>67,757</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7"/>
              </w:rPr>
              <w:t>June 28, 2029</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Mississauga, Ontario</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w w:val="84"/>
              </w:rPr>
              <w:t>1333</w:t>
            </w:r>
          </w:p>
        </w:tc>
        <w:tc>
          <w:tcPr>
            <w:tcW w:w="31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Highway 270,</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307,627</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Malvern, Arkansas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spacing w:after="0" w:line="195" w:lineRule="exact"/>
              <w:rPr>
                <w:sz w:val="20"/>
                <w:szCs w:val="20"/>
                <w:color w:val="auto"/>
              </w:rPr>
            </w:pPr>
            <w:r>
              <w:rPr>
                <w:rFonts w:ascii="Arial" w:cs="Arial" w:eastAsia="Arial" w:hAnsi="Arial"/>
                <w:sz w:val="18"/>
                <w:szCs w:val="18"/>
                <w:color w:val="auto"/>
              </w:rPr>
              <w:t>100 Diamond Avenue,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260,551</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Red Bluff, California</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w w:val="84"/>
              </w:rPr>
              <w:t>2226</w:t>
            </w:r>
          </w:p>
        </w:tc>
        <w:tc>
          <w:tcPr>
            <w:tcW w:w="31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East Morton Avenue,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319,506</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w w:val="84"/>
              </w:rPr>
              <w:t>2226</w:t>
            </w:r>
          </w:p>
        </w:tc>
        <w:tc>
          <w:tcPr>
            <w:tcW w:w="31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East Morton Avenue,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355,000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spacing w:after="0" w:line="195" w:lineRule="exact"/>
              <w:rPr>
                <w:sz w:val="20"/>
                <w:szCs w:val="20"/>
                <w:color w:val="auto"/>
              </w:rPr>
            </w:pPr>
            <w:r>
              <w:rPr>
                <w:rFonts w:ascii="Arial" w:cs="Arial" w:eastAsia="Arial" w:hAnsi="Arial"/>
                <w:sz w:val="18"/>
                <w:szCs w:val="18"/>
                <w:color w:val="auto"/>
              </w:rPr>
              <w:t>500 East Superior Avenue,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490,000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Jacksonville, Illinois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spacing w:after="0" w:line="195" w:lineRule="exact"/>
              <w:rPr>
                <w:sz w:val="20"/>
                <w:szCs w:val="20"/>
                <w:color w:val="auto"/>
              </w:rPr>
            </w:pPr>
            <w:r>
              <w:rPr>
                <w:rFonts w:ascii="Arial" w:cs="Arial" w:eastAsia="Arial" w:hAnsi="Arial"/>
                <w:sz w:val="18"/>
                <w:szCs w:val="18"/>
                <w:color w:val="auto"/>
              </w:rPr>
              <w:t>777 Wheeling Road,</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460,336</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Wheeling, Illinois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w w:val="84"/>
              </w:rPr>
              <w:t>3041</w:t>
            </w:r>
          </w:p>
        </w:tc>
        <w:tc>
          <w:tcPr>
            <w:tcW w:w="31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Wilson Avenue,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307,250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January 31, 2023</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Louisville, Kentucky</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w w:val="84"/>
              </w:rPr>
              <w:t>2827</w:t>
            </w:r>
          </w:p>
        </w:tc>
        <w:tc>
          <w:tcPr>
            <w:tcW w:w="31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Hale Road,</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650,000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Louisville, Kentucky</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35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jc w:val="right"/>
              <w:ind w:right="1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20" w:type="dxa"/>
            <w:vAlign w:val="bottom"/>
            <w:gridSpan w:val="2"/>
          </w:tcPr>
          <w:p>
            <w:pPr>
              <w:ind w:left="1420"/>
              <w:spacing w:after="0"/>
              <w:rPr>
                <w:sz w:val="20"/>
                <w:szCs w:val="20"/>
                <w:color w:val="auto"/>
              </w:rPr>
            </w:pPr>
            <w:r>
              <w:rPr>
                <w:rFonts w:ascii="Arial" w:cs="Arial" w:eastAsia="Arial" w:hAnsi="Arial"/>
                <w:sz w:val="14"/>
                <w:szCs w:val="14"/>
                <w:b w:val="1"/>
                <w:bCs w:val="1"/>
                <w:color w:val="auto"/>
              </w:rPr>
              <w:t>Location</w:t>
            </w: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Use</w:t>
            </w:r>
          </w:p>
        </w:tc>
        <w:tc>
          <w:tcPr>
            <w:tcW w:w="2540" w:type="dxa"/>
            <w:vAlign w:val="bottom"/>
            <w:gridSpan w:val="2"/>
          </w:tcPr>
          <w:p>
            <w:pPr>
              <w:ind w:left="720"/>
              <w:spacing w:after="0"/>
              <w:rPr>
                <w:sz w:val="20"/>
                <w:szCs w:val="20"/>
                <w:color w:val="auto"/>
              </w:rPr>
            </w:pPr>
            <w:r>
              <w:rPr>
                <w:rFonts w:ascii="Arial" w:cs="Arial" w:eastAsia="Arial" w:hAnsi="Arial"/>
                <w:sz w:val="14"/>
                <w:szCs w:val="14"/>
                <w:b w:val="1"/>
                <w:bCs w:val="1"/>
                <w:color w:val="auto"/>
              </w:rPr>
              <w:t>Square Footage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Owned / Lease Expiration</w:t>
            </w:r>
          </w:p>
        </w:tc>
      </w:tr>
      <w:tr>
        <w:trPr>
          <w:trHeight w:val="195"/>
        </w:trPr>
        <w:tc>
          <w:tcPr>
            <w:tcW w:w="20" w:type="dxa"/>
            <w:vAlign w:val="bottom"/>
          </w:tcPr>
          <w:p>
            <w:pPr>
              <w:spacing w:after="0"/>
              <w:rPr>
                <w:sz w:val="16"/>
                <w:szCs w:val="16"/>
                <w:color w:val="auto"/>
              </w:rPr>
            </w:pPr>
          </w:p>
        </w:tc>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14201 Meacham Farm Drive,</w:t>
            </w:r>
          </w:p>
        </w:tc>
        <w:tc>
          <w:tcPr>
            <w:tcW w:w="12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Warehouse and Manufacturing</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582,980</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November 30, 2027</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Huntersville, North Carolina</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63 Green Mountain Road,</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205,622</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7"/>
              </w:rPr>
              <w:t>June 30, 2022</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Hazelton, Pennsylvania</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31 Progress Avenue,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110,000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Tamaqua, Pennsylvania</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2625 Beltline Road,</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410,000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December 31, 2021</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Carrollton, Texas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3000 Pegasus Drive,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239,072</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Temple, Texas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2412 Wilsonart Drive,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250,000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March 31, 2023</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Temple, Texas</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1110 East 200 Street,</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182,200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Lewiston, Utah</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2001 Reymet Road,</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470,000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Richmond, Virginia</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2225 Philpott Road,</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252,000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South Boston, Virginia</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670 North Perkins Street,</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465,337</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Appleton, Wisconsin</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1919 West College Avenue,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6"/>
              </w:rPr>
              <w:t>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152,000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0"/>
              </w:rPr>
              <w:t>February 1, 2030</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Appleton, Wisconsin</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1999 Royalton Street,</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4"/>
              </w:rPr>
              <w:t>Manufacturing</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0"/>
              </w:rPr>
              <w:t>45,000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Waupaca, Wisconsin</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204 East Third Avenue,</w:t>
            </w:r>
          </w:p>
        </w:tc>
        <w:tc>
          <w:tcPr>
            <w:tcW w:w="25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9"/>
              </w:rPr>
              <w:t>Manufacturing and Warehouse</w:t>
            </w: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178,850</w:t>
            </w:r>
          </w:p>
        </w:tc>
        <w:tc>
          <w:tcPr>
            <w:tcW w:w="12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30"/>
        </w:trPr>
        <w:tc>
          <w:tcPr>
            <w:tcW w:w="20" w:type="dxa"/>
            <w:vAlign w:val="bottom"/>
          </w:tcPr>
          <w:p>
            <w:pPr>
              <w:spacing w:after="0"/>
              <w:rPr>
                <w:sz w:val="20"/>
                <w:szCs w:val="20"/>
                <w:color w:val="auto"/>
              </w:rPr>
            </w:pPr>
          </w:p>
        </w:tc>
        <w:tc>
          <w:tcPr>
            <w:tcW w:w="3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Weyauwega, Wisconsin</w:t>
            </w:r>
          </w:p>
        </w:tc>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all of our properties are in good operating condition and are suitable to adequately meet our current needs.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As many of our products are used in food packaging, our business is subject to regulations governing products that may contact food in all the countries in which we have operations.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 and believe these programs and procedures are generally effective. However, because of the complexity of these laws and regulations and the multinational scope of our business, compliance cannot be guaranteed.</w:t>
      </w:r>
    </w:p>
    <w:p>
      <w:pPr>
        <w:spacing w:after="0" w:line="19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for disposal. Many of our manufacturing facilities require environmental permits, such as those limiting air emissions. Compliance with these permits can require capital investment and, in some cases, could limit production.</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w:t>
      </w:r>
    </w:p>
    <w:p>
      <w:pPr>
        <w:spacing w:after="0" w:line="18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announced their intentions to implement their own programs to reduce greenhouses gases. These initiatives may cause us to incur additional direct costs in complying with any new environmental legislation or regulations, such as costs to upgrade or replace equipment, as well as increased indirect costs that could get passed through to us resulting from our suppliers and customers also incurring additional compliance costs.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December 31, 2018 and 2017,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are currently reviewing the composition of our board of directors and our committees in light of this offering. In subsequent filings with the SEC, we will update any relevant disclosure herein as appropriate. The following table presents the names of the current executive officers. We intend to appoint additional directors prior to the consummation of this offering.</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420" w:type="dxa"/>
            <w:vAlign w:val="bottom"/>
          </w:tcPr>
          <w:p>
            <w:pPr>
              <w:spacing w:after="0"/>
              <w:rPr>
                <w:sz w:val="16"/>
                <w:szCs w:val="16"/>
                <w:color w:val="auto"/>
              </w:rPr>
            </w:pPr>
          </w:p>
        </w:tc>
        <w:tc>
          <w:tcPr>
            <w:tcW w:w="5080" w:type="dxa"/>
            <w:vAlign w:val="bottom"/>
          </w:tcPr>
          <w:p>
            <w:pPr>
              <w:ind w:left="22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4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4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Lance Mitchell</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Michael Graham</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Chief Financial Officer</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Francis Arseneault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President, Hefty Waste &amp; Storage</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Stephan Pace</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President, Walmart/Sam’s and eCommerce</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Craig Cappel</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President, Reynolds Cooking &amp; Baking</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Rachel Bishop</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President, Hefty Tableware</w:t>
            </w: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Judith Buckner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President, Presto Products</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Lance Mitchell</w:t>
      </w:r>
    </w:p>
    <w:p>
      <w:pPr>
        <w:spacing w:after="0" w:line="12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Mr. Mitchell has served as RCP’s President and Chief Executive Officer since 2011. From 2006 to 2011, Mr. Mitchell served as President of Closure Systems International (part of RGHL Group since 2008). Mr. Mitchell worked at Owens Corning Fiberglas Corporation from 1981 to 1986 in a variety of sales and marketing positions and from 1986 to 2005 he served in a variety of management positions at Avery Dennison Corporation, BF Goodrich, The Geon Company and PolyOne Corporation. Mr. Mitchell received a B.S. in Business from Bowling Green State University.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Michael Graham</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Mr. Graham has served as RCP’s Chief Financial Officer since 2016. Mr. Graham joined RCP after serving as the CFO of Graham Packaging (part of RGHL Group) from 2011 to 2016. Prior to joining Graham Packaging, Mr. Graham led and managed several merger and integration activities for RGHL and served as CFO of Reynolds Packaging from 2008 to 2010, collaboratively leading the integration of Reynolds Packaging into RGHL. Mr. Graham served as Group Controller and CFO of Alcoa’s Flat Rolled &amp; Extruded Aluminum Group from 2004 to 2007. From 1986 to 2003</w:t>
      </w:r>
    </w:p>
    <w:p>
      <w:pPr>
        <w:spacing w:after="0" w:line="2"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Mr. Graham served in a variety of management positions at Honeywell International Inc. and AlliedSignal, Avaya Communications and General Mills, Inc. Mr. Graham received a B.A. in Finance from Howard University.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Francis Arseneault</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Mr. Arseneault has served as RCP’s President of Hefty Waste &amp; Storage since 2019. Prior to this role, he served as President of Presto Products from 2014 to 2019. Mr. Arseneault’s previous experience includes roles of increasing responsibility in sales and marketing in the Canadian division of Alcoa Reynolds from 2001 to 2004 and from 2006 to 2010, and as General Manager of RCP’s international business from 2010 until joining Presto Products in 2014. Mr. Arseneault received a B.Sc. in Marketing and International Business from the HEC Montreal business school of the University of Montreal.</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Stephan Pace</w:t>
      </w:r>
    </w:p>
    <w:p>
      <w:pPr>
        <w:spacing w:after="0" w:line="1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Mr. Pace has served as RCP’s President of Walmart/Sam’s and eCommerce since 2015. Prior to this role, Mr. Pace served as RCP’s Chief Customer Officer and Senior Vice President of Sales beginning in 2010. He</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served as Vice President of Sales for Pactiv’s Consumer Products Division prior to RGHL’s acquisition of Pactiv in 2010. Mr. Pace joined Pactiv in 2001 and held several senior management positions. Prior to joining Pactiv, he served in a variety of sales and marketing roles at Unilever plc and Procter &amp; Gamble Company. Mr. Pace received a B.A. in Economics from Wesleyan University. He serves on the Board of Advisors for Tierra Nueva Fine Cocoa, d/b/a The Whole Coffee Company.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Craig Cappel</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Mr. Cappel has served as RCP’s President of Reynolds Cooking &amp; Baking since 2018. From 2015 to 2018, he served as President of Hefty Tableware. From 2013 to 2015, Mr. Cappel served as the Chief Procurement and Technology Officer for RGHL Group, leading global sourcing and technology across multiple businesses. From 1997 to 2013, Mr. Cappel was with Pactiv as Vice President of Business Development and Innovation and various other leadership roles across innovation, engineering technology, new business development and business management. From 1994 to 1997, he served as an engineer at TE Connectivity, Ltd. (formerly Amp Incorporated). Mr. Cappel received a B.S. from the College of Engineering Technology at the Rochester Institute of Technology and an M.S. in Product Design and Development Management from Northwestern University.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Rachel Bishop</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Ms. Bishop has served as RCP’s President of Hefty Tableware since 2019. Prior to joining RCP, she served as Chief Strategy Officer from 2014 to 2017 and President, Snacks from 2017 to 2019 at TreeHouse Foods, Inc. Ms. Bishop was at The Walgreen Company from 2009 to 2014 where she most recently served as Group Vice President of Retail Strategy. From 2001 to 2009, Ms. Bishop was at McKinsey &amp; Company, where she worked with consumer businesses on a broad range of sales, marketing, and operational topics with a focus on growth strategy development and implementation. Ms. Bishop earned a Ph.D in Materials Science and Engineering with a minor in Technology Management from Northwestern University. She holds B.S. degrees in Materials Science and Engineering and in Geophysics from Brown University.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Judith Buckner</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Ms. Buckner has served as RCP’s President of Presto Products since 2019. She previously served as Senior Vice President, Business Transformation of RCP from 2017 to 2019. Ms. Buckner first joined RCP in 2000 as an Engineering Manager and has held various other leadership roles including Director of Manufacturing, Plant Manager, Director of Engineering and New Product Development and Vice President of Operations and Engineering. Her prior experience includes various engineering and leadership roles in product development and operations at Hoechst-Celanese/Invista from 1991 to 2000. Ms. Buckner earned a B.S. in Chemical Engineering from Purdue University.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Structure and Compensation of Directors</w:t>
      </w:r>
    </w:p>
    <w:p>
      <w:pPr>
        <w:sectPr>
          <w:pgSz w:w="11900" w:h="16838" w:orient="portrait"/>
          <w:cols w:equalWidth="0" w:num="1">
            <w:col w:w="11220"/>
          </w:cols>
          <w:pgMar w:left="240" w:top="459" w:right="439" w:bottom="1440" w:gutter="0" w:footer="0" w:header="0"/>
        </w:sect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960" w:hanging="698"/>
        <w:spacing w:after="0" w:line="277" w:lineRule="auto"/>
        <w:rPr>
          <w:sz w:val="20"/>
          <w:szCs w:val="20"/>
          <w:color w:val="auto"/>
        </w:rPr>
      </w:pPr>
      <w:r>
        <w:rPr>
          <w:rFonts w:ascii="Arial" w:cs="Arial" w:eastAsia="Arial" w:hAnsi="Arial"/>
          <w:sz w:val="18"/>
          <w:szCs w:val="18"/>
          <w:color w:val="auto"/>
        </w:rPr>
        <w:t>Upon closing of this offering, our board of directors will consist of seven members. Our board has determined that each and is independent under applicable rules.</w:t>
      </w:r>
    </w:p>
    <w:p>
      <w:pPr>
        <w:spacing w:after="0" w:line="170" w:lineRule="exact"/>
        <w:rPr>
          <w:sz w:val="20"/>
          <w:szCs w:val="20"/>
          <w:color w:val="auto"/>
        </w:rPr>
      </w:pPr>
    </w:p>
    <w:p>
      <w:pPr>
        <w:sectPr>
          <w:pgSz w:w="11900" w:h="16838" w:orient="portrait"/>
          <w:cols w:equalWidth="0" w:num="2">
            <w:col w:w="620" w:space="720"/>
            <w:col w:w="9880"/>
          </w:cols>
          <w:pgMar w:left="240" w:top="459" w:right="439" w:bottom="1440" w:gutter="0" w:footer="0" w:header="0"/>
          <w:type w:val="continuous"/>
        </w:sectPr>
      </w:pPr>
    </w:p>
    <w:p>
      <w:pPr>
        <w:ind w:left="200" w:right="120" w:firstLine="441"/>
        <w:spacing w:after="0" w:line="259" w:lineRule="auto"/>
        <w:rPr>
          <w:sz w:val="20"/>
          <w:szCs w:val="20"/>
          <w:color w:val="auto"/>
        </w:rPr>
      </w:pPr>
      <w:r>
        <w:rPr>
          <w:rFonts w:ascii="Arial" w:cs="Arial" w:eastAsia="Arial" w:hAnsi="Arial"/>
          <w:sz w:val="18"/>
          <w:szCs w:val="18"/>
          <w:color w:val="auto"/>
        </w:rPr>
        <w:t>In connection with this offering, we will enter into a shareholders agreement with PFL. Among other things, the shareholders agreement will provide PFL with the right to nominate a certain number of directors so long as PFL (together with all other entities beneficially owned by Mr. Graeme Hart and his heirs) beneficially owns at least 10% of the outstanding shares of our common stock. See “Certain Relationships and Related Party Transactions—Shareholders Agreement”.</w:t>
      </w:r>
    </w:p>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board of directors will be divided into three classes serving staggered three-year terms, as set forth in our amended and restated certificate of incorporation and our amended and restated bylaws. Class I, Class II and Class III directors will serve until our annual meetings of stockholders</w:t>
      </w:r>
    </w:p>
    <w:p>
      <w:pPr>
        <w:ind w:left="200" w:right="20"/>
        <w:spacing w:after="0" w:line="254" w:lineRule="auto"/>
        <w:rPr>
          <w:sz w:val="20"/>
          <w:szCs w:val="20"/>
          <w:color w:val="auto"/>
        </w:rPr>
      </w:pPr>
      <w:r>
        <w:rPr>
          <w:rFonts w:ascii="Arial" w:cs="Arial" w:eastAsia="Arial" w:hAnsi="Arial"/>
          <w:sz w:val="18"/>
          <w:szCs w:val="18"/>
          <w:color w:val="auto"/>
        </w:rPr>
        <w:t>in , and ,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w:t>
      </w:r>
    </w:p>
    <w:p>
      <w:pPr>
        <w:spacing w:after="0" w:line="1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Directors who are also full-time officers or employees of the Company will receive no additional compensation for serving as directors. All other</w:t>
      </w:r>
    </w:p>
    <w:p>
      <w:pPr>
        <w:spacing w:after="0" w:line="46" w:lineRule="exact"/>
        <w:rPr>
          <w:sz w:val="20"/>
          <w:szCs w:val="20"/>
          <w:color w:val="auto"/>
        </w:rPr>
      </w:pPr>
    </w:p>
    <w:p>
      <w:pPr>
        <w:ind w:left="200"/>
        <w:spacing w:after="0"/>
        <w:tabs>
          <w:tab w:leader="none" w:pos="5780" w:val="left"/>
        </w:tabs>
        <w:rPr>
          <w:sz w:val="20"/>
          <w:szCs w:val="20"/>
          <w:color w:val="auto"/>
        </w:rPr>
      </w:pPr>
      <w:r>
        <w:rPr>
          <w:rFonts w:ascii="Arial" w:cs="Arial" w:eastAsia="Arial" w:hAnsi="Arial"/>
          <w:sz w:val="18"/>
          <w:szCs w:val="18"/>
          <w:color w:val="auto"/>
        </w:rPr>
        <w:t>non-employee independent directors will receive an annual retainer of $</w:t>
      </w:r>
      <w:r>
        <w:rPr>
          <w:sz w:val="20"/>
          <w:szCs w:val="20"/>
          <w:color w:val="auto"/>
        </w:rPr>
        <w:tab/>
      </w:r>
      <w:r>
        <w:rPr>
          <w:rFonts w:ascii="Arial" w:cs="Arial" w:eastAsia="Arial" w:hAnsi="Arial"/>
          <w:sz w:val="16"/>
          <w:szCs w:val="16"/>
          <w:color w:val="auto"/>
        </w:rPr>
        <w:t>. Each non-employee independent director will also receive a fee of $</w:t>
      </w:r>
    </w:p>
    <w:p>
      <w:pPr>
        <w:spacing w:after="0" w:line="9" w:lineRule="exact"/>
        <w:rPr>
          <w:sz w:val="20"/>
          <w:szCs w:val="20"/>
          <w:color w:val="auto"/>
        </w:rPr>
      </w:pPr>
    </w:p>
    <w:p>
      <w:pPr>
        <w:ind w:left="200"/>
        <w:spacing w:after="0"/>
        <w:tabs>
          <w:tab w:leader="none" w:pos="10760" w:val="left"/>
        </w:tabs>
        <w:rPr>
          <w:sz w:val="20"/>
          <w:szCs w:val="20"/>
          <w:color w:val="auto"/>
        </w:rPr>
      </w:pPr>
      <w:r>
        <w:rPr>
          <w:rFonts w:ascii="Arial" w:cs="Arial" w:eastAsia="Arial" w:hAnsi="Arial"/>
          <w:sz w:val="17"/>
          <w:szCs w:val="17"/>
          <w:color w:val="auto"/>
        </w:rPr>
        <w:t>for each board meeting and each committee meeting attended. In addition, the chairman of the audit committee will receive an annual fee of $</w:t>
      </w:r>
      <w:r>
        <w:rPr>
          <w:sz w:val="20"/>
          <w:szCs w:val="20"/>
          <w:color w:val="auto"/>
        </w:rPr>
        <w:tab/>
      </w:r>
      <w:r>
        <w:rPr>
          <w:rFonts w:ascii="Arial" w:cs="Arial" w:eastAsia="Arial" w:hAnsi="Arial"/>
          <w:sz w:val="16"/>
          <w:szCs w:val="16"/>
          <w:color w:val="auto"/>
        </w:rPr>
        <w:t>, and</w:t>
      </w:r>
    </w:p>
    <w:p>
      <w:pPr>
        <w:spacing w:after="0" w:line="21" w:lineRule="exact"/>
        <w:rPr>
          <w:sz w:val="20"/>
          <w:szCs w:val="20"/>
          <w:color w:val="auto"/>
        </w:rPr>
      </w:pPr>
    </w:p>
    <w:p>
      <w:pPr>
        <w:ind w:left="200"/>
        <w:spacing w:after="0"/>
        <w:tabs>
          <w:tab w:leader="none" w:pos="8820" w:val="left"/>
        </w:tabs>
        <w:rPr>
          <w:sz w:val="20"/>
          <w:szCs w:val="20"/>
          <w:color w:val="auto"/>
        </w:rPr>
      </w:pPr>
      <w:r>
        <w:rPr>
          <w:rFonts w:ascii="Arial" w:cs="Arial" w:eastAsia="Arial" w:hAnsi="Arial"/>
          <w:sz w:val="17"/>
          <w:szCs w:val="17"/>
          <w:color w:val="auto"/>
        </w:rPr>
        <w:t>the chairman of the compensation, nominating and corporate governance committee will receive an annual fee of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640"/>
        <w:spacing w:after="0"/>
        <w:tabs>
          <w:tab w:leader="none" w:pos="5400" w:val="left"/>
        </w:tabs>
        <w:rPr>
          <w:sz w:val="20"/>
          <w:szCs w:val="20"/>
          <w:color w:val="auto"/>
        </w:rPr>
      </w:pPr>
      <w:r>
        <w:rPr>
          <w:rFonts w:ascii="Arial" w:cs="Arial" w:eastAsia="Arial" w:hAnsi="Arial"/>
          <w:sz w:val="18"/>
          <w:szCs w:val="18"/>
          <w:color w:val="auto"/>
        </w:rPr>
        <w:t>We are a “controlled company” under the rules of the</w:t>
      </w:r>
      <w:r>
        <w:rPr>
          <w:sz w:val="20"/>
          <w:szCs w:val="20"/>
          <w:color w:val="auto"/>
        </w:rPr>
        <w:tab/>
      </w:r>
      <w:r>
        <w:rPr>
          <w:rFonts w:ascii="Arial" w:cs="Arial" w:eastAsia="Arial" w:hAnsi="Arial"/>
          <w:sz w:val="16"/>
          <w:szCs w:val="16"/>
          <w:color w:val="auto"/>
        </w:rPr>
        <w:t>. As a result, we qualify for exemptions from, and have elected not to comply</w:t>
      </w:r>
    </w:p>
    <w:p>
      <w:pPr>
        <w:spacing w:after="0" w:line="23" w:lineRule="exact"/>
        <w:rPr>
          <w:sz w:val="20"/>
          <w:szCs w:val="20"/>
          <w:color w:val="auto"/>
        </w:rPr>
      </w:pPr>
    </w:p>
    <w:p>
      <w:pPr>
        <w:ind w:left="200"/>
        <w:spacing w:after="0" w:line="223" w:lineRule="auto"/>
        <w:rPr>
          <w:sz w:val="20"/>
          <w:szCs w:val="20"/>
          <w:color w:val="auto"/>
        </w:rPr>
      </w:pPr>
      <w:r>
        <w:rPr>
          <w:rFonts w:ascii="Arial" w:cs="Arial" w:eastAsia="Arial" w:hAnsi="Arial"/>
          <w:sz w:val="10"/>
          <w:szCs w:val="10"/>
          <w:color w:val="auto"/>
        </w:rPr>
        <w:t>with, certain corporate governance requirements under the rules, including the requirements that within one year of the closing of this offering we have a board that is composed of a majority of “independent directors,” as defined under the rules, and a compensation, nominating and corporate governance committee that are composed entirely of independent directors. Even though we are a controlled company, we are required to comply with the rules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tabs>
          <w:tab w:leader="none" w:pos="2300" w:val="left"/>
        </w:tabs>
        <w:rPr>
          <w:sz w:val="20"/>
          <w:szCs w:val="20"/>
          <w:color w:val="auto"/>
        </w:rPr>
      </w:pPr>
      <w:r>
        <w:rPr>
          <w:rFonts w:ascii="Arial" w:cs="Arial" w:eastAsia="Arial" w:hAnsi="Arial"/>
          <w:sz w:val="18"/>
          <w:szCs w:val="18"/>
          <w:color w:val="auto"/>
        </w:rPr>
        <w:t>the SEC and the</w:t>
      </w:r>
      <w:r>
        <w:rPr>
          <w:sz w:val="20"/>
          <w:szCs w:val="20"/>
          <w:color w:val="auto"/>
        </w:rPr>
        <w:tab/>
      </w:r>
      <w:r>
        <w:rPr>
          <w:rFonts w:ascii="Arial" w:cs="Arial" w:eastAsia="Arial" w:hAnsi="Arial"/>
          <w:sz w:val="16"/>
          <w:szCs w:val="16"/>
          <w:color w:val="auto"/>
        </w:rPr>
        <w:t>relating to the membership, qualifications and operations of the audit committee, as disclosed below.</w:t>
      </w:r>
    </w:p>
    <w:p>
      <w:pPr>
        <w:spacing w:after="0" w:line="225" w:lineRule="exact"/>
        <w:rPr>
          <w:sz w:val="20"/>
          <w:szCs w:val="20"/>
          <w:color w:val="auto"/>
        </w:rPr>
      </w:pPr>
    </w:p>
    <w:p>
      <w:pPr>
        <w:ind w:left="640"/>
        <w:spacing w:after="0"/>
        <w:tabs>
          <w:tab w:leader="none" w:pos="2700" w:val="left"/>
        </w:tabs>
        <w:rPr>
          <w:sz w:val="20"/>
          <w:szCs w:val="20"/>
          <w:color w:val="auto"/>
        </w:rPr>
      </w:pPr>
      <w:r>
        <w:rPr>
          <w:rFonts w:ascii="Arial" w:cs="Arial" w:eastAsia="Arial" w:hAnsi="Arial"/>
          <w:sz w:val="18"/>
          <w:szCs w:val="18"/>
          <w:color w:val="auto"/>
        </w:rPr>
        <w:t>The rules of the</w:t>
      </w:r>
      <w:r>
        <w:rPr>
          <w:sz w:val="20"/>
          <w:szCs w:val="20"/>
          <w:color w:val="auto"/>
        </w:rPr>
        <w:tab/>
      </w:r>
      <w:r>
        <w:rPr>
          <w:rFonts w:ascii="Arial" w:cs="Arial" w:eastAsia="Arial" w:hAnsi="Arial"/>
          <w:sz w:val="16"/>
          <w:szCs w:val="16"/>
          <w:color w:val="auto"/>
        </w:rPr>
        <w:t>define a “controlled company” as a company of which more than 50% of the voting power for the election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 is held by an individual, a group or another company. Upon closing of this offering, PFL will own, and control the voting power</w:t>
      </w:r>
    </w:p>
    <w:p>
      <w:pPr>
        <w:spacing w:after="0" w:line="9" w:lineRule="exact"/>
        <w:rPr>
          <w:sz w:val="20"/>
          <w:szCs w:val="20"/>
          <w:color w:val="auto"/>
        </w:rPr>
      </w:pPr>
    </w:p>
    <w:p>
      <w:pPr>
        <w:ind w:left="200" w:right="220"/>
        <w:spacing w:after="0" w:line="265" w:lineRule="auto"/>
        <w:rPr>
          <w:sz w:val="20"/>
          <w:szCs w:val="20"/>
          <w:color w:val="auto"/>
        </w:rPr>
      </w:pPr>
      <w:r>
        <w:rPr>
          <w:rFonts w:ascii="Arial" w:cs="Arial" w:eastAsia="Arial" w:hAnsi="Arial"/>
          <w:sz w:val="17"/>
          <w:szCs w:val="17"/>
          <w:color w:val="auto"/>
        </w:rPr>
        <w:t>of, shares of our common stock, representing % of the total outstanding shares of common stock (or approximately % if the underwriters exercise their option to purchase additional shares in full). Through its control of shares of common stock representing a majority of the votes entitled to be cast in the election of directors, PFL will control the vote to elect all of our directors. Accordingly, we will qualify as a “controlled</w:t>
      </w:r>
    </w:p>
    <w:p>
      <w:pPr>
        <w:spacing w:after="0" w:line="1" w:lineRule="exact"/>
        <w:rPr>
          <w:sz w:val="20"/>
          <w:szCs w:val="20"/>
          <w:color w:val="auto"/>
        </w:rPr>
      </w:pPr>
    </w:p>
    <w:p>
      <w:pPr>
        <w:ind w:left="200" w:right="120"/>
        <w:spacing w:after="0" w:line="662" w:lineRule="auto"/>
        <w:rPr>
          <w:sz w:val="20"/>
          <w:szCs w:val="20"/>
          <w:color w:val="auto"/>
        </w:rPr>
      </w:pPr>
      <w:r>
        <w:rPr>
          <w:rFonts w:ascii="Arial" w:cs="Arial" w:eastAsia="Arial" w:hAnsi="Arial"/>
          <w:sz w:val="17"/>
          <w:szCs w:val="17"/>
          <w:color w:val="auto"/>
        </w:rPr>
        <w:t>company” and will be able to rely on the controlled company exemption from the director independence requirements of the relating to the board of directors and the compensation, nominating and corporate governance committee. If we cease to be a controlled company and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stock continues to be listed on , we will be required to comply with these requirements by the date our status as a controlled company changes or within specified transition periods applicable to certain provisions, as the case may be.</w:t>
      </w:r>
    </w:p>
    <w:p>
      <w:pPr>
        <w:sectPr>
          <w:pgSz w:w="11900" w:h="16838" w:orient="portrait"/>
          <w:cols w:equalWidth="0" w:num="1">
            <w:col w:w="11220"/>
          </w:cols>
          <w:pgMar w:left="240" w:top="459" w:right="439" w:bottom="1440" w:gutter="0" w:footer="0" w:header="0"/>
        </w:sectPr>
      </w:pP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board of directors has determined that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are independent directors under the rules.</w:t>
      </w:r>
    </w:p>
    <w:p>
      <w:pPr>
        <w:spacing w:after="0" w:line="200" w:lineRule="exact"/>
        <w:rPr>
          <w:sz w:val="20"/>
          <w:szCs w:val="20"/>
          <w:color w:val="auto"/>
        </w:rPr>
      </w:pPr>
    </w:p>
    <w:p>
      <w:pPr>
        <w:sectPr>
          <w:pgSz w:w="11900" w:h="16838" w:orient="portrait"/>
          <w:cols w:equalWidth="0" w:num="3">
            <w:col w:w="3980" w:space="720"/>
            <w:col w:w="520" w:space="720"/>
            <w:col w:w="5280"/>
          </w:cols>
          <w:pgMar w:left="240" w:top="459" w:right="439" w:bottom="1440" w:gutter="0" w:footer="0" w:header="0"/>
          <w:type w:val="continuous"/>
        </w:sectPr>
      </w:pP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Board of Directors in Risk Oversight</w:t>
      </w:r>
    </w:p>
    <w:p>
      <w:pPr>
        <w:spacing w:after="0" w:line="121" w:lineRule="exact"/>
        <w:rPr>
          <w:sz w:val="20"/>
          <w:szCs w:val="20"/>
          <w:color w:val="auto"/>
        </w:rPr>
      </w:pPr>
    </w:p>
    <w:p>
      <w:pPr>
        <w:jc w:val="both"/>
        <w:ind w:left="200" w:right="120" w:firstLine="441"/>
        <w:spacing w:after="0" w:line="276" w:lineRule="auto"/>
        <w:rPr>
          <w:sz w:val="20"/>
          <w:szCs w:val="20"/>
          <w:color w:val="auto"/>
        </w:rPr>
      </w:pPr>
      <w:r>
        <w:rPr>
          <w:rFonts w:ascii="Arial" w:cs="Arial" w:eastAsia="Arial" w:hAnsi="Arial"/>
          <w:sz w:val="17"/>
          <w:szCs w:val="17"/>
          <w:color w:val="auto"/>
        </w:rPr>
        <w:t>Our Chief Executive Officer, other executive officers and other members of our management team regularly report to the non-executive directors and the audit committee to discuss any financial, legal, cybersecurity or regulatory risks, to ensure effective and efficient oversight of our activities and to assist in proper risk management and the ongoing evaluation of management controls. Internal Audit reports functionally and administratively to our Chief Financial Officer and directly to the audit committee. We believe that the leadership structure of our board of directors provides appropriate risk oversight of our activities given the controlling interests held by PFL.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members of our audit committee are , and . is the chairman of our audit committee. The composition of our audit committee meets the requirements for independence under the current listing standards and SEC rules and regulations. Each member of our audit committee is financially literate. In addition, our board of directors has determined that is an “audit committee financial expert” as defined in Item 407(d)(5)(ii) of Regulation S-K promulgated under the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Securities Act.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76" w:lineRule="exact"/>
        <w:rPr>
          <w:sz w:val="20"/>
          <w:szCs w:val="20"/>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Nominating and Corporate Governance Committee</w:t>
      </w:r>
    </w:p>
    <w:p>
      <w:pPr>
        <w:spacing w:after="0" w:line="117" w:lineRule="exact"/>
        <w:rPr>
          <w:sz w:val="20"/>
          <w:szCs w:val="20"/>
          <w:color w:val="auto"/>
        </w:rPr>
      </w:pPr>
    </w:p>
    <w:p>
      <w:pPr>
        <w:ind w:left="640"/>
        <w:spacing w:after="0"/>
        <w:tabs>
          <w:tab w:leader="none" w:pos="7960" w:val="left"/>
          <w:tab w:leader="none" w:pos="9000" w:val="left"/>
        </w:tabs>
        <w:rPr>
          <w:sz w:val="20"/>
          <w:szCs w:val="20"/>
          <w:color w:val="auto"/>
        </w:rPr>
      </w:pPr>
      <w:r>
        <w:rPr>
          <w:rFonts w:ascii="Arial" w:cs="Arial" w:eastAsia="Arial" w:hAnsi="Arial"/>
          <w:sz w:val="18"/>
          <w:szCs w:val="18"/>
          <w:color w:val="auto"/>
        </w:rPr>
        <w:t>The members of our compensation, nominating and corporate governance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200" w:right="360" w:firstLine="49"/>
        <w:spacing w:after="0" w:line="261" w:lineRule="auto"/>
        <w:tabs>
          <w:tab w:leader="none" w:pos="11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the chairman of our compensation, nominating and corporate governance committee. Our compensation, nominating and corporate governance committee is responsible for, among other things:</w:t>
      </w:r>
    </w:p>
    <w:p>
      <w:pPr>
        <w:spacing w:after="0" w:line="89"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connection with this offering, our board of directors will adopt a code of ethics that applies to all of our employees, officers and directors, including our Chief Executive Officer, Chief Financial Officer and other executive and senior financial officers. Upon closing of this offering, the full text of our codes of business conduct and ethics will be posted on the investor relations section of our website. We intend to disclose future amendments to our codes of business conduct and ethics, or any waivers of such code, on our website or in public filings.</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820"/>
          </w:cols>
          <w:pgMar w:left="240" w:top="459" w:right="8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This Compensation Discussion and Analysis section describes our compensation approach and programs for our named executive officers (“NEOs”), which include our Chief Executive Officer, Chief Financial Officer, and our three other most highly compensated executive officers for the year ended December 31, 2018. Our NEOs for 2018 were:</w:t>
      </w:r>
    </w:p>
    <w:p>
      <w:pPr>
        <w:spacing w:after="0" w:line="87" w:lineRule="exact"/>
        <w:rPr>
          <w:sz w:val="20"/>
          <w:szCs w:val="20"/>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Lance Mitchell, President and Chief Executive Officer;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Michael Graham, Chief Financial Officer;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David Bryla, President, Hefty Waste &amp; Storage;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Stephan Pace, President, Walmart/Sam’s &amp; eCommerce;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Craig Cappel, President, Reynolds Cooking &amp; Baking.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Mr. Cappel became the President of Reynolds Cooking &amp; Baking in October 2018. Prior to that, he served as the President of Hefty Tableware.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Bryla’s employment with RCP terminated in June 2019.</w:t>
      </w:r>
    </w:p>
    <w:p>
      <w:pPr>
        <w:spacing w:after="0" w:line="21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following discussion relates to the compensation of our NEOs whose compensation is disclosed below, as well as the overall principles underlying our executive compensation policies as we move towards becoming a public company. Except as otherwise indicated below, the compensation objectives, strategy, and decisions that were applicable to us and our NEOs for 2018 were consistent with the compensation objectives, strategy, and decisions that were generally applicable to RGHL for 2018.</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Compensation Objectives and Philosophy</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a wholly-owned business of RGHL Group, we have shared the compensation objectives of RGHL, including attracting and retaining top talent, motivating and rewarding the performance of senior executives in support of achievement of strategic, financial and operating performance objectives and ensuring that our total compensation packages are competitive in comparison to those offered by our peers. Our NEOs, as well as our employees generally, have participated in compensation and benefits plans and programs which have included other businesses of RGHL, including as described below under “Other Compensation—Retirement and Welfare Benefits,” and a number of these plans and programs are being replicated as stand-alone plans in conjunction with this offering. These plans and programs are intended to align our compensation programs with our business objectives, promote good corporate governance and seek to achieve our compensation objectives.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ensure that management’s interests are aligned with those of our stockholders and to motivate and reward individual initiative and effort, our executive compensation program emphasizes a pay-for-performance compensation philosophy so that attainment of enterprise-wide, business unit and individual performance goals are rewarded. Through the use of performance-based plans that emphasize attainment of enterprise-wide and/or business unit goals, we seek to foster teamwork and commitment to performance. The introduction of tools such as equity ownership and long-term equity-based incentive compensation programs, discussed below, in conjunction with this offering is important to ensure that the efforts of management are consistent with the objectives of our stockholders.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Assessment of Compensation Programs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RGHL does not believe that our compensation arrangements, including financial performance measures used to determine short-term and long-term incentive payout amounts, provide our executives with an incentive to engage in business activities or other behavior that would expose us or our stockholders to excessive risks that are reasonably likely to have a material adverse effect.</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Process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Role of RGHL Executives and RCP’s Compensation, Nominating and Corporate Governance Committee Going Forward</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Prior to the Corporate Reorganization and the closing of this offering, we were a wholly-owned business of RGHL Group and executives of RGHL were primarily responsible for determining our compensation strategy and philosophy.</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connection with this offering, RGHL executives established our initial compensation and benefits programs and approved initial compensation for our executive officers and senior executives, including our NEOs. To assist in this task, RGHL has engaged Pearl Meyer, an independent compensation consultant, to provide an analysis of base salary, short-term incentive (“STI”) compensation and long-term incentive (“LTI”) compensation for senior executives with similar responsibilities, including positions within business groups, within the companies in the Benchmark Comparison Group. RGHL also directed Pearl Meyer to compare RCP executive officers’ compensation by percentile ranking to the compensation received by officers in comparable positions at Benchmark Comparison Group companies, discussed below.</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established a compensation, nominating and corporate governance committee of directors (“Compensation, Nominating and Corporate Governance Committee”) who, following the closing of this offering, will assume responsibility for determining our compensation philosophy, structuring our compensation and benefits programs and determining appropriate payments and awards to our executive officers, including our NEOs. The Compensation, Nominating and Corporate Governance Committee will also be responsible for implementing, monitoring and evaluating our executive compensation philosophy and objectives and overseeing the compensation program for senior executives. The Compensation, Nominating and Corporate Governance Committee’s responsibilities and authority are described fully in its charter.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Role of the Independent Compensation Consultant and Our Peer Group</w:t>
      </w:r>
    </w:p>
    <w:p>
      <w:pPr>
        <w:spacing w:after="0" w:line="117"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In conjunction with this offering, we have identified a group of peer companies which we will use as our benchmark for compensation matters (“Benchmark Comparison Group”). The Benchmark Comparison Group will be reviewed from time to time by our Compensation, Nominating and Corporate Governance Committee. The Benchmark Comparison Group includes the following companies:</w:t>
      </w:r>
    </w:p>
    <w:p>
      <w:pPr>
        <w:spacing w:after="0" w:line="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ind w:left="100"/>
              <w:spacing w:after="0"/>
              <w:rPr>
                <w:sz w:val="20"/>
                <w:szCs w:val="20"/>
                <w:color w:val="auto"/>
              </w:rPr>
            </w:pPr>
            <w:r>
              <w:rPr>
                <w:rFonts w:ascii="Arial" w:cs="Arial" w:eastAsia="Arial" w:hAnsi="Arial"/>
                <w:sz w:val="18"/>
                <w:szCs w:val="18"/>
                <w:color w:val="auto"/>
              </w:rPr>
              <w:t>AptarGroup, Inc.</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Owens-Illinois, Inc.</w:t>
            </w:r>
          </w:p>
        </w:tc>
      </w:tr>
      <w:tr>
        <w:trPr>
          <w:trHeight w:val="338"/>
        </w:trPr>
        <w:tc>
          <w:tcPr>
            <w:tcW w:w="4280" w:type="dxa"/>
            <w:vAlign w:val="bottom"/>
            <w:gridSpan w:val="2"/>
          </w:tcPr>
          <w:p>
            <w:pPr>
              <w:spacing w:after="0"/>
              <w:rPr>
                <w:sz w:val="20"/>
                <w:szCs w:val="20"/>
                <w:color w:val="auto"/>
              </w:rPr>
            </w:pPr>
            <w:r>
              <w:rPr>
                <w:rFonts w:ascii="Arial" w:cs="Arial" w:eastAsia="Arial" w:hAnsi="Arial"/>
                <w:sz w:val="18"/>
                <w:szCs w:val="18"/>
                <w:color w:val="auto"/>
              </w:rPr>
              <w:t>•  Church &amp; Dwight Co., Inc.</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Sealed Air Corporation</w:t>
            </w:r>
          </w:p>
        </w:tc>
      </w:tr>
      <w:tr>
        <w:trPr>
          <w:trHeight w:val="338"/>
        </w:trPr>
        <w:tc>
          <w:tcPr>
            <w:tcW w:w="4280" w:type="dxa"/>
            <w:vAlign w:val="bottom"/>
            <w:gridSpan w:val="2"/>
          </w:tcPr>
          <w:p>
            <w:pPr>
              <w:spacing w:after="0"/>
              <w:rPr>
                <w:sz w:val="20"/>
                <w:szCs w:val="20"/>
                <w:color w:val="auto"/>
              </w:rPr>
            </w:pPr>
            <w:r>
              <w:rPr>
                <w:rFonts w:ascii="Arial" w:cs="Arial" w:eastAsia="Arial" w:hAnsi="Arial"/>
                <w:sz w:val="18"/>
                <w:szCs w:val="18"/>
                <w:color w:val="auto"/>
              </w:rPr>
              <w:t>•  Edgewell Personal Care Company</w:t>
            </w:r>
          </w:p>
        </w:tc>
        <w:tc>
          <w:tcPr>
            <w:tcW w:w="4260" w:type="dxa"/>
            <w:vAlign w:val="bottom"/>
            <w:gridSpan w:val="2"/>
          </w:tcPr>
          <w:p>
            <w:pPr>
              <w:ind w:left="1560"/>
              <w:spacing w:after="0"/>
              <w:rPr>
                <w:sz w:val="20"/>
                <w:szCs w:val="20"/>
                <w:color w:val="auto"/>
              </w:rPr>
            </w:pPr>
            <w:r>
              <w:rPr>
                <w:rFonts w:ascii="Arial" w:cs="Arial" w:eastAsia="Arial" w:hAnsi="Arial"/>
                <w:sz w:val="18"/>
                <w:szCs w:val="18"/>
                <w:color w:val="auto"/>
                <w:w w:val="94"/>
              </w:rPr>
              <w:t>•  The Scotts Miracle-Gro Company</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ind w:left="100"/>
              <w:spacing w:after="0"/>
              <w:rPr>
                <w:sz w:val="20"/>
                <w:szCs w:val="20"/>
                <w:color w:val="auto"/>
              </w:rPr>
            </w:pPr>
            <w:r>
              <w:rPr>
                <w:rFonts w:ascii="Arial" w:cs="Arial" w:eastAsia="Arial" w:hAnsi="Arial"/>
                <w:sz w:val="18"/>
                <w:szCs w:val="18"/>
                <w:color w:val="auto"/>
              </w:rPr>
              <w:t>Energizer Holdings, Inc.</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Silgan Holdings Inc.</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ind w:left="100"/>
              <w:spacing w:after="0"/>
              <w:rPr>
                <w:sz w:val="20"/>
                <w:szCs w:val="20"/>
                <w:color w:val="auto"/>
              </w:rPr>
            </w:pPr>
            <w:r>
              <w:rPr>
                <w:rFonts w:ascii="Arial" w:cs="Arial" w:eastAsia="Arial" w:hAnsi="Arial"/>
                <w:sz w:val="18"/>
                <w:szCs w:val="18"/>
                <w:color w:val="auto"/>
              </w:rPr>
              <w:t>Greif, Inc.</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Snap-on Incorporated</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ind w:left="100"/>
              <w:spacing w:after="0"/>
              <w:rPr>
                <w:sz w:val="20"/>
                <w:szCs w:val="20"/>
                <w:color w:val="auto"/>
              </w:rPr>
            </w:pPr>
            <w:r>
              <w:rPr>
                <w:rFonts w:ascii="Arial" w:cs="Arial" w:eastAsia="Arial" w:hAnsi="Arial"/>
                <w:sz w:val="18"/>
                <w:szCs w:val="18"/>
                <w:color w:val="auto"/>
              </w:rPr>
              <w:t>Hasbro, Inc.</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Spectrum Brands Holdings</w:t>
            </w:r>
          </w:p>
        </w:tc>
      </w:tr>
      <w:tr>
        <w:trPr>
          <w:trHeight w:val="338"/>
        </w:trPr>
        <w:tc>
          <w:tcPr>
            <w:tcW w:w="4280" w:type="dxa"/>
            <w:vAlign w:val="bottom"/>
            <w:gridSpan w:val="2"/>
          </w:tcPr>
          <w:p>
            <w:pPr>
              <w:spacing w:after="0"/>
              <w:rPr>
                <w:sz w:val="20"/>
                <w:szCs w:val="20"/>
                <w:color w:val="auto"/>
              </w:rPr>
            </w:pPr>
            <w:r>
              <w:rPr>
                <w:rFonts w:ascii="Arial" w:cs="Arial" w:eastAsia="Arial" w:hAnsi="Arial"/>
                <w:sz w:val="18"/>
                <w:szCs w:val="18"/>
                <w:color w:val="auto"/>
              </w:rPr>
              <w:t>•  Helen of Troy Limited</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The Clorox Company</w:t>
            </w:r>
          </w:p>
        </w:tc>
      </w:tr>
      <w:tr>
        <w:trPr>
          <w:trHeight w:val="338"/>
        </w:trPr>
        <w:tc>
          <w:tcPr>
            <w:tcW w:w="4280" w:type="dxa"/>
            <w:vAlign w:val="bottom"/>
            <w:gridSpan w:val="2"/>
          </w:tcPr>
          <w:p>
            <w:pPr>
              <w:spacing w:after="0"/>
              <w:rPr>
                <w:sz w:val="20"/>
                <w:szCs w:val="20"/>
                <w:color w:val="auto"/>
              </w:rPr>
            </w:pPr>
            <w:r>
              <w:rPr>
                <w:rFonts w:ascii="Arial" w:cs="Arial" w:eastAsia="Arial" w:hAnsi="Arial"/>
                <w:sz w:val="18"/>
                <w:szCs w:val="18"/>
                <w:color w:val="auto"/>
              </w:rPr>
              <w:t>•  Nu Skin Enterprises, Inc.</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w w:val="94"/>
              </w:rPr>
              <w:t>Tupperware Brands Corporation</w:t>
            </w: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criteria considered in selecting peer companies for the Benchmark Comparison Group include the following:</w:t>
      </w:r>
    </w:p>
    <w:p>
      <w:pPr>
        <w:spacing w:after="0" w:line="131" w:lineRule="exact"/>
        <w:rPr>
          <w:sz w:val="20"/>
          <w:szCs w:val="20"/>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size, as measured by revenue, market capitalization and enterprise value;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industry category, including consumer household and personal products, household appliances, containers and packaging; and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competition for sources of talent.</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Management</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Subsequent to this offering, our CEO will make recommendations to the Compensation, Nominating and Corporate Governance Committee for base salary, STI, LTI and any other elements of our compensation program for each NEO (other than the CEO, whose compensation is determined solely by the Compensation, Nominating and Corporate Governance Committee). Our CEO will also provide recommendations to the Compensation, Nominating and Corporate Governance Committee on other elements of our compensation program for senior executives, including, for example, the design and metrics under our STI and LTI programs. While the Compensation, Nominating and Corporate Governance Committee will consider the CEO’s recommendations with respect to the compensation of such NEOs, the Compensation, Nominating and Corporate Governance Committee independently evaluates the recommendations and makes all final compensation decisions relating to the NEOs.</w:t>
      </w:r>
    </w:p>
    <w:p>
      <w:pPr>
        <w:spacing w:after="0" w:line="16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the case of compensation for employees below the most senior level, the Compensation, Nominating and Corporate Governance Committee will delegate certain authority to our management to make determinations in accordance with guidelines established by the Compensation, Nominating and Corporate Governance Committee.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executive compensation for our NEOs, and the primary objectives of each, are summarized in the chart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120" w:type="dxa"/>
            <w:vAlign w:val="bottom"/>
          </w:tcPr>
          <w:p>
            <w:pPr>
              <w:spacing w:after="0"/>
              <w:rPr>
                <w:sz w:val="16"/>
                <w:szCs w:val="16"/>
                <w:color w:val="auto"/>
              </w:rPr>
            </w:pPr>
          </w:p>
        </w:tc>
        <w:tc>
          <w:tcPr>
            <w:tcW w:w="2740" w:type="dxa"/>
            <w:vAlign w:val="bottom"/>
          </w:tcPr>
          <w:p>
            <w:pPr>
              <w:ind w:left="10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2760" w:type="dxa"/>
            <w:vAlign w:val="bottom"/>
          </w:tcPr>
          <w:p>
            <w:pPr>
              <w:ind w:left="12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ind w:left="820"/>
              <w:spacing w:after="0"/>
              <w:rPr>
                <w:sz w:val="20"/>
                <w:szCs w:val="20"/>
                <w:color w:val="auto"/>
              </w:rPr>
            </w:pPr>
            <w:r>
              <w:rPr>
                <w:rFonts w:ascii="Arial" w:cs="Arial" w:eastAsia="Arial" w:hAnsi="Arial"/>
                <w:sz w:val="14"/>
                <w:szCs w:val="14"/>
                <w:b w:val="1"/>
                <w:bCs w:val="1"/>
                <w:color w:val="auto"/>
              </w:rPr>
              <w:t>Objective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b w:val="1"/>
                <w:bCs w:val="1"/>
                <w:color w:val="auto"/>
              </w:rPr>
              <w:t>Base salary</w:t>
            </w:r>
          </w:p>
        </w:tc>
        <w:tc>
          <w:tcPr>
            <w:tcW w:w="120" w:type="dxa"/>
            <w:vAlign w:val="bottom"/>
          </w:tcPr>
          <w:p>
            <w:pPr>
              <w:spacing w:after="0"/>
              <w:rPr>
                <w:sz w:val="10"/>
                <w:szCs w:val="10"/>
                <w:color w:val="auto"/>
              </w:rPr>
            </w:pPr>
          </w:p>
        </w:tc>
        <w:tc>
          <w:tcPr>
            <w:tcW w:w="27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Fixed based on level of responsibility,</w:t>
            </w:r>
          </w:p>
        </w:tc>
        <w:tc>
          <w:tcPr>
            <w:tcW w:w="120" w:type="dxa"/>
            <w:vAlign w:val="bottom"/>
          </w:tcPr>
          <w:p>
            <w:pPr>
              <w:spacing w:after="0"/>
              <w:rPr>
                <w:sz w:val="10"/>
                <w:szCs w:val="10"/>
                <w:color w:val="auto"/>
              </w:rPr>
            </w:pPr>
          </w:p>
        </w:tc>
        <w:tc>
          <w:tcPr>
            <w:tcW w:w="27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Cash</w:t>
            </w:r>
          </w:p>
        </w:tc>
        <w:tc>
          <w:tcPr>
            <w:tcW w:w="120" w:type="dxa"/>
            <w:vAlign w:val="bottom"/>
          </w:tcPr>
          <w:p>
            <w:pPr>
              <w:spacing w:after="0"/>
              <w:rPr>
                <w:sz w:val="10"/>
                <w:szCs w:val="10"/>
                <w:color w:val="auto"/>
              </w:rPr>
            </w:pPr>
          </w:p>
        </w:tc>
        <w:tc>
          <w:tcPr>
            <w:tcW w:w="80" w:type="dxa"/>
            <w:vAlign w:val="bottom"/>
            <w:tcBorders>
              <w:top w:val="single" w:sz="8" w:color="auto"/>
            </w:tcBorders>
          </w:tcPr>
          <w:p>
            <w:pPr>
              <w:jc w:val="right"/>
              <w:ind w:right="4"/>
              <w:spacing w:after="0"/>
              <w:rPr>
                <w:sz w:val="20"/>
                <w:szCs w:val="20"/>
                <w:color w:val="auto"/>
              </w:rPr>
            </w:pPr>
            <w:r>
              <w:rPr>
                <w:rFonts w:ascii="Arial" w:cs="Arial" w:eastAsia="Arial" w:hAnsi="Arial"/>
                <w:sz w:val="7"/>
                <w:szCs w:val="7"/>
                <w:color w:val="auto"/>
                <w:w w:val="79"/>
              </w:rPr>
              <w:t>•</w:t>
            </w:r>
          </w:p>
        </w:tc>
        <w:tc>
          <w:tcPr>
            <w:tcW w:w="234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color w:val="auto"/>
                <w:w w:val="97"/>
              </w:rPr>
              <w:t>Support talent attraction and retention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60" w:type="dxa"/>
            <w:vAlign w:val="bottom"/>
            <w:gridSpan w:val="2"/>
          </w:tcPr>
          <w:p>
            <w:pPr>
              <w:ind w:left="100"/>
              <w:spacing w:after="0"/>
              <w:rPr>
                <w:sz w:val="20"/>
                <w:szCs w:val="20"/>
                <w:color w:val="auto"/>
              </w:rPr>
            </w:pPr>
            <w:r>
              <w:rPr>
                <w:rFonts w:ascii="Arial" w:cs="Arial" w:eastAsia="Arial" w:hAnsi="Arial"/>
                <w:sz w:val="14"/>
                <w:szCs w:val="14"/>
                <w:color w:val="auto"/>
              </w:rPr>
              <w:t>experience, tenure and qualifications</w:t>
            </w:r>
          </w:p>
        </w:tc>
        <w:tc>
          <w:tcPr>
            <w:tcW w:w="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w w:val="93"/>
              </w:rPr>
              <w:t>STI Compensation in the Form of an Annual</w:t>
            </w:r>
          </w:p>
        </w:tc>
        <w:tc>
          <w:tcPr>
            <w:tcW w:w="2860" w:type="dxa"/>
            <w:vAlign w:val="bottom"/>
            <w:gridSpan w:val="2"/>
          </w:tcPr>
          <w:p>
            <w:pPr>
              <w:ind w:left="100"/>
              <w:spacing w:after="0"/>
              <w:rPr>
                <w:sz w:val="20"/>
                <w:szCs w:val="20"/>
                <w:color w:val="auto"/>
              </w:rPr>
            </w:pPr>
            <w:r>
              <w:rPr>
                <w:rFonts w:ascii="Arial" w:cs="Arial" w:eastAsia="Arial" w:hAnsi="Arial"/>
                <w:sz w:val="14"/>
                <w:szCs w:val="14"/>
                <w:color w:val="auto"/>
                <w:w w:val="97"/>
              </w:rPr>
              <w:t>Variable based on the achievement of annual</w:t>
            </w: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Cash</w:t>
            </w:r>
          </w:p>
        </w:tc>
        <w:tc>
          <w:tcPr>
            <w:tcW w:w="20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rPr>
              <w:t>Link pay and performance</w:t>
            </w:r>
          </w:p>
        </w:tc>
        <w:tc>
          <w:tcPr>
            <w:tcW w:w="0" w:type="dxa"/>
            <w:vAlign w:val="bottom"/>
          </w:tcPr>
          <w:p>
            <w:pPr>
              <w:spacing w:after="0"/>
              <w:rPr>
                <w:sz w:val="1"/>
                <w:szCs w:val="1"/>
                <w:color w:val="auto"/>
              </w:rPr>
            </w:pPr>
          </w:p>
        </w:tc>
      </w:tr>
      <w:tr>
        <w:trPr>
          <w:trHeight w:val="186"/>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Incentive Program</w:t>
            </w:r>
          </w:p>
        </w:tc>
        <w:tc>
          <w:tcPr>
            <w:tcW w:w="2860" w:type="dxa"/>
            <w:vAlign w:val="bottom"/>
            <w:gridSpan w:val="2"/>
          </w:tcPr>
          <w:p>
            <w:pPr>
              <w:ind w:left="100"/>
              <w:spacing w:after="0"/>
              <w:rPr>
                <w:sz w:val="20"/>
                <w:szCs w:val="20"/>
                <w:color w:val="auto"/>
              </w:rPr>
            </w:pPr>
            <w:r>
              <w:rPr>
                <w:rFonts w:ascii="Arial" w:cs="Arial" w:eastAsia="Arial" w:hAnsi="Arial"/>
                <w:sz w:val="14"/>
                <w:szCs w:val="14"/>
                <w:color w:val="auto"/>
              </w:rPr>
              <w:t>financial metrics</w:t>
            </w: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w:t>
            </w:r>
          </w:p>
        </w:tc>
        <w:tc>
          <w:tcPr>
            <w:tcW w:w="2340" w:type="dxa"/>
            <w:vAlign w:val="bottom"/>
            <w:vMerge w:val="restart"/>
          </w:tcPr>
          <w:p>
            <w:pPr>
              <w:ind w:left="40"/>
              <w:spacing w:after="0"/>
              <w:rPr>
                <w:sz w:val="20"/>
                <w:szCs w:val="20"/>
                <w:color w:val="auto"/>
              </w:rPr>
            </w:pPr>
            <w:r>
              <w:rPr>
                <w:rFonts w:ascii="Arial" w:cs="Arial" w:eastAsia="Arial" w:hAnsi="Arial"/>
                <w:sz w:val="14"/>
                <w:szCs w:val="14"/>
                <w:color w:val="auto"/>
              </w:rPr>
              <w:t>Drive the achievement of short-term</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business objectives</w:t>
            </w: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LTI Compensation</w:t>
            </w:r>
          </w:p>
        </w:tc>
        <w:tc>
          <w:tcPr>
            <w:tcW w:w="2860" w:type="dxa"/>
            <w:vAlign w:val="bottom"/>
            <w:gridSpan w:val="2"/>
          </w:tcPr>
          <w:p>
            <w:pPr>
              <w:ind w:left="100"/>
              <w:spacing w:after="0"/>
              <w:rPr>
                <w:sz w:val="20"/>
                <w:szCs w:val="20"/>
                <w:color w:val="auto"/>
              </w:rPr>
            </w:pPr>
            <w:r>
              <w:rPr>
                <w:rFonts w:ascii="Arial" w:cs="Arial" w:eastAsia="Arial" w:hAnsi="Arial"/>
                <w:sz w:val="14"/>
                <w:szCs w:val="14"/>
                <w:color w:val="auto"/>
                <w:w w:val="96"/>
              </w:rPr>
              <w:t>Variable based on the achievement of longer-</w:t>
            </w: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Cash</w:t>
            </w:r>
          </w:p>
        </w:tc>
        <w:tc>
          <w:tcPr>
            <w:tcW w:w="20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w w:val="97"/>
              </w:rPr>
              <w:t>Support talent attraction and retention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60" w:type="dxa"/>
            <w:vAlign w:val="bottom"/>
            <w:gridSpan w:val="2"/>
          </w:tcPr>
          <w:p>
            <w:pPr>
              <w:ind w:left="100"/>
              <w:spacing w:after="0"/>
              <w:rPr>
                <w:sz w:val="20"/>
                <w:szCs w:val="20"/>
                <w:color w:val="auto"/>
              </w:rPr>
            </w:pPr>
            <w:r>
              <w:rPr>
                <w:rFonts w:ascii="Arial" w:cs="Arial" w:eastAsia="Arial" w:hAnsi="Arial"/>
                <w:sz w:val="14"/>
                <w:szCs w:val="14"/>
                <w:color w:val="auto"/>
              </w:rPr>
              <w:t>term goals and stockholder value creation</w:t>
            </w:r>
          </w:p>
        </w:tc>
        <w:tc>
          <w:tcPr>
            <w:tcW w:w="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w:t>
            </w:r>
          </w:p>
        </w:tc>
        <w:tc>
          <w:tcPr>
            <w:tcW w:w="2340" w:type="dxa"/>
            <w:vAlign w:val="bottom"/>
            <w:vMerge w:val="restart"/>
          </w:tcPr>
          <w:p>
            <w:pPr>
              <w:ind w:left="40"/>
              <w:spacing w:after="0"/>
              <w:rPr>
                <w:sz w:val="20"/>
                <w:szCs w:val="20"/>
                <w:color w:val="auto"/>
              </w:rPr>
            </w:pPr>
            <w:r>
              <w:rPr>
                <w:rFonts w:ascii="Arial" w:cs="Arial" w:eastAsia="Arial" w:hAnsi="Arial"/>
                <w:sz w:val="14"/>
                <w:szCs w:val="14"/>
                <w:color w:val="auto"/>
              </w:rPr>
              <w:t>Link pay and performance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w w:val="98"/>
              </w:rPr>
              <w:t>Drive the achievement of longer-term</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goals</w:t>
            </w: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w w:val="92"/>
              </w:rPr>
              <w:t>Other Compensation and Benefits Programs</w:t>
            </w:r>
          </w:p>
        </w:tc>
        <w:tc>
          <w:tcPr>
            <w:tcW w:w="2860" w:type="dxa"/>
            <w:vAlign w:val="bottom"/>
            <w:gridSpan w:val="2"/>
          </w:tcPr>
          <w:p>
            <w:pPr>
              <w:ind w:left="100"/>
              <w:spacing w:after="0"/>
              <w:rPr>
                <w:sz w:val="20"/>
                <w:szCs w:val="20"/>
                <w:color w:val="auto"/>
              </w:rPr>
            </w:pPr>
            <w:r>
              <w:rPr>
                <w:rFonts w:ascii="Arial" w:cs="Arial" w:eastAsia="Arial" w:hAnsi="Arial"/>
                <w:sz w:val="14"/>
                <w:szCs w:val="14"/>
                <w:color w:val="auto"/>
              </w:rPr>
              <w:t>Employee health, welfare and retirement</w:t>
            </w: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Group medical benefits</w:t>
            </w:r>
          </w:p>
        </w:tc>
        <w:tc>
          <w:tcPr>
            <w:tcW w:w="200" w:type="dxa"/>
            <w:vAlign w:val="bottom"/>
            <w:gridSpan w:val="2"/>
          </w:tcPr>
          <w:p>
            <w:pPr>
              <w:jc w:val="right"/>
              <w:ind w:right="4"/>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w w:val="97"/>
              </w:rPr>
              <w:t>Support talent attraction and retention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60" w:type="dxa"/>
            <w:vAlign w:val="bottom"/>
            <w:gridSpan w:val="2"/>
          </w:tcPr>
          <w:p>
            <w:pPr>
              <w:ind w:left="100"/>
              <w:spacing w:after="0"/>
              <w:rPr>
                <w:sz w:val="20"/>
                <w:szCs w:val="20"/>
                <w:color w:val="auto"/>
              </w:rPr>
            </w:pPr>
            <w:r>
              <w:rPr>
                <w:rFonts w:ascii="Arial" w:cs="Arial" w:eastAsia="Arial" w:hAnsi="Arial"/>
                <w:sz w:val="14"/>
                <w:szCs w:val="14"/>
                <w:color w:val="auto"/>
              </w:rPr>
              <w:t>benefits</w:t>
            </w:r>
          </w:p>
        </w:tc>
        <w:tc>
          <w:tcPr>
            <w:tcW w:w="2880" w:type="dxa"/>
            <w:vAlign w:val="bottom"/>
            <w:gridSpan w:val="2"/>
            <w:vMerge w:val="restart"/>
          </w:tcPr>
          <w:p>
            <w:pPr>
              <w:ind w:left="120"/>
              <w:spacing w:after="0"/>
              <w:rPr>
                <w:sz w:val="20"/>
                <w:szCs w:val="20"/>
                <w:color w:val="auto"/>
              </w:rPr>
            </w:pPr>
            <w:r>
              <w:rPr>
                <w:rFonts w:ascii="Arial" w:cs="Arial" w:eastAsia="Arial" w:hAnsi="Arial"/>
                <w:sz w:val="14"/>
                <w:szCs w:val="14"/>
                <w:color w:val="auto"/>
              </w:rPr>
              <w:t>Life and disability insurance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401(k) plan participation</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w w:val="94"/>
              </w:rPr>
              <w:t>Nonqualified Deferred Compensation Plan and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the Pactiv Retirement Plan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RCP has been a wholly-owned business of RGHL Group, and executive compensation has been set with this in mind. RGHL recognizes that as a result of this offering, RCP will become a stand-alone organization and has adopted programs for RCP that it feels, considering the advice from its consultants, are appropriate for a stand-alone publicly-traded company. Comparisons with the Benchmark Comparison Group (and compensation survey data where applicable) have been undertaken to recognize the increased independence of the NEOs and to adopt compensation programs that are more consistent with the public company market.</w:t>
      </w:r>
    </w:p>
    <w:p>
      <w:pPr>
        <w:spacing w:after="0" w:line="18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Because of the ability of our NEOs to directly influence our overall performance, and consistent with our philosophy of linking pay to performance, the compensation programs will allocate a significant portion of compensation paid to our NEOs to both short-term and long-term performance-based incentive programs. In addition, as an employee’s responsibility and ability to affect our financial results of RCP increases, base salary becomes a relatively smaller component of total compensation while long-term and at-risk incentive compensation becomes a larger component of total compensation. See “—2018 Summary Compensation Table.”</w:t>
      </w:r>
    </w:p>
    <w:p>
      <w:pPr>
        <w:spacing w:after="0" w:line="1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Base salaries are set at competitive levels necessary to attract and retain top performing senior executives, including our NEOs, and are intended to compensate senior executives for their job responsibilities and level of experience. RGHL has set a total compensation goal at approximately the 50</w:t>
      </w:r>
      <w:r>
        <w:rPr>
          <w:rFonts w:ascii="Arial" w:cs="Arial" w:eastAsia="Arial" w:hAnsi="Arial"/>
          <w:sz w:val="13"/>
          <w:szCs w:val="13"/>
          <w:color w:val="auto"/>
        </w:rPr>
        <w:t>th</w:t>
      </w:r>
      <w:r>
        <w:rPr>
          <w:rFonts w:ascii="Arial" w:cs="Arial" w:eastAsia="Arial" w:hAnsi="Arial"/>
          <w:sz w:val="16"/>
          <w:szCs w:val="16"/>
          <w:color w:val="auto"/>
        </w:rPr>
        <w:t xml:space="preserve"> percentile of the Benchmark Comparison Group (and, for our Business Unit Presidents, the overall general industry), adjusted to reflect each executive’s individual performance and contributions. Additionally, going forward the Compensation, Nominating and Corporate Governance Committee will attempt to set each of the elements of total compensation at or around the 50</w:t>
      </w:r>
      <w:r>
        <w:rPr>
          <w:rFonts w:ascii="Arial" w:cs="Arial" w:eastAsia="Arial" w:hAnsi="Arial"/>
          <w:sz w:val="13"/>
          <w:szCs w:val="13"/>
          <w:color w:val="auto"/>
        </w:rPr>
        <w:t>th</w:t>
      </w:r>
      <w:r>
        <w:rPr>
          <w:rFonts w:ascii="Arial" w:cs="Arial" w:eastAsia="Arial" w:hAnsi="Arial"/>
          <w:sz w:val="16"/>
          <w:szCs w:val="16"/>
          <w:color w:val="auto"/>
        </w:rPr>
        <w:t xml:space="preserve"> percentile of the Benchmark Comparison Group. However, as there were certain elements of compensation not available to RCP when it was wholly-owned by RGHL, such as equity-based compensation, the Compensation, Nominating and Corporate Governance Committee recognizes that it will take time before all of the individual elements of total compensation can reach the 50</w:t>
      </w:r>
      <w:r>
        <w:rPr>
          <w:rFonts w:ascii="Arial" w:cs="Arial" w:eastAsia="Arial" w:hAnsi="Arial"/>
          <w:sz w:val="13"/>
          <w:szCs w:val="13"/>
          <w:color w:val="auto"/>
        </w:rPr>
        <w:t>th</w:t>
      </w:r>
      <w:r>
        <w:rPr>
          <w:rFonts w:ascii="Arial" w:cs="Arial" w:eastAsia="Arial" w:hAnsi="Arial"/>
          <w:sz w:val="16"/>
          <w:szCs w:val="16"/>
          <w:color w:val="auto"/>
        </w:rPr>
        <w:t xml:space="preserve"> percentile goal. In certain cases, including when an executive is recruited from another company or where it is otherwise appropriate to retain or incentivize an executive, the base salary may exceed the levels indicated in order to attract, and ultimately retain, the executive.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Annual Incentive Compensation</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2018 annual incentive program (“2018 AIP”) provided an opportunity for our senior executives, including our NEOs, to earn an annual incentive, paid in cash, based on the achievement of certain financial targets and strategic priorities.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discloses the annual incentive targets for each NEO under the 2018 AIP.</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Incentive Target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shd w:val="clear" w:color="auto" w:fill="000000"/>
          </w:tcPr>
          <w:p>
            <w:pPr>
              <w:spacing w:after="0" w:line="20" w:lineRule="exact"/>
              <w:rPr>
                <w:sz w:val="1"/>
                <w:szCs w:val="1"/>
                <w:color w:val="auto"/>
              </w:rPr>
            </w:pPr>
          </w:p>
        </w:tc>
        <w:tc>
          <w:tcPr>
            <w:tcW w:w="14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14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Michael Graham</w:t>
            </w:r>
          </w:p>
        </w:tc>
        <w:tc>
          <w:tcPr>
            <w:tcW w:w="296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Bryla</w:t>
            </w:r>
          </w:p>
        </w:tc>
        <w:tc>
          <w:tcPr>
            <w:tcW w:w="29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Stephan Pace</w:t>
            </w:r>
          </w:p>
        </w:tc>
        <w:tc>
          <w:tcPr>
            <w:tcW w:w="2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Craig Cappel</w:t>
            </w:r>
          </w:p>
        </w:tc>
        <w:tc>
          <w:tcPr>
            <w:tcW w:w="296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AIP Design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2018 AIP was designed to motivate our senior executives to achieve annual financial and other business goals based on our strategic, financial, and operating performance objectives. For our senior executives, including our NEOs, 90% of the payout under the 2018 AIP was determined by Adjusted EBITDA year over year growth (“Adjusted EBITDA Growth”). The remaining 10% was measured by working capital achievements. Based on the combined Adjusted EBITDA Growth and working capital results, a participant could earn up to 200% of the target value. Additionally, an individual’s calculated payout amount could be increased or decreased at management’s discretion to take into account their performance and contribution to RCP.</w:t>
      </w:r>
    </w:p>
    <w:p>
      <w:pPr>
        <w:spacing w:after="0" w:line="193"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Adjusted EBITDA Growth component was calculated on a scale where the threshold payout was 50% of the incentive target upon achievement of 95% Adjusted EBITDA Growth. The percentage payout increases on a non-linear scale with award payouts capped at 200% of target upon achievement of 108% Adjusted EBITDA Growth. The working capital achievements component was based on the achievement of discrete projects.</w:t>
      </w:r>
    </w:p>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Based on Adjusted EBITDA Growth and achievement of working capital targets in 2018, the calculated payment was 89.6% of target, based on the following factors: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 EBITDA</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 EBITDA</w:t>
            </w:r>
          </w:p>
        </w:tc>
        <w:tc>
          <w:tcPr>
            <w:tcW w:w="2220" w:type="dxa"/>
            <w:vAlign w:val="bottom"/>
            <w:gridSpan w:val="3"/>
          </w:tcPr>
          <w:p>
            <w:pPr>
              <w:jc w:val="center"/>
              <w:ind w:left="62"/>
              <w:spacing w:after="0"/>
              <w:rPr>
                <w:sz w:val="20"/>
                <w:szCs w:val="20"/>
                <w:color w:val="auto"/>
              </w:rPr>
            </w:pPr>
            <w:r>
              <w:rPr>
                <w:rFonts w:ascii="Arial" w:cs="Arial" w:eastAsia="Arial" w:hAnsi="Arial"/>
                <w:sz w:val="14"/>
                <w:szCs w:val="14"/>
                <w:b w:val="1"/>
                <w:bCs w:val="1"/>
                <w:color w:val="auto"/>
                <w:w w:val="93"/>
              </w:rPr>
              <w:t>Payout Attainment</w:t>
            </w: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Weight</w:t>
            </w: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Final Payout</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Actual ($m)</w:t>
            </w: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Actual ($m)</w:t>
            </w:r>
          </w:p>
        </w:tc>
        <w:tc>
          <w:tcPr>
            <w:tcW w:w="17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EBITDA Growth</w:t>
            </w:r>
          </w:p>
        </w:tc>
        <w:tc>
          <w:tcPr>
            <w:tcW w:w="54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60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30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Working Capital</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75.0%</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gridSpan w:val="2"/>
          </w:tcPr>
          <w:p>
            <w:pPr>
              <w:jc w:val="right"/>
              <w:ind w:right="459"/>
              <w:spacing w:after="0"/>
              <w:rPr>
                <w:sz w:val="20"/>
                <w:szCs w:val="20"/>
                <w:color w:val="auto"/>
              </w:rPr>
            </w:pPr>
            <w:r>
              <w:rPr>
                <w:rFonts w:ascii="Arial" w:cs="Arial" w:eastAsia="Arial" w:hAnsi="Arial"/>
                <w:sz w:val="18"/>
                <w:szCs w:val="18"/>
                <w:color w:val="auto"/>
              </w:rPr>
              <w:t>115</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actual payments made in respect of the year ended December 31, 2018 for the NEOs are disclosed below. Where an adjustment was made to the calculated result, the percentage adjustment is also included.</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6"/>
              </w:rPr>
              <w:t>STI Target</w:t>
            </w:r>
          </w:p>
        </w:tc>
        <w:tc>
          <w:tcPr>
            <w:tcW w:w="240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w w:val="92"/>
              </w:rPr>
              <w:t>Payment From Annual</w:t>
            </w:r>
          </w:p>
        </w:tc>
        <w:tc>
          <w:tcPr>
            <w:tcW w:w="1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Variation From Calculated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240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vMerge w:val="restart"/>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2"/>
                <w:szCs w:val="12"/>
                <w:color w:val="auto"/>
              </w:rPr>
            </w:pPr>
          </w:p>
        </w:tc>
        <w:tc>
          <w:tcPr>
            <w:tcW w:w="240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Incentive Plan</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9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1,545,600</w:t>
            </w:r>
          </w:p>
        </w:tc>
        <w:tc>
          <w:tcPr>
            <w:tcW w:w="1000" w:type="dxa"/>
            <w:vAlign w:val="bottom"/>
            <w:shd w:val="clear" w:color="auto" w:fill="CCEEFF"/>
          </w:tcPr>
          <w:p>
            <w:pPr>
              <w:spacing w:after="0"/>
              <w:rPr>
                <w:sz w:val="18"/>
                <w:szCs w:val="18"/>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820" w:type="dxa"/>
            <w:vAlign w:val="bottom"/>
            <w:gridSpan w:val="2"/>
          </w:tcPr>
          <w:p>
            <w:pPr>
              <w:jc w:val="right"/>
              <w:ind w:right="980"/>
              <w:spacing w:after="0"/>
              <w:rPr>
                <w:sz w:val="20"/>
                <w:szCs w:val="20"/>
                <w:color w:val="auto"/>
              </w:rPr>
            </w:pPr>
            <w:r>
              <w:rPr>
                <w:rFonts w:ascii="Arial" w:cs="Arial" w:eastAsia="Arial" w:hAnsi="Arial"/>
                <w:sz w:val="18"/>
                <w:szCs w:val="18"/>
                <w:color w:val="auto"/>
              </w:rPr>
              <w:t>60%</w:t>
            </w:r>
          </w:p>
        </w:tc>
        <w:tc>
          <w:tcPr>
            <w:tcW w:w="2400" w:type="dxa"/>
            <w:vAlign w:val="bottom"/>
            <w:gridSpan w:val="2"/>
          </w:tcPr>
          <w:p>
            <w:pPr>
              <w:jc w:val="right"/>
              <w:ind w:right="980"/>
              <w:spacing w:after="0"/>
              <w:rPr>
                <w:sz w:val="20"/>
                <w:szCs w:val="20"/>
                <w:color w:val="auto"/>
              </w:rPr>
            </w:pPr>
            <w:r>
              <w:rPr>
                <w:rFonts w:ascii="Arial" w:cs="Arial" w:eastAsia="Arial" w:hAnsi="Arial"/>
                <w:sz w:val="18"/>
                <w:szCs w:val="18"/>
                <w:color w:val="auto"/>
              </w:rPr>
              <w:t>512,482</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60%</w:t>
            </w:r>
          </w:p>
        </w:tc>
        <w:tc>
          <w:tcPr>
            <w:tcW w:w="24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322,945</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1820" w:type="dxa"/>
            <w:vAlign w:val="bottom"/>
            <w:gridSpan w:val="2"/>
          </w:tcPr>
          <w:p>
            <w:pPr>
              <w:jc w:val="right"/>
              <w:ind w:right="980"/>
              <w:spacing w:after="0"/>
              <w:rPr>
                <w:sz w:val="20"/>
                <w:szCs w:val="20"/>
                <w:color w:val="auto"/>
              </w:rPr>
            </w:pPr>
            <w:r>
              <w:rPr>
                <w:rFonts w:ascii="Arial" w:cs="Arial" w:eastAsia="Arial" w:hAnsi="Arial"/>
                <w:sz w:val="18"/>
                <w:szCs w:val="18"/>
                <w:color w:val="auto"/>
              </w:rPr>
              <w:t>60%</w:t>
            </w:r>
          </w:p>
        </w:tc>
        <w:tc>
          <w:tcPr>
            <w:tcW w:w="2400" w:type="dxa"/>
            <w:vAlign w:val="bottom"/>
            <w:gridSpan w:val="2"/>
          </w:tcPr>
          <w:p>
            <w:pPr>
              <w:jc w:val="right"/>
              <w:ind w:right="980"/>
              <w:spacing w:after="0"/>
              <w:rPr>
                <w:sz w:val="20"/>
                <w:szCs w:val="20"/>
                <w:color w:val="auto"/>
              </w:rPr>
            </w:pPr>
            <w:r>
              <w:rPr>
                <w:rFonts w:ascii="Arial" w:cs="Arial" w:eastAsia="Arial" w:hAnsi="Arial"/>
                <w:sz w:val="18"/>
                <w:szCs w:val="18"/>
                <w:color w:val="auto"/>
              </w:rPr>
              <w:t>288,865</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50%</w:t>
            </w:r>
          </w:p>
        </w:tc>
        <w:tc>
          <w:tcPr>
            <w:tcW w:w="24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203,595</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Long-Term Incentive Compensation</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 small number of key executives, including the NEOs, participate in a cash-based long-term incentive program (“RGHL LTIP”). Pursuant to the RGHL LTIP, participants receive a grant at the beginning of a three-year performance period that can be earned over such period in annual instalments based upon the attainment of certain Adjusted EBITDA Growth metrics set at the beginning of the period. Each grant will provide for a “Target Opportunity Award” (based on a percentage of base salary) that can be achieved over the three-year period. The performance results achieved in the first year of the three-year period will establish the total amount of the award (which is expressed as a percentage of the Target Opportunity Award) that can be payable over the specified three-year period. If the business does not meet the performance threshold level in the first year, the participant is no longer eligible to earn any amount over the three-year period. If the business meets the threshold in the first year, the participant will receive the first payment, but the second and third payments may be withheld depending on business results in the second and third years.</w:t>
      </w:r>
    </w:p>
    <w:p>
      <w:pPr>
        <w:spacing w:after="0" w:line="166"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2018 grant was based on Adjusted EBITDA Growth and potential payouts ranged from an award of 25% of the target value for 95% Adjusted EBITDA Growth up to 125% of the target value for 108% Adjusted EBITDA Growth. The actual result of 99.24% Adjusted EBITDA Growth translated to a payout equal to 71.64% of the target value. The first of three instalments with respect to the 2018 grant was paid in early 2019. See the “—2018 Summary Compensation Table” section below for the amounts earned in 2018 under grants made in 2016, 2017 and 2018 under the RGHL LTIP.</w:t>
      </w:r>
    </w:p>
    <w:p>
      <w:pPr>
        <w:spacing w:after="0" w:line="15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below table sets forth the potential payments remaining under the 2017, 2018 and 2019 grants for amounts that could be earned in fiscal year 2019, 2020 and 2021.</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2018 Grant</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2018 Grant</w:t>
            </w:r>
          </w:p>
        </w:tc>
        <w:tc>
          <w:tcPr>
            <w:tcW w:w="70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70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2017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2019 Grant</w:t>
            </w: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2018 Grant</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Calculated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Calculated</w:t>
            </w: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Award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2</w:t>
            </w:r>
            <w:r>
              <w:rPr>
                <w:rFonts w:ascii="Arial" w:cs="Arial" w:eastAsia="Arial" w:hAnsi="Arial"/>
                <w:sz w:val="12"/>
                <w:szCs w:val="12"/>
                <w:b w:val="1"/>
                <w:bCs w:val="1"/>
                <w:color w:val="auto"/>
                <w:w w:val="97"/>
              </w:rPr>
              <w:t>nd</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Grant 3</w:t>
            </w:r>
            <w:r>
              <w:rPr>
                <w:rFonts w:ascii="Arial" w:cs="Arial" w:eastAsia="Arial" w:hAnsi="Arial"/>
                <w:sz w:val="12"/>
                <w:szCs w:val="12"/>
                <w:b w:val="1"/>
                <w:bCs w:val="1"/>
                <w:color w:val="auto"/>
                <w:w w:val="98"/>
              </w:rPr>
              <w:t>rd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3</w:t>
            </w:r>
            <w:r>
              <w:rPr>
                <w:rFonts w:ascii="Arial" w:cs="Arial" w:eastAsia="Arial" w:hAnsi="Arial"/>
                <w:sz w:val="12"/>
                <w:szCs w:val="12"/>
                <w:b w:val="1"/>
                <w:bCs w:val="1"/>
                <w:color w:val="auto"/>
                <w:w w:val="90"/>
              </w:rPr>
              <w:t>rd</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Target Value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Target Value</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Instalment</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Instalment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Instalment</w:t>
            </w:r>
          </w:p>
        </w:tc>
        <w:tc>
          <w:tcPr>
            <w:tcW w:w="0" w:type="dxa"/>
            <w:vAlign w:val="bottom"/>
          </w:tcPr>
          <w:p>
            <w:pPr>
              <w:spacing w:after="0"/>
              <w:rPr>
                <w:sz w:val="1"/>
                <w:szCs w:val="1"/>
                <w:color w:val="auto"/>
              </w:rPr>
            </w:pPr>
          </w:p>
        </w:tc>
      </w:tr>
      <w:tr>
        <w:trPr>
          <w:trHeight w:val="171"/>
        </w:trPr>
        <w:tc>
          <w:tcPr>
            <w:tcW w:w="3960" w:type="dxa"/>
            <w:vAlign w:val="bottom"/>
            <w:gridSpan w:val="3"/>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20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1,550,000</w:t>
            </w:r>
          </w:p>
        </w:tc>
        <w:tc>
          <w:tcPr>
            <w:tcW w:w="2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1,400,000</w:t>
            </w:r>
          </w:p>
        </w:tc>
        <w:tc>
          <w:tcPr>
            <w:tcW w:w="26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1,002,960</w:t>
            </w:r>
          </w:p>
        </w:tc>
        <w:tc>
          <w:tcPr>
            <w:tcW w:w="2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334,320</w:t>
            </w:r>
          </w:p>
        </w:tc>
        <w:tc>
          <w:tcPr>
            <w:tcW w:w="2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334,320</w:t>
            </w:r>
          </w:p>
        </w:tc>
        <w:tc>
          <w:tcPr>
            <w:tcW w:w="2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800" w:type="dxa"/>
            <w:vAlign w:val="bottom"/>
          </w:tcPr>
          <w:p>
            <w:pPr>
              <w:jc w:val="right"/>
              <w:spacing w:after="0"/>
              <w:rPr>
                <w:sz w:val="20"/>
                <w:szCs w:val="20"/>
                <w:color w:val="auto"/>
              </w:rPr>
            </w:pPr>
            <w:r>
              <w:rPr>
                <w:rFonts w:ascii="Arial" w:cs="Arial" w:eastAsia="Arial" w:hAnsi="Arial"/>
                <w:sz w:val="18"/>
                <w:szCs w:val="18"/>
                <w:color w:val="auto"/>
              </w:rPr>
              <w:t>581,590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564,650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tcPr>
          <w:p>
            <w:pPr>
              <w:jc w:val="right"/>
              <w:spacing w:after="0"/>
              <w:rPr>
                <w:sz w:val="20"/>
                <w:szCs w:val="20"/>
                <w:color w:val="auto"/>
              </w:rPr>
            </w:pPr>
            <w:r>
              <w:rPr>
                <w:rFonts w:ascii="Arial" w:cs="Arial" w:eastAsia="Arial" w:hAnsi="Arial"/>
                <w:sz w:val="18"/>
                <w:szCs w:val="18"/>
                <w:color w:val="auto"/>
              </w:rPr>
              <w:t>404,515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134,838</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134,839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367,943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84,486</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800" w:type="dxa"/>
            <w:vAlign w:val="bottom"/>
          </w:tcPr>
          <w:p>
            <w:pPr>
              <w:jc w:val="right"/>
              <w:spacing w:after="0"/>
              <w:rPr>
                <w:sz w:val="20"/>
                <w:szCs w:val="20"/>
                <w:color w:val="auto"/>
              </w:rPr>
            </w:pPr>
            <w:r>
              <w:rPr>
                <w:rFonts w:ascii="Arial" w:cs="Arial" w:eastAsia="Arial" w:hAnsi="Arial"/>
                <w:sz w:val="18"/>
                <w:szCs w:val="18"/>
                <w:color w:val="auto"/>
              </w:rPr>
              <w:t>327,818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318,270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tcPr>
          <w:p>
            <w:pPr>
              <w:jc w:val="right"/>
              <w:spacing w:after="0"/>
              <w:rPr>
                <w:sz w:val="20"/>
                <w:szCs w:val="20"/>
                <w:color w:val="auto"/>
              </w:rPr>
            </w:pPr>
            <w:r>
              <w:rPr>
                <w:rFonts w:ascii="Arial" w:cs="Arial" w:eastAsia="Arial" w:hAnsi="Arial"/>
                <w:sz w:val="18"/>
                <w:szCs w:val="18"/>
                <w:color w:val="auto"/>
              </w:rPr>
              <w:t>228,009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76,003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76,003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206,179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will not issue any new grants under the RGHL LTIP after this offering. A participant is not eligible to receive any award if they are not employed by RCP at the time the award is paid.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Compensation—Retirement and Welfare Benefits</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specific contribution levels to these programs are adjusted annually to maintain a competitive position while considering costs.</w:t>
      </w:r>
    </w:p>
    <w:p>
      <w:pPr>
        <w:spacing w:after="0" w:line="131" w:lineRule="exact"/>
        <w:rPr>
          <w:sz w:val="20"/>
          <w:szCs w:val="20"/>
          <w:color w:val="auto"/>
        </w:rPr>
      </w:pPr>
    </w:p>
    <w:p>
      <w:pPr>
        <w:ind w:left="1180" w:right="260" w:hanging="436"/>
        <w:spacing w:after="0" w:line="264"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 Savings Plan. All non-union employees in the United States, including our NEOs, are eligible to participate in a tax-qualified retirement savings plan under Section 401(k) of the Code. RGHL makes a 2% non-elective contribution and matching contributions of 100% of the first 6% of an employee’s elective deferral contribution.</w:t>
      </w:r>
    </w:p>
    <w:p>
      <w:pPr>
        <w:spacing w:after="0" w:line="86"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Pactiv Retirement Plan. Certain employees, including Mr. Bryla, Mr. Pace and Mr. Cappel, have frozen benefits under the Pactiv Retirement Plan, a defined benefit pension plan maintained by Pactiv.</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Welfare Plans. Our executives are also eligible to participate in our broad-based health and welfare plans (including medical, dental, vision, life insurance and disability plans) upon the same terms and conditions as other employees.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Benefits and Perquisites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RCP employees who are at a designated salary grade or above may defer a portion of their salary and bonus each year into the Reynolds Services Inc. Nonqualified Deferred Compensation Plan, which is a tax deferred plan. RCP also makes contributions to this plan mirroring percentage contributions made to the 401(k) plan. This program is intended to promote retention by providing a long-term savings opportunity on a tax-efficient basis. In conjunction with this offering, an identical plan will be created for eligible RCP employees. The amounts deferred are unsecured obligations of RCP, receive no preferential standing, and are subject to the same risks as any of RCP’s other unsecured obligations.</w:t>
      </w:r>
    </w:p>
    <w:p>
      <w:pPr>
        <w:spacing w:after="0" w:line="173"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RGHL provides the NEOs with limited perquisites and other personal benefits, including reimbursement of relocation costs. Additionally, RCP purchases tickets to various cultural, charitable, civic, entertainment and sporting events for business development and relationship building purposes, and to maintain its involvement in communities in which RCP operates and its employees live. Occasionally, its employees, including its NEOs, make personal use of tickets that would not otherwise be used for business purposes. Following this offering, the Compensation, Nominating and Corporate Governance Committee will periodically review the levels of perquisites and other personal benefits provided to our NEOs. The Compensation, Nominating and Corporate Governance Committee intends to maintain only those perquisites and other benefits that it determines to be necessary components of total compensation and that are not inconsistent with stockholder interests.</w:t>
      </w:r>
    </w:p>
    <w:p>
      <w:pPr>
        <w:spacing w:after="0" w:line="17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Attributed costs of the personal benefits described above for our NEOs for the fiscal year ended December 31, 2018 are included in the column entitled “All Other Compensation” of the 2018 Summary Compensation Table.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Programs Following this Offering</w:t>
      </w:r>
    </w:p>
    <w:p>
      <w:pPr>
        <w:spacing w:after="0" w:line="12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RGHL has established STI and LTI programs for RCP for fiscal year 2020. The STI program will allow participants, including the NEOs, to earn cash awards (determined as a percentage of the participant’s base salary) based on RCP’s attainment of Adjusted EBITDA (90%) and working capital (10%) goals in fiscal year 2020. The targets and threshold levels for these performance metrics will be set by the Compensation, Nominating and</w:t>
      </w:r>
    </w:p>
    <w:p>
      <w:pPr>
        <w:ind w:left="200"/>
        <w:spacing w:after="0"/>
        <w:tabs>
          <w:tab w:leader="none" w:pos="4100" w:val="left"/>
          <w:tab w:leader="none" w:pos="5640" w:val="left"/>
        </w:tabs>
        <w:rPr>
          <w:sz w:val="20"/>
          <w:szCs w:val="20"/>
          <w:color w:val="auto"/>
        </w:rPr>
      </w:pPr>
      <w:r>
        <w:rPr>
          <w:rFonts w:ascii="Arial" w:cs="Arial" w:eastAsia="Arial" w:hAnsi="Arial"/>
          <w:sz w:val="18"/>
          <w:szCs w:val="18"/>
          <w:color w:val="auto"/>
        </w:rPr>
        <w:t>Corporate Governance Committee in the</w:t>
      </w:r>
      <w:r>
        <w:rPr>
          <w:sz w:val="20"/>
          <w:szCs w:val="20"/>
          <w:color w:val="auto"/>
        </w:rPr>
        <w:tab/>
      </w:r>
      <w:r>
        <w:rPr>
          <w:rFonts w:ascii="Arial" w:cs="Arial" w:eastAsia="Arial" w:hAnsi="Arial"/>
          <w:sz w:val="18"/>
          <w:szCs w:val="18"/>
          <w:color w:val="auto"/>
        </w:rPr>
        <w:t>fiscal quarter of 20</w:t>
        <w:tab/>
        <w:t>.</w:t>
      </w:r>
    </w:p>
    <w:p>
      <w:pPr>
        <w:spacing w:after="0" w:line="211" w:lineRule="exact"/>
        <w:rPr>
          <w:sz w:val="20"/>
          <w:szCs w:val="20"/>
          <w:color w:val="auto"/>
        </w:rPr>
      </w:pPr>
    </w:p>
    <w:p>
      <w:pPr>
        <w:ind w:left="200" w:right="200" w:firstLine="441"/>
        <w:spacing w:after="0" w:line="284" w:lineRule="auto"/>
        <w:rPr>
          <w:sz w:val="20"/>
          <w:szCs w:val="20"/>
          <w:color w:val="auto"/>
        </w:rPr>
      </w:pPr>
      <w:r>
        <w:rPr>
          <w:rFonts w:ascii="Arial" w:cs="Arial" w:eastAsia="Arial" w:hAnsi="Arial"/>
          <w:sz w:val="16"/>
          <w:szCs w:val="16"/>
          <w:color w:val="auto"/>
        </w:rPr>
        <w:t>We believe that a significant portion of each senior executive’s compensation should be dependent on long-term value created for our stockholders. In conjunction with this offering, RGHL implemented an LTI program, which is designed to align the awards for the senior executives with the results achieved for stockholders. The LTI program for 2020 consists of restricted stock awards and performance share awards. The restricted stock will generally vest over a three-year period, with 1/3 vesting each year. The performance shares will be earned at the end of a three-year period based on the attainment of specified performance metrics, which include earnings per share and Adjusted EBITDA, over the three-year period. The target and threshold levels for these performance metrics will be set by the Compensation, Nominating and Corporate Governance Committee in the</w:t>
      </w:r>
    </w:p>
    <w:p>
      <w:pPr>
        <w:spacing w:after="0" w:line="5"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18"/>
          <w:szCs w:val="18"/>
          <w:color w:val="auto"/>
        </w:rPr>
        <w:t>fiscal quarter of 20</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RCP has adopted the Reynolds Consumer Products Inc. Equity Incentive Plan (the “Incentive Plan”), which will be effective in connection with this offering. The purpose of the Incentive Plan is to motivate and reward our employees, directors, consultants and advisors to perform at the highest level and to further our best interests and those of our shareholders.</w:t>
      </w:r>
    </w:p>
    <w:p>
      <w:pPr>
        <w:spacing w:after="0" w:line="181"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Subject to adjustment, the Incentive Plan permits us to make awards of up to 5% of our common stock issued and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this offering (assuming the underwriters’ option to purchase additional shares is exercised in full). Additionally, the number of shares of our common stock reserved for issuance under the Incentive Plan may increase automatically on the first day of each fiscal year following the effective date of the Incentive Plan by an amount equal to the lesser of (i) 1% of outstanding shares on December 31 of the immediately preceding fiscal year or (ii) such number of shares as determined by our board of directors in its discretion. If any award issued under the Incentive Plan is canceled, forfeited, or otherwise terminates or expires unexercised, such shares may again be issued under the Incentive Plan. In the event that an adjustment is necessary in order to prevent dilution or enlargement of the benefits or potential benefits intended to be made available under the Incentive Plan, as a result of any dividend (other than ordinary cash 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our Compensation, Nominating and Corporate Governance Committee shall, subject to compliance with Sections 409A and 457A of the Code, adjust equitably any or all of (i) the number and type of shares (or other securities) which thereafter may be made the subject of awards, (ii) the number and type of shares (or other securities) subject to outstanding awards, (iii) the grant, acquisition or exercise price of awards or, if deemed appropriate, make provision for a cash payment to the holder of an outstanding award or (iv) the terms and conditions of any outstanding awards, including the performance criteria of any performance awards.</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Compensation, Nominating and Corporate Governance Committee will administer the Incentive Plan and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items:</w:t>
      </w:r>
    </w:p>
    <w:p>
      <w:pPr>
        <w:spacing w:after="0" w:line="76"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select the participants to whom awards may be granted;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under the Incentive Plan;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the number of shares to be covered by awards;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the terms and conditions of any award and prescribe the form of award agreement;</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or exercised in cash, shares, other awards, other property, net settlement, or any combination thereof, or canceled, forfeited or suspended, and the method or methods by which awards may be settled, exercised, canceled, forfeited or suspended;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amounts payable with respect to an award shall be deferred;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or modify outstanding awards or award agreements;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correct any defect, supply any omission and reconcile any inconsistency in the Incentive Plan or any award, in the manner and to the extent it will deem desirable to carry the Incentive Plan into effect;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interpret and administer the terms of the Incentive Plan, any award agreement and any agreement related to any award;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it deems necessary or desirable to administer the Incentive Plan.</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To the extent not inconsistent with applicable law, our Compensation, Nominating and Corporate Governance Committee may delegate to one or more of our officers some or all of the authority under the Incentive Plan, including the authority to grant all types of awards authorized under the Incentive Plan.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all employees, directors, consultants or other advisors of RCP or any of our affiliates will be eligible to receive awards.</w:t>
      </w:r>
    </w:p>
    <w:p>
      <w:pPr>
        <w:spacing w:after="0" w:line="23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Forms of Awards</w:t>
      </w:r>
      <w:r>
        <w:rPr>
          <w:rFonts w:ascii="Arial" w:cs="Arial" w:eastAsia="Arial" w:hAnsi="Arial"/>
          <w:sz w:val="18"/>
          <w:szCs w:val="18"/>
          <w:color w:val="auto"/>
        </w:rPr>
        <w:t>. Awards under the Incentive Plan may include one or more of the following types: (i) stock options, (ii) share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(“SAR”), (iii) restricted stock awards, (iv) restricted stock unit (“RSU”) awards, (v) performance awards, (vi) other cash-based awards and (vii) other stock-based awards.</w:t>
      </w:r>
    </w:p>
    <w:p>
      <w:pPr>
        <w:spacing w:after="0" w:line="87" w:lineRule="exact"/>
        <w:rPr>
          <w:sz w:val="20"/>
          <w:szCs w:val="20"/>
          <w:color w:val="auto"/>
        </w:rPr>
      </w:pPr>
    </w:p>
    <w:p>
      <w:pPr>
        <w:ind w:left="1180" w:hanging="436"/>
        <w:spacing w:after="0" w:line="259"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Options are rights to purchase a specified number of shares of our common stock at a price fixed by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 but not less than the fair market value on the date of grant. Options generally expire no later than ten years after the date of grant. Options will become exercisable at such time and in such installments as our Compensation, Nominating and Corporate Governance Committee will determine.</w:t>
      </w:r>
    </w:p>
    <w:p>
      <w:pPr>
        <w:spacing w:after="0" w:line="92" w:lineRule="exact"/>
        <w:rPr>
          <w:rFonts w:ascii="Arial" w:cs="Arial" w:eastAsia="Arial" w:hAnsi="Arial"/>
          <w:sz w:val="18"/>
          <w:szCs w:val="18"/>
          <w:color w:val="auto"/>
        </w:rPr>
      </w:pPr>
    </w:p>
    <w:p>
      <w:pPr>
        <w:ind w:left="1180" w:right="240" w:hanging="436"/>
        <w:spacing w:after="0" w:line="25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An SAR entitles the holder to receive, upon exercise, an amount equal to any positive difference between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one share of our common stock on the date an SAR is exercised and the exercise price, multiplied by the number of shares of common stock with respect to which an SAR is exercised. Our Compensation, Nominating and Corporate Governance Committee will have the authority to determine whether the amount to be paid upon exercise of an SAR will be paid in cash, common stock or a combination of cash and common stock.</w:t>
      </w:r>
    </w:p>
    <w:p>
      <w:pPr>
        <w:spacing w:after="0" w:line="93" w:lineRule="exact"/>
        <w:rPr>
          <w:rFonts w:ascii="Arial" w:cs="Arial" w:eastAsia="Arial" w:hAnsi="Arial"/>
          <w:sz w:val="18"/>
          <w:szCs w:val="18"/>
          <w:color w:val="auto"/>
        </w:rPr>
      </w:pPr>
    </w:p>
    <w:p>
      <w:pPr>
        <w:ind w:left="1180" w:right="20" w:hanging="436"/>
        <w:spacing w:after="0" w:line="291" w:lineRule="auto"/>
        <w:tabs>
          <w:tab w:leader="none" w:pos="11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awards provide for a specified number of shares of our common stock subject to a restriction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during a period of time or until performance measures are satisfied, as established by our Compensation, Nominating and Corporate Governance Committee. Unless otherwise set forth in the agreement relating to a restricted stock award, the holder has all rights of a shareholder, including voting rights, the right to receive dividends and the right to participate in any capital adjustment applicable to all holders of common stock; provided, however, that our Compensation, Nominating and Corporate Governance Committee may determine that distributions with respect to shares of common stock will be reinvested in additional shares of common stock and will be subject to the same restrictions as the shares of common stock with respect to which such distribution was made.</w:t>
      </w:r>
    </w:p>
    <w:p>
      <w:pPr>
        <w:spacing w:after="0" w:line="72" w:lineRule="exact"/>
        <w:rPr>
          <w:rFonts w:ascii="Arial" w:cs="Arial" w:eastAsia="Arial" w:hAnsi="Arial"/>
          <w:sz w:val="16"/>
          <w:szCs w:val="16"/>
          <w:color w:val="auto"/>
        </w:rPr>
      </w:pPr>
    </w:p>
    <w:p>
      <w:pPr>
        <w:ind w:left="1180" w:hanging="436"/>
        <w:spacing w:after="0" w:line="291" w:lineRule="auto"/>
        <w:tabs>
          <w:tab w:leader="none" w:pos="11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An RSU award is a right to receive a specified number of shares of our common stock (or the fair market value thereof in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any combination of our common stock and cash, as determined by our Compensation, Nominating and Corporate Governance Committee), subject to the expiration of a specified restriction period and/or the achievement of any performance measures selected by our Compensation, Nominating and Corporate Governance Committee, consistent with the terms of the Incentive Plan. The RSU award agreement will specify whether the award recipient is entitled to receive dividend equivalents with respect to the number of shares of our common stock subject to the award. Prior to the settlement of an RSU award in our common stock, the award recipient will have no rights as a shareholder of our Company with respect to our common stock subject to the award.</w:t>
      </w:r>
    </w:p>
    <w:p>
      <w:pPr>
        <w:spacing w:after="0" w:line="72" w:lineRule="exact"/>
        <w:rPr>
          <w:rFonts w:ascii="Arial" w:cs="Arial" w:eastAsia="Arial" w:hAnsi="Arial"/>
          <w:sz w:val="16"/>
          <w:szCs w:val="16"/>
          <w:color w:val="auto"/>
        </w:rPr>
      </w:pPr>
    </w:p>
    <w:p>
      <w:pPr>
        <w:jc w:val="both"/>
        <w:ind w:left="1180" w:right="80" w:hanging="436"/>
        <w:spacing w:after="0" w:line="259"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are awards whose final value or amount, if any, is determined by the degree to which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have been achieved during a performance period set by our Compensation, Nominating and Corporate Governance Committee. Payment may be made in the form of cash, shares, other awards, or a combination thereof, as specified by our Compensation, Nominating and Corporate Governance Committee.</w:t>
      </w:r>
    </w:p>
    <w:p>
      <w:pPr>
        <w:spacing w:after="0" w:line="92" w:lineRule="exact"/>
        <w:rPr>
          <w:rFonts w:ascii="Arial" w:cs="Arial" w:eastAsia="Arial" w:hAnsi="Arial"/>
          <w:sz w:val="18"/>
          <w:szCs w:val="18"/>
          <w:color w:val="auto"/>
        </w:rPr>
      </w:pPr>
    </w:p>
    <w:p>
      <w:pPr>
        <w:ind w:left="1180" w:right="300" w:hanging="436"/>
        <w:spacing w:after="0" w:line="264"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Other Cash-Based Awards. </w:t>
      </w:r>
      <w:r>
        <w:rPr>
          <w:rFonts w:ascii="Arial" w:cs="Arial" w:eastAsia="Arial" w:hAnsi="Arial"/>
          <w:sz w:val="18"/>
          <w:szCs w:val="18"/>
          <w:color w:val="auto"/>
        </w:rPr>
        <w:t>Our Compensation, Nominating and Corporate Governance Committee is authorized, subject to limitations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applicable law, to grant such other awards that may be denominated or payable in, valued in whole or in part by reference to, or otherwise based on, or related</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to, cash on such terms and conditions as set by our Compensation, Nominating and Corporate Governance Committee.</w:t>
      </w:r>
    </w:p>
    <w:p>
      <w:pPr>
        <w:spacing w:after="0" w:line="131" w:lineRule="exact"/>
        <w:rPr>
          <w:sz w:val="20"/>
          <w:szCs w:val="20"/>
          <w:color w:val="auto"/>
        </w:rPr>
      </w:pPr>
    </w:p>
    <w:p>
      <w:pPr>
        <w:ind w:left="1180" w:right="120" w:hanging="436"/>
        <w:spacing w:after="0" w:line="264"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Other Share-Based Awards</w:t>
      </w:r>
      <w:r>
        <w:rPr>
          <w:rFonts w:ascii="Arial" w:cs="Arial" w:eastAsia="Arial" w:hAnsi="Arial"/>
          <w:sz w:val="18"/>
          <w:szCs w:val="18"/>
          <w:color w:val="auto"/>
        </w:rPr>
        <w:t>. Our Compensation, Nominating and Corporate Governance Committee is authorized, subject to limitations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applicable law, to grant other types of awards that may be denominated or payable in, valued in whole or in part by reference to, or otherwise based on, or related to, shares or factors that may influence the value of shares.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 award agreement may contain additional terms and restrictions, including vesting conditions, not inconsistent with the terms of the Incentive Plan, as our Compensation, Nominating and Corporate Governance Committee may determine.</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Except as provided in the adjustment provision of the Incentive Plan, no action will directly or indirectly, through cancellation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regrant or any other method, reduce, or have the effect of reducing, the exercise price of any option or an SAR established at the time of grant thereof without approval of our shareholders.</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i w:val="1"/>
          <w:iCs w:val="1"/>
          <w:color w:val="auto"/>
        </w:rPr>
        <w:t>Director Pay Cap</w:t>
      </w:r>
      <w:r>
        <w:rPr>
          <w:rFonts w:ascii="Arial" w:cs="Arial" w:eastAsia="Arial" w:hAnsi="Arial"/>
          <w:sz w:val="18"/>
          <w:szCs w:val="18"/>
          <w:color w:val="auto"/>
        </w:rPr>
        <w:t>. Subject to the adjustment provision of the Incentive Plan, an individual who is a non-employee director may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cash or otherwise, for any calendar year that relate to more than $750,000 in the aggregate.</w:t>
      </w:r>
    </w:p>
    <w:p>
      <w:pPr>
        <w:spacing w:after="0" w:line="17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i w:val="1"/>
          <w:iCs w:val="1"/>
          <w:color w:val="auto"/>
        </w:rPr>
        <w:t>Termination of Employment or Service and Change in Control</w:t>
      </w:r>
      <w:r>
        <w:rPr>
          <w:rFonts w:ascii="Arial" w:cs="Arial" w:eastAsia="Arial" w:hAnsi="Arial"/>
          <w:sz w:val="16"/>
          <w:szCs w:val="16"/>
          <w:color w:val="auto"/>
        </w:rPr>
        <w:t>. Our Compensation, Nominating and Corporate Governance Committee will</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effect of a termination of employment or service on outstanding awards, including whether the awards will vest, become exercisable, settle, be paid or be forfeited. In the event of a change in control, all outstanding awards shall immediately vest and settle, and, with respect to options and SAR, shall become fully exercisable, and any performance criteria to which any such award is subject will be deemed to be satisfied at target.</w:t>
      </w:r>
    </w:p>
    <w:p>
      <w:pPr>
        <w:spacing w:after="0" w:line="154"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Subject to certain restrictions, our board of directors may amend, alter, suspend, discontinue or terminate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at any time. Our Compensation, Nominating and Corporate Governance Committee may also amend the related award documents. However, subject to the adjustment and change in control provisions of the Incentive Plan, any such action that would materially adversely affect the rights of a holder of an outstanding award may not be taken without the holder’s consent, except to the extent that such action is taken to cause the Incentive Plan to comply with applicable law, stock market or exchange rules and regulations, or accounting or tax rules and regulations, or to impose any “clawback” or recoupment provisions on any outstanding awards in accordance with the Incentive Plan.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Retention Plan</w:t>
      </w:r>
    </w:p>
    <w:p>
      <w:pPr>
        <w:spacing w:after="0" w:line="12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RGHL has approved a cash and equity retention plan applicable to RCP’s NEOs and certain other key executives. The retention plan was implemented to further ensure leadership continuity, and its objectives are to retain executives through this offering and beyond. Awards under the retention plan are payable in cash and equity based on the criteria set forth below.</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 xml:space="preserve">Cash Retention Plan: </w:t>
      </w:r>
      <w:r>
        <w:rPr>
          <w:rFonts w:ascii="Arial" w:cs="Arial" w:eastAsia="Arial" w:hAnsi="Arial"/>
          <w:sz w:val="18"/>
          <w:szCs w:val="18"/>
          <w:color w:val="auto"/>
        </w:rPr>
        <w:t>The retention plan is paid in one, two or three instalments. If the executive resigns or is terminated for cause before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retention period, the executive must repay any instalments which have already been paid to him or her.</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In conjunction with this offering, RCP will issue restricted stock on the offer date to the NEOs and certain other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upon the closing of a successful offering, vesting for the restricted stock will occur over a three year period with 1/3 vesting after 12 months, 1/3 vesting after 24 months and 1/3</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vesting after 36 months. Each of these executives must be an employee of RCP or one of its affiliates on the applicable vesting date to receive these shares.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with the NEOs</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On July 8, 2019 Reynolds Consumer Products LLC entered into an amended and restated employment agreement with Mr. Mitchell and employment agreements with Messrs. Cappel and Graham, and on July 18, 2019, an employment agreement with Mr. Pace. Such employment agreements generally provide for base salary, STI compensation opportunity and LTI compensation opportunity and certain other benefits, including severance entitlements. These agreements, along with any additional agreements with our NEOs, are described under the heading “—Employment and Other Agreements” below.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and Accounting Implications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Considerations of Our Executive Compensation</w:t>
      </w:r>
    </w:p>
    <w:p>
      <w:pPr>
        <w:spacing w:after="0" w:line="12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Section 162(m) of the Code generally limits the tax deductibility of annual compensation paid by public companies for certain executive officers to $1 million. The existing regulations under Section 162(m) will provide us, as a new publicly-traded company, transition relief from the $1 million deduction limitation until our first stockholders meeting at which directors are elected in the year that is three years following the closing of this offering. However, the IRS has requested comments from interested stakeholders on the application of Section 162(m) to new publicly-traded companies in light of the Tax Cuts and Jobs Act, which was passed at the end of 2017, and which made significant changes to Section 162(m). It is possible that the IRS might narrow or eliminate the transition relief.</w:t>
      </w:r>
    </w:p>
    <w:p>
      <w:pPr>
        <w:spacing w:after="0" w:line="193" w:lineRule="exact"/>
        <w:rPr>
          <w:sz w:val="20"/>
          <w:szCs w:val="20"/>
          <w:color w:val="auto"/>
        </w:rPr>
      </w:pPr>
    </w:p>
    <w:p>
      <w:pPr>
        <w:jc w:val="both"/>
        <w:ind w:left="200" w:right="220" w:firstLine="441"/>
        <w:spacing w:after="0" w:line="302" w:lineRule="auto"/>
        <w:rPr>
          <w:sz w:val="20"/>
          <w:szCs w:val="20"/>
          <w:color w:val="auto"/>
        </w:rPr>
      </w:pPr>
      <w:r>
        <w:rPr>
          <w:rFonts w:ascii="Arial" w:cs="Arial" w:eastAsia="Arial" w:hAnsi="Arial"/>
          <w:sz w:val="16"/>
          <w:szCs w:val="16"/>
          <w:color w:val="auto"/>
        </w:rPr>
        <w:t>Following this offering, our Compensation, Nominating and Corporate Governance Committee intends to monitor regulatory developments and consider the potential effects of Section 162(m) of the Code on the deductibility of compensation paid to our executives. Although our Compensation, Nominating and Corporate Governance Committee is mindful of the benefits of tax deductibility when determining executive compensation, we may approve compensation that will not be fully-deductible in order to ensure competitive levels of total compensation for our executive officers.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for Our Stock-Based Compensation</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will account for stock-based payments, including grants under each of our equity compensation plans, in accordance with the requirements of FASB ASC Topic 718.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concerning the compensation paid to our NEOs during our fiscal year ended December 31, 2018.</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gridSpan w:val="2"/>
          </w:tcPr>
          <w:p>
            <w:pPr>
              <w:jc w:val="center"/>
              <w:ind w:left="304"/>
              <w:spacing w:after="0"/>
              <w:rPr>
                <w:sz w:val="20"/>
                <w:szCs w:val="20"/>
                <w:color w:val="auto"/>
              </w:rPr>
            </w:pPr>
            <w:r>
              <w:rPr>
                <w:rFonts w:ascii="Arial" w:cs="Arial" w:eastAsia="Arial" w:hAnsi="Arial"/>
                <w:sz w:val="14"/>
                <w:szCs w:val="14"/>
                <w:b w:val="1"/>
                <w:bCs w:val="1"/>
                <w:color w:val="auto"/>
                <w:w w:val="89"/>
              </w:rPr>
              <w:t>Changes in Pension</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and</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38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780" w:type="dxa"/>
            <w:vAlign w:val="bottom"/>
            <w:vMerge w:val="continue"/>
          </w:tcPr>
          <w:p>
            <w:pPr>
              <w:spacing w:after="0"/>
              <w:rPr>
                <w:sz w:val="12"/>
                <w:szCs w:val="12"/>
                <w:color w:val="auto"/>
              </w:rPr>
            </w:pPr>
          </w:p>
        </w:tc>
        <w:tc>
          <w:tcPr>
            <w:tcW w:w="1460" w:type="dxa"/>
            <w:vAlign w:val="bottom"/>
            <w:gridSpan w:val="2"/>
          </w:tcPr>
          <w:p>
            <w:pPr>
              <w:jc w:val="center"/>
              <w:ind w:left="275"/>
              <w:spacing w:after="0" w:line="149" w:lineRule="exact"/>
              <w:rPr>
                <w:sz w:val="20"/>
                <w:szCs w:val="20"/>
                <w:color w:val="auto"/>
              </w:rPr>
            </w:pPr>
            <w:r>
              <w:rPr>
                <w:rFonts w:ascii="Arial" w:cs="Arial" w:eastAsia="Arial" w:hAnsi="Arial"/>
                <w:sz w:val="14"/>
                <w:szCs w:val="14"/>
                <w:b w:val="1"/>
                <w:bCs w:val="1"/>
                <w:color w:val="auto"/>
                <w:w w:val="92"/>
              </w:rPr>
              <w:t>Compensation (1)</w:t>
            </w:r>
          </w:p>
        </w:tc>
        <w:tc>
          <w:tcPr>
            <w:tcW w:w="1580" w:type="dxa"/>
            <w:vAlign w:val="bottom"/>
            <w:gridSpan w:val="2"/>
          </w:tcPr>
          <w:p>
            <w:pPr>
              <w:jc w:val="center"/>
              <w:ind w:left="304"/>
              <w:spacing w:after="0" w:line="149" w:lineRule="exact"/>
              <w:rPr>
                <w:sz w:val="20"/>
                <w:szCs w:val="20"/>
                <w:color w:val="auto"/>
              </w:rPr>
            </w:pPr>
            <w:r>
              <w:rPr>
                <w:rFonts w:ascii="Arial" w:cs="Arial" w:eastAsia="Arial" w:hAnsi="Arial"/>
                <w:sz w:val="14"/>
                <w:szCs w:val="14"/>
                <w:b w:val="1"/>
                <w:bCs w:val="1"/>
                <w:color w:val="auto"/>
                <w:w w:val="93"/>
              </w:rPr>
              <w:t>(2)</w:t>
            </w:r>
          </w:p>
        </w:tc>
        <w:tc>
          <w:tcPr>
            <w:tcW w:w="12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3"/>
              </w:rPr>
              <w:t>(3)</w:t>
            </w:r>
          </w:p>
        </w:tc>
        <w:tc>
          <w:tcPr>
            <w:tcW w:w="3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275"/>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center"/>
              <w:ind w:left="304"/>
              <w:spacing w:after="0"/>
              <w:rPr>
                <w:sz w:val="20"/>
                <w:szCs w:val="20"/>
                <w:color w:val="auto"/>
              </w:rPr>
            </w:pPr>
            <w:r>
              <w:rPr>
                <w:rFonts w:ascii="Arial" w:cs="Arial" w:eastAsia="Arial" w:hAnsi="Arial"/>
                <w:sz w:val="14"/>
                <w:szCs w:val="14"/>
                <w:b w:val="1"/>
                <w:bCs w:val="1"/>
                <w:color w:val="auto"/>
                <w:w w:val="93"/>
              </w:rPr>
              <w:t>($)</w:t>
            </w:r>
          </w:p>
        </w:tc>
        <w:tc>
          <w:tcPr>
            <w:tcW w:w="12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1,458,333</w:t>
            </w:r>
          </w:p>
        </w:tc>
        <w:tc>
          <w:tcPr>
            <w:tcW w:w="3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2,645,687</w:t>
            </w: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122,322</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4,226,342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766,042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984,818</w:t>
            </w:r>
          </w:p>
        </w:tc>
        <w:tc>
          <w:tcPr>
            <w:tcW w:w="380" w:type="dxa"/>
            <w:vAlign w:val="bottom"/>
          </w:tcPr>
          <w:p>
            <w:pPr>
              <w:spacing w:after="0"/>
              <w:rPr>
                <w:sz w:val="18"/>
                <w:szCs w:val="18"/>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92,632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1,843,492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482,728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624,040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66,937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1,175,012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431,786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559,731</w:t>
            </w:r>
          </w:p>
        </w:tc>
        <w:tc>
          <w:tcPr>
            <w:tcW w:w="380" w:type="dxa"/>
            <w:vAlign w:val="bottom"/>
          </w:tcPr>
          <w:p>
            <w:pPr>
              <w:spacing w:after="0"/>
              <w:rPr>
                <w:sz w:val="18"/>
                <w:szCs w:val="18"/>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62,524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1,054,041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401,172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445,961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50,230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jc w:val="right"/>
              <w:ind w:right="35"/>
              <w:spacing w:after="0"/>
              <w:rPr>
                <w:sz w:val="20"/>
                <w:szCs w:val="20"/>
                <w:color w:val="auto"/>
              </w:rPr>
            </w:pPr>
            <w:r>
              <w:rPr>
                <w:rFonts w:ascii="Arial" w:cs="Arial" w:eastAsia="Arial" w:hAnsi="Arial"/>
                <w:sz w:val="18"/>
                <w:szCs w:val="18"/>
                <w:color w:val="auto"/>
                <w:w w:val="79"/>
              </w:rPr>
              <w:t>121</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640" w:right="80" w:hanging="436"/>
        <w:spacing w:after="0" w:line="342"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2018, RGHL Group operated an annual incentive plan and a long-term non-equity incentive compensation plan as described more fully above in the section entitled “—Elements of Compensation.” Awards under the annual incentive plan in respect of the 2018 year were as follows:</w:t>
      </w:r>
    </w:p>
    <w:p>
      <w:pPr>
        <w:spacing w:after="0" w:line="13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Payment From</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9"/>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5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000" w:type="dxa"/>
            <w:vAlign w:val="bottom"/>
          </w:tcPr>
          <w:p>
            <w:pPr>
              <w:jc w:val="right"/>
              <w:spacing w:after="0"/>
              <w:rPr>
                <w:sz w:val="20"/>
                <w:szCs w:val="20"/>
                <w:color w:val="auto"/>
              </w:rPr>
            </w:pPr>
            <w:r>
              <w:rPr>
                <w:rFonts w:ascii="Arial" w:cs="Arial" w:eastAsia="Arial" w:hAnsi="Arial"/>
                <w:sz w:val="18"/>
                <w:szCs w:val="18"/>
                <w:color w:val="auto"/>
              </w:rPr>
              <w:t>512,482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1000" w:type="dxa"/>
            <w:vAlign w:val="bottom"/>
          </w:tcPr>
          <w:p>
            <w:pPr>
              <w:jc w:val="right"/>
              <w:spacing w:after="0"/>
              <w:rPr>
                <w:sz w:val="20"/>
                <w:szCs w:val="20"/>
                <w:color w:val="auto"/>
              </w:rPr>
            </w:pPr>
            <w:r>
              <w:rPr>
                <w:rFonts w:ascii="Arial" w:cs="Arial" w:eastAsia="Arial" w:hAnsi="Arial"/>
                <w:sz w:val="18"/>
                <w:szCs w:val="18"/>
                <w:color w:val="auto"/>
              </w:rPr>
              <w:t>288,865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balance of the amounts reported under the Non-Equity Incentive Plan Compensation column represents amounts earned in 2018 under grants made in 2016, 2017 and 2018 under the LTIP. These amounts were as follows: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80" w:type="dxa"/>
            <w:vAlign w:val="bottom"/>
            <w:gridSpan w:val="2"/>
          </w:tcPr>
          <w:p>
            <w:pPr>
              <w:jc w:val="center"/>
              <w:ind w:left="396"/>
              <w:spacing w:after="0"/>
              <w:rPr>
                <w:sz w:val="20"/>
                <w:szCs w:val="20"/>
                <w:color w:val="auto"/>
              </w:rPr>
            </w:pPr>
            <w:r>
              <w:rPr>
                <w:rFonts w:ascii="Arial" w:cs="Arial" w:eastAsia="Arial" w:hAnsi="Arial"/>
                <w:sz w:val="14"/>
                <w:szCs w:val="14"/>
                <w:b w:val="1"/>
                <w:bCs w:val="1"/>
                <w:color w:val="auto"/>
                <w:w w:val="94"/>
              </w:rPr>
              <w:t>2018 Grant 1</w:t>
            </w:r>
            <w:r>
              <w:rPr>
                <w:rFonts w:ascii="Arial" w:cs="Arial" w:eastAsia="Arial" w:hAnsi="Arial"/>
                <w:sz w:val="12"/>
                <w:szCs w:val="12"/>
                <w:b w:val="1"/>
                <w:bCs w:val="1"/>
                <w:color w:val="auto"/>
                <w:w w:val="94"/>
              </w:rPr>
              <w:t>st</w:t>
            </w:r>
          </w:p>
        </w:tc>
        <w:tc>
          <w:tcPr>
            <w:tcW w:w="150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95"/>
              </w:rPr>
              <w:t>2017 Grant 2</w:t>
            </w:r>
            <w:r>
              <w:rPr>
                <w:rFonts w:ascii="Arial" w:cs="Arial" w:eastAsia="Arial" w:hAnsi="Arial"/>
                <w:sz w:val="12"/>
                <w:szCs w:val="12"/>
                <w:b w:val="1"/>
                <w:bCs w:val="1"/>
                <w:color w:val="auto"/>
                <w:w w:val="95"/>
              </w:rPr>
              <w:t>nd</w:t>
            </w: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2016 Grant 3</w:t>
            </w:r>
            <w:r>
              <w:rPr>
                <w:rFonts w:ascii="Arial" w:cs="Arial" w:eastAsia="Arial" w:hAnsi="Arial"/>
                <w:sz w:val="12"/>
                <w:szCs w:val="12"/>
                <w:b w:val="1"/>
                <w:bCs w:val="1"/>
                <w:color w:val="auto"/>
                <w:w w:val="97"/>
              </w:rPr>
              <w:t>rd</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Instalment</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Instalment</w:t>
            </w:r>
          </w:p>
        </w:tc>
        <w:tc>
          <w:tcPr>
            <w:tcW w:w="5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Instalment</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38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w w:val="93"/>
              </w:rPr>
              <w:t>($)</w:t>
            </w:r>
          </w:p>
        </w:tc>
        <w:tc>
          <w:tcPr>
            <w:tcW w:w="150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334,320</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399,100</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366,667</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1,100,087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Michael Graham</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134,838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168,299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169,199</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David Bryla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84,485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111,161</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Stephan Pace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76,003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94,863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Craig Cappel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68,726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85,366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88,275</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line="264"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Bryla, Mr. Pace, and Mr. Cappel receive benefits under the Pactiv Retirement Plan. In 2018, there was a decrease in the value of plan benefits for Mr. Pace and Mr. Cappel ($22,845 and $23,846, respectively), so these values are reported as $0. There was no aggregate earnings or interest on the Reynolds Services, Inc. Nonqualified Deferred Compensation Plan.</w:t>
      </w:r>
    </w:p>
    <w:p>
      <w:pPr>
        <w:spacing w:after="0" w:line="208" w:lineRule="exact"/>
        <w:rPr>
          <w:rFonts w:ascii="Arial" w:cs="Arial" w:eastAsia="Arial" w:hAnsi="Arial"/>
          <w:sz w:val="18"/>
          <w:szCs w:val="18"/>
          <w:color w:val="auto"/>
        </w:rPr>
      </w:pPr>
    </w:p>
    <w:p>
      <w:pPr>
        <w:ind w:left="640" w:hanging="436"/>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make contributions to the 401(k) plan and Reynolds Services, Inc. Nonqualified Deferred Compensation Plan. The applicable amounts for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2018 year were as follows:</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Contributions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Contributions</w:t>
            </w:r>
          </w:p>
        </w:tc>
        <w:tc>
          <w:tcPr>
            <w:tcW w:w="90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401(k)</w:t>
            </w:r>
          </w:p>
        </w:tc>
        <w:tc>
          <w:tcPr>
            <w:tcW w:w="90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90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1700" w:type="dxa"/>
            <w:vAlign w:val="bottom"/>
            <w:gridSpan w:val="2"/>
          </w:tcPr>
          <w:p>
            <w:pPr>
              <w:jc w:val="center"/>
              <w:ind w:left="756"/>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left="796"/>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8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9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Michael Graham</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21,446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68,414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David Bryla</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Stephan Pace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36,689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Craig Cappel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benefits reported under All Other Compensation include group life insurance and wellness credits.</w:t>
      </w:r>
    </w:p>
    <w:p>
      <w:pPr>
        <w:spacing w:after="0" w:line="225"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Health and welfare benefits are not reported to the extent these benefits are generally available to all other salaried and non-union hourly employees.</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24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Grants of Plan-Based Awards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sets forth information concerning grants of plan-based awards made to the NEOs named in the 2018 Summary Compensation Table during our fiscal year ended December 31, 2018.</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Grant Date</w:t>
            </w:r>
          </w:p>
        </w:tc>
        <w:tc>
          <w:tcPr>
            <w:tcW w:w="3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0" w:type="dxa"/>
            <w:vAlign w:val="bottom"/>
          </w:tcPr>
          <w:p>
            <w:pPr>
              <w:spacing w:after="0"/>
              <w:rPr>
                <w:sz w:val="1"/>
                <w:szCs w:val="1"/>
                <w:color w:val="auto"/>
              </w:rPr>
            </w:pPr>
          </w:p>
        </w:tc>
      </w:tr>
      <w:tr>
        <w:trPr>
          <w:trHeight w:val="171"/>
        </w:trPr>
        <w:tc>
          <w:tcPr>
            <w:tcW w:w="498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3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Non-Equity Incentive Plan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Threshold</w:t>
            </w:r>
          </w:p>
        </w:tc>
        <w:tc>
          <w:tcPr>
            <w:tcW w:w="116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Target</w:t>
            </w:r>
          </w:p>
        </w:tc>
        <w:tc>
          <w:tcPr>
            <w:tcW w:w="100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1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January 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820" w:type="dxa"/>
            <w:vAlign w:val="bottom"/>
            <w:gridSpan w:val="2"/>
          </w:tcPr>
          <w:p>
            <w:pPr>
              <w:ind w:left="320"/>
              <w:spacing w:after="0"/>
              <w:rPr>
                <w:sz w:val="20"/>
                <w:szCs w:val="20"/>
                <w:color w:val="auto"/>
              </w:rPr>
            </w:pPr>
            <w:r>
              <w:rPr>
                <w:rFonts w:ascii="Arial" w:cs="Arial" w:eastAsia="Arial" w:hAnsi="Arial"/>
                <w:sz w:val="18"/>
                <w:szCs w:val="18"/>
                <w:color w:val="auto"/>
              </w:rPr>
              <w:t>January 1, 2018</w:t>
            </w:r>
          </w:p>
        </w:tc>
        <w:tc>
          <w:tcPr>
            <w:tcW w:w="820" w:type="dxa"/>
            <w:vAlign w:val="bottom"/>
          </w:tcPr>
          <w:p>
            <w:pPr>
              <w:jc w:val="right"/>
              <w:spacing w:after="0"/>
              <w:rPr>
                <w:sz w:val="20"/>
                <w:szCs w:val="20"/>
                <w:color w:val="auto"/>
              </w:rPr>
            </w:pPr>
            <w:r>
              <w:rPr>
                <w:rFonts w:ascii="Arial" w:cs="Arial" w:eastAsia="Arial" w:hAnsi="Arial"/>
                <w:sz w:val="18"/>
                <w:szCs w:val="18"/>
                <w:color w:val="auto"/>
              </w:rPr>
              <w:t>141,163</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564,650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Bryla</w:t>
            </w:r>
          </w:p>
        </w:tc>
        <w:tc>
          <w:tcPr>
            <w:tcW w:w="1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January 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1820" w:type="dxa"/>
            <w:vAlign w:val="bottom"/>
            <w:gridSpan w:val="2"/>
          </w:tcPr>
          <w:p>
            <w:pPr>
              <w:ind w:left="320"/>
              <w:spacing w:after="0"/>
              <w:rPr>
                <w:sz w:val="20"/>
                <w:szCs w:val="20"/>
                <w:color w:val="auto"/>
              </w:rPr>
            </w:pPr>
            <w:r>
              <w:rPr>
                <w:rFonts w:ascii="Arial" w:cs="Arial" w:eastAsia="Arial" w:hAnsi="Arial"/>
                <w:sz w:val="18"/>
                <w:szCs w:val="18"/>
                <w:color w:val="auto"/>
              </w:rPr>
              <w:t>January 1, 2018</w:t>
            </w:r>
          </w:p>
        </w:tc>
        <w:tc>
          <w:tcPr>
            <w:tcW w:w="820" w:type="dxa"/>
            <w:vAlign w:val="bottom"/>
          </w:tcPr>
          <w:p>
            <w:pPr>
              <w:jc w:val="right"/>
              <w:spacing w:after="0"/>
              <w:rPr>
                <w:sz w:val="20"/>
                <w:szCs w:val="20"/>
                <w:color w:val="auto"/>
              </w:rPr>
            </w:pPr>
            <w:r>
              <w:rPr>
                <w:rFonts w:ascii="Arial" w:cs="Arial" w:eastAsia="Arial" w:hAnsi="Arial"/>
                <w:sz w:val="18"/>
                <w:szCs w:val="18"/>
                <w:color w:val="auto"/>
              </w:rPr>
              <w:t>79,568</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318,270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Cappel</w:t>
            </w:r>
          </w:p>
        </w:tc>
        <w:tc>
          <w:tcPr>
            <w:tcW w:w="1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January 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have been no equity-based compensation programs, and consequently there were no outstanding equity awards as of December 31, 2018.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intend to adopt, subject to the approval of our shareholders, the 2020 incentive award plan in connection with this offering.</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Pension Benefits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sets forth information with respect to each plan that provides for payments or other benefits at, following, or in connection with retirement.</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60" w:type="dxa"/>
            <w:vAlign w:val="bottom"/>
            <w:gridSpan w:val="2"/>
            <w:vMerge w:val="restart"/>
          </w:tcPr>
          <w:p>
            <w:pPr>
              <w:jc w:val="center"/>
              <w:ind w:left="437"/>
              <w:spacing w:after="0"/>
              <w:rPr>
                <w:sz w:val="20"/>
                <w:szCs w:val="20"/>
                <w:color w:val="auto"/>
              </w:rPr>
            </w:pPr>
            <w:r>
              <w:rPr>
                <w:rFonts w:ascii="Arial" w:cs="Arial" w:eastAsia="Arial" w:hAnsi="Arial"/>
                <w:sz w:val="14"/>
                <w:szCs w:val="14"/>
                <w:b w:val="1"/>
                <w:bCs w:val="1"/>
                <w:color w:val="auto"/>
                <w:w w:val="92"/>
              </w:rPr>
              <w:t>Number of Years</w:t>
            </w:r>
          </w:p>
        </w:tc>
        <w:tc>
          <w:tcPr>
            <w:tcW w:w="156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91"/>
              </w:rPr>
              <w:t>Present Value of</w:t>
            </w:r>
          </w:p>
        </w:tc>
        <w:tc>
          <w:tcPr>
            <w:tcW w:w="5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380" w:type="dxa"/>
            <w:vAlign w:val="bottom"/>
            <w:gridSpan w:val="3"/>
          </w:tcPr>
          <w:p>
            <w:pPr>
              <w:jc w:val="center"/>
              <w:ind w:left="448"/>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2"/>
                <w:szCs w:val="12"/>
                <w:color w:val="auto"/>
              </w:rPr>
            </w:pPr>
          </w:p>
        </w:tc>
        <w:tc>
          <w:tcPr>
            <w:tcW w:w="25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Plan Name</w:t>
            </w:r>
          </w:p>
        </w:tc>
        <w:tc>
          <w:tcPr>
            <w:tcW w:w="5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Credited Service</w:t>
            </w: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5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71"/>
        </w:trPr>
        <w:tc>
          <w:tcPr>
            <w:tcW w:w="26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156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93"/>
              </w:rPr>
              <w:t>(#)</w:t>
            </w:r>
          </w:p>
        </w:tc>
        <w:tc>
          <w:tcPr>
            <w:tcW w:w="156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5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Michael Graham</w:t>
            </w:r>
          </w:p>
        </w:tc>
        <w:tc>
          <w:tcPr>
            <w:tcW w:w="520" w:type="dxa"/>
            <w:vAlign w:val="bottom"/>
          </w:tcPr>
          <w:p>
            <w:pPr>
              <w:spacing w:after="0"/>
              <w:rPr>
                <w:sz w:val="18"/>
                <w:szCs w:val="18"/>
                <w:color w:val="auto"/>
              </w:rPr>
            </w:pPr>
          </w:p>
        </w:tc>
        <w:tc>
          <w:tcPr>
            <w:tcW w:w="2520" w:type="dxa"/>
            <w:vAlign w:val="bottom"/>
          </w:tcPr>
          <w:p>
            <w:pPr>
              <w:ind w:left="1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David Bryla</w:t>
            </w:r>
          </w:p>
        </w:tc>
        <w:tc>
          <w:tcPr>
            <w:tcW w:w="3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Pactiv Retirement Plan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60,467</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Stephan Pace</w:t>
            </w:r>
          </w:p>
        </w:tc>
        <w:tc>
          <w:tcPr>
            <w:tcW w:w="3040" w:type="dxa"/>
            <w:vAlign w:val="bottom"/>
            <w:gridSpan w:val="2"/>
          </w:tcPr>
          <w:p>
            <w:pPr>
              <w:ind w:left="520"/>
              <w:spacing w:after="0"/>
              <w:rPr>
                <w:sz w:val="20"/>
                <w:szCs w:val="20"/>
                <w:color w:val="auto"/>
              </w:rPr>
            </w:pPr>
            <w:r>
              <w:rPr>
                <w:rFonts w:ascii="Arial" w:cs="Arial" w:eastAsia="Arial" w:hAnsi="Arial"/>
                <w:sz w:val="18"/>
                <w:szCs w:val="18"/>
                <w:color w:val="auto"/>
              </w:rPr>
              <w:t>Pactiv Retirement Plan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332,304</w:t>
            </w:r>
          </w:p>
        </w:tc>
        <w:tc>
          <w:tcPr>
            <w:tcW w:w="5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Craig Cappel</w:t>
            </w:r>
          </w:p>
        </w:tc>
        <w:tc>
          <w:tcPr>
            <w:tcW w:w="3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Pactiv Retirement Plan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192,376</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Mr. Bryla, Mr. Pace and Mr. Cappel have legacy entitlements under the Pactiv Retirement Plan, an ERISA-qualified defined benefit plan maintained by Pactiv.</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Nonqualified Deferred Compensation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sets forth information with respect to each defined contribution or other plan that provides for the deferral of compensation on a basis that is not tax-qualified.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Consumer</w:t>
            </w:r>
          </w:p>
        </w:tc>
        <w:tc>
          <w:tcPr>
            <w:tcW w:w="44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4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Products</w:t>
            </w: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40" w:type="dxa"/>
            <w:vAlign w:val="bottom"/>
            <w:gridSpan w:val="2"/>
          </w:tcPr>
          <w:p>
            <w:pPr>
              <w:jc w:val="center"/>
              <w:ind w:left="295"/>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Contributions</w:t>
            </w:r>
          </w:p>
        </w:tc>
        <w:tc>
          <w:tcPr>
            <w:tcW w:w="1440" w:type="dxa"/>
            <w:vAlign w:val="bottom"/>
            <w:gridSpan w:val="3"/>
          </w:tcPr>
          <w:p>
            <w:pPr>
              <w:jc w:val="center"/>
              <w:ind w:left="76"/>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06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4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Last FY</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44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71"/>
        </w:trPr>
        <w:tc>
          <w:tcPr>
            <w:tcW w:w="4840" w:type="dxa"/>
            <w:vAlign w:val="bottom"/>
            <w:gridSpan w:val="2"/>
            <w:vMerge w:val="continue"/>
          </w:tcPr>
          <w:p>
            <w:pPr>
              <w:spacing w:after="0"/>
              <w:rPr>
                <w:sz w:val="14"/>
                <w:szCs w:val="14"/>
                <w:color w:val="auto"/>
              </w:rPr>
            </w:pPr>
          </w:p>
        </w:tc>
        <w:tc>
          <w:tcPr>
            <w:tcW w:w="124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0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Lance Mitchell</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180,236</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937,351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Michael Graham</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562,658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68,414</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(34,089)</w:t>
            </w:r>
          </w:p>
        </w:tc>
        <w:tc>
          <w:tcPr>
            <w:tcW w:w="2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478,846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David Bryla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129,009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(8,569)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Stephan Pace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46,158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36,689</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(27,268)</w:t>
            </w:r>
          </w:p>
        </w:tc>
        <w:tc>
          <w:tcPr>
            <w:tcW w:w="2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275,608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Craig Cappel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(6,757)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40" w:type="dxa"/>
            <w:vAlign w:val="bottom"/>
            <w:gridSpan w:val="2"/>
          </w:tcPr>
          <w:p>
            <w:pPr>
              <w:jc w:val="center"/>
              <w:ind w:left="255"/>
              <w:spacing w:after="0"/>
              <w:rPr>
                <w:sz w:val="20"/>
                <w:szCs w:val="20"/>
                <w:color w:val="auto"/>
              </w:rPr>
            </w:pPr>
            <w:r>
              <w:rPr>
                <w:rFonts w:ascii="Arial" w:cs="Arial" w:eastAsia="Arial" w:hAnsi="Arial"/>
                <w:sz w:val="18"/>
                <w:szCs w:val="18"/>
                <w:color w:val="auto"/>
                <w:w w:val="86"/>
              </w:rPr>
              <w:t>123</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following table sets forth the expected benefits to be received by each NEO in each of the following termination scenarios pursuant to RGHL Group’s informal policies and practices. This table assumes a termination date of December 31, 2018, the last business day of the year. The receipt of benefits is generally subject to executing and not revoking a release of claims. Other relevant assumptions and explanations are set forth in the footnotes following the table.</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540" w:type="dxa"/>
            <w:vAlign w:val="bottom"/>
            <w:gridSpan w:val="4"/>
          </w:tcPr>
          <w:p>
            <w:pPr>
              <w:ind w:left="4200"/>
              <w:spacing w:after="0"/>
              <w:rPr>
                <w:sz w:val="20"/>
                <w:szCs w:val="20"/>
                <w:color w:val="auto"/>
              </w:rPr>
            </w:pPr>
            <w:r>
              <w:rPr>
                <w:rFonts w:ascii="Arial" w:cs="Arial" w:eastAsia="Arial" w:hAnsi="Arial"/>
                <w:sz w:val="14"/>
                <w:szCs w:val="14"/>
                <w:b w:val="1"/>
                <w:bCs w:val="1"/>
                <w:color w:val="auto"/>
                <w:w w:val="98"/>
              </w:rPr>
              <w:t>Termination 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Cause or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Whether or Not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Connection with 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Change in Control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Lance Mitchell</w:t>
            </w:r>
          </w:p>
        </w:tc>
        <w:tc>
          <w:tcPr>
            <w:tcW w:w="4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Michael Graham</w:t>
            </w: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Bryla</w:t>
            </w:r>
          </w:p>
        </w:tc>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Stephan Pace</w:t>
            </w: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Craig Cappel</w:t>
            </w:r>
          </w:p>
        </w:tc>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140" w:hanging="436"/>
        <w:spacing w:after="0" w:line="258"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Under RGHL Group’s practices, in connection with a qualifying termination of employment, the NEOs would have received severance payments equivalent to 12 months’ base salary.</w:t>
      </w:r>
    </w:p>
    <w:p>
      <w:pPr>
        <w:spacing w:after="0" w:line="1" w:lineRule="exact"/>
        <w:rPr>
          <w:rFonts w:ascii="Arial" w:cs="Arial" w:eastAsia="Arial" w:hAnsi="Arial"/>
          <w:sz w:val="18"/>
          <w:szCs w:val="18"/>
          <w:color w:val="auto"/>
        </w:rPr>
      </w:pPr>
    </w:p>
    <w:p>
      <w:pPr>
        <w:ind w:left="640" w:right="80" w:hanging="436"/>
        <w:spacing w:after="0" w:line="261"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connection with a qualifying termination of employment, the NEOs would have continued to receive benefits under (or benefits comparable to) RGHL’s medical, dental, vision, life and accidental death and disability programs.</w:t>
      </w:r>
    </w:p>
    <w:p>
      <w:pPr>
        <w:spacing w:after="0" w:line="184"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July 2019, Reynolds Consumer Products LLC entered into employment agreements with Messrs. Mitchell, Graham, Pace and Cappel that provide for payments upon a termination of employment. The consequences of their termination of employment, whether or not in connection with a “change in control,” are described under the heading “—Employment and Other Agreements”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and Other Agreements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have entered into employment agreements with Messrs. Mitchell, Graham, Cappel and Pace, which are summarized below. Messrs. Mitchell, Graham, Pace and Cappel also all entered into agreements dated July 8, 2019, under which they are entitled to transaction bonuses if this offering is completed or if there is a sale of the business, each a “Triggering Event,” by June 30, 2020. Subject to not voluntarily leaving their employment prior to the payment date, 50% of the transaction bonus (the amount of which varies based upon whether the Triggering Event is the closing of this offering or a sale of the business) will be paid 30 days after the applicable Triggering Event and the remaining 50% will be paid six months after the applicable Triggering Event.</w:t>
      </w:r>
    </w:p>
    <w:p>
      <w:pPr>
        <w:spacing w:after="0" w:line="193"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Messrs. Mitchell, Graham, Pace and Cappel also entered into retention agreements wherein they are eligible to receive both cash and restricted stock subject to certain vesting requirements as described more fully below in the section entitled “—Executive Retention Plan.”</w:t>
      </w:r>
    </w:p>
    <w:p>
      <w:pPr>
        <w:spacing w:after="0" w:line="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Mitchell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Mr. Mitchell’s employment agreement, he receives a base salary of $1,550,000 and a target annual incentive opportunity equal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115% of his base salary.</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Termination of Employment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Mr. Mitchell is terminated without “cause,” as such term is defined in his employment agreement, he is entitled to 12 months of his base salary plus a prorated target annual incentive. In addition, if within 12 months following a Sale of Business, Mr. Mitchell is terminated without cause or resigns following a material reduction in his remuneration or scope of duties, Mr. Mitchell is entitled to 24 months of base salary plus a prorated target annual incentive. Mr. Mitchell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Restrictive Covenants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Mr. Mitchell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Graham</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Pursuant to Mr. Graham’s employment agreement, he receives a base salary of $798,716 and a target annual incentive opportunity equal to 60% of his base salary.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Termination of Employment</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If Mr. Graham is terminated without “cause,” as such term is defined in his employment agreement, he is entitled to 12 months of his base salary. In addition, if within 12 months following a Sale of Business, Mr. Graham is terminated without cause or resigns following a material reduction in his remuneration or scope of duties, Mr. Graham is entitled to 24 months of base salary plus a prorated target annual incentive. Mr. Graham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Restrictive Covenants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Mr. Graham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Pace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Mr. Pace’s employment agreement, he receives a base salary of $450,204 and a target annual incentive opportunity equal to 60% of his base salary.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Termination of Employment</w:t>
      </w:r>
    </w:p>
    <w:p>
      <w:pPr>
        <w:spacing w:after="0" w:line="11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If Mr. Pace is terminated without “cause,” as such term is defined in his employment agreement, he is entitled to 12 months of his base salary. In addition, if within 12 months following a Sale of Business, Mr. Pace is terminated without cause or resigns following a material reduction in his remuneration or scope of duties, Mr. Pace is entitled to 24 months of base salary. Mr. Pace and his eligible dependents will also be eligible for COBRA continuation coverage for 12 months following a termination without cause whether or not in connection with a Sale of Business.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Restrictive Covenants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Mr. Pace is subject to customary restrictive covenants, including non-competition and non-solicitation covenants during his employment and for one year following termination of employment for any reason.</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Cappel</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Mr. Cappel’s employment agreement, he receives a base salary of $463,500 and a target annual incentive opportunity equal to 50% of his base salary.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Termination of Employment</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Mr. Cappel is terminated without “cause,” as such term is defined in his employment agreement, he is entitled to 12 months of his base salary. In addition, if within 12 months following a Sale of Business, Mr. Cappel is terminated without cause or resigns following a material reduction in his remuneration or scope of duties, Mr. Cappel is entitled to 24 months of base salary plus a prorated target annual incentive. Mr. Cappel and his eligible dependents will also be eligible for COBRA continuation coverage for 12 months following a termination without cause whether or not in connection with a Sale of Business.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Restrictive Covenants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Mr. Cappel is subject to customary restrictive covenants, including non-competition and non-solicitation covenants during his employment and for one year following termination of employment for any reason.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Director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directors did not receive any additional compensation for their service in their capacity as a director in the year ended December 31, 2018.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Following the closing of this offering, we intend to implement a new director compensation program, the terms of which have not yet been determined.</w:t>
      </w:r>
    </w:p>
    <w:p>
      <w:pPr>
        <w:spacing w:after="0" w:line="16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620" w:hanging="322"/>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620" w:right="380" w:hanging="322"/>
        <w:spacing w:after="0" w:line="277"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Compensation of Directors” and “Executive Compensation.”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Transactions with RGHL Group</w:t>
      </w:r>
    </w:p>
    <w:p>
      <w:pPr>
        <w:spacing w:after="0" w:line="12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Prior to this offering, we have operated as part of RGHL Group’s broader corporate organization rather than as a stand-alone public company. RGHL Group has performed or supported various corporate services for us, and we have engaged in various transactions with RGHL Group. The previous arrangements we had with RGHL Group are described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Warehousing and Transportation Arrangements with Pactiv</w:t>
      </w:r>
    </w:p>
    <w:p>
      <w:pPr>
        <w:spacing w:after="0" w:line="117" w:lineRule="exact"/>
        <w:rPr>
          <w:sz w:val="20"/>
          <w:szCs w:val="20"/>
          <w:color w:val="auto"/>
        </w:rPr>
      </w:pPr>
    </w:p>
    <w:p>
      <w:pPr>
        <w:ind w:left="200" w:right="660" w:firstLine="441"/>
        <w:spacing w:after="0" w:line="291" w:lineRule="auto"/>
        <w:rPr>
          <w:sz w:val="20"/>
          <w:szCs w:val="20"/>
          <w:color w:val="auto"/>
        </w:rPr>
      </w:pPr>
      <w:r>
        <w:rPr>
          <w:rFonts w:ascii="Arial" w:cs="Arial" w:eastAsia="Arial" w:hAnsi="Arial"/>
          <w:sz w:val="16"/>
          <w:szCs w:val="16"/>
          <w:color w:val="auto"/>
        </w:rPr>
        <w:t>We have arrangements with Pactiv, a member of RGHL Group, pursuant to which we sell products to Pactiv, primarily aluminum foil and aluminum foil containers. For the years ended December 31, 2018, 2017 and 2016, revenues from products sold to Pactiv were $161 million,</w:t>
      </w:r>
    </w:p>
    <w:p>
      <w:pPr>
        <w:ind w:left="200" w:right="80"/>
        <w:spacing w:after="0" w:line="323" w:lineRule="auto"/>
        <w:rPr>
          <w:sz w:val="20"/>
          <w:szCs w:val="20"/>
          <w:color w:val="auto"/>
        </w:rPr>
      </w:pPr>
      <w:r>
        <w:rPr>
          <w:rFonts w:ascii="Arial" w:cs="Arial" w:eastAsia="Arial" w:hAnsi="Arial"/>
          <w:sz w:val="16"/>
          <w:szCs w:val="16"/>
          <w:color w:val="auto"/>
        </w:rPr>
        <w:t>$148 million and $143 million, respectively. In addition, we have arrangements whereby Pactiv sells products to us, primarily tableware. For the years ended December 31, 2018, 2017 and 2016, the costs of products purchased from Pactiv were $511 million, $492 million and $494 million, respectively.</w:t>
      </w:r>
    </w:p>
    <w:p>
      <w:pPr>
        <w:spacing w:after="0" w:line="139"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have arrangements to store certain of our finished goods in warehouses leased and operated by Pactiv, and we have stored certain of Pactiv’s finished goods in our warehouses. In addition, Pactiv has historically provided us with transportation services, including scheduling and coordinating truck deliveries, managing carrier agreements and relationships, claims management and other related transportation services, such as mixing and loading our products, together with products made by Pactiv for us, for shipment. For the years ended December 31, 2018, 2017 and 2016, Pactiv charged us freight and warehousing costs of $143 million, $120 million and $117 million, respectively. For the years ended December 31, 2018, 2017 and 2016, we charged Pactiv warehousing costs of $2 million each year.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Prior to December 1, 2016, certain of our employees participated in a defined benefit plan that we sponsored. On November 30, 2016, this plan was merged into another defined benefit plan within RGHL Group and the future obligations under this plan became the responsibility of RGHL Group. As a result of this merger, we recorded a settlement loss of $9 million, which represented the release of the accumulated other comprehensive income balance attributable to the plan obligations as of the date of the merger.</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Starting December 1, 2016, certain of our employees participated in a defined benefit plan sponsored by RGHL Group. We recorded expense of $3 million in cost of sales for each of the years ended December 31, 2018 and 2017 relating to our employees’ participation in this RGHL Group sponsored plan.</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Administrative Services and Lease</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have historically relied on RGHL Group to provide certain administrative services, including executive management, human resources, procurement, finance, legal, tax and information technology services and use of space in our headquarters building in Lake Forest, Illinois. Total costs allocated to us for these functions were $40 million, $37 million and $39 million for the years ended December 31, 2018, 2017 and 2016, respectively. These amounts also include allocations of a portion of a related party management fee incurred by RGHL Group of $10 million, $10 million and $13 million for the years ended December 31, 2018, 2017 and 2016,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Intercompany Indebtedness</w:t>
      </w:r>
    </w:p>
    <w:p>
      <w:pPr>
        <w:spacing w:after="0" w:line="11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We have entered into various interest-bearing lending arrangements with RGHL Group. During the years ended December 31, 2018, 2017 and 2016 we incurred borrowings of $338 million, $416 million and $634 million, respectively, from RGHL Group and repaid borrowings of $314 million, $456 million and $261 million, respectively. During the years ended December 31, 2018, 2017 and 2016 we advanced loans of $537 million,</w:t>
      </w:r>
    </w:p>
    <w:p>
      <w:pPr>
        <w:ind w:left="200" w:right="40"/>
        <w:spacing w:after="0" w:line="255" w:lineRule="auto"/>
        <w:rPr>
          <w:sz w:val="20"/>
          <w:szCs w:val="20"/>
          <w:color w:val="auto"/>
        </w:rPr>
      </w:pPr>
      <w:r>
        <w:rPr>
          <w:rFonts w:ascii="Arial" w:cs="Arial" w:eastAsia="Arial" w:hAnsi="Arial"/>
          <w:sz w:val="18"/>
          <w:szCs w:val="18"/>
          <w:color w:val="auto"/>
        </w:rPr>
        <w:t>$508 million and $650 million, respectively, to RGHL Group and received repayments of $65 million, $200 million and $109 million, respectively. In addition to these amounts, during the year ended December 31, 2016, $162 million of non-current related party receivables was settled by offsetting the balance against our current income taxes payable.</w:t>
      </w:r>
    </w:p>
    <w:p>
      <w:pPr>
        <w:spacing w:after="0" w:line="19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During the year ended December 31, 2016, we incurred $1,350 million of additional borrowings under the RGHL Group Credit Agreement. The cash associated with these additional borrowings, net of $16 million in non-lender fees, was received directly by RGHL Group which resulted in an offsetting reduction in related party borrowings owing to RGHL Group.</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 average contractual interest rate related to our related party borrowings as of December 31, 2018, 2017 and 2016, was 6.00%,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6.28% and 6.79%, respectively. The weighted average contractual interest rate related to our non-current related party receivables as of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2017 and 2016, was 2.92%, 1.67% and 0.95%, respectively.</w:t>
      </w:r>
    </w:p>
    <w:p>
      <w:pPr>
        <w:spacing w:after="0" w:line="21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June 2019, related party receivables were used to reduce the balances outstanding under various related party borrowings. As a result, prior to the Corporate Reorganization, we had borrowings due to RGHL Group, which as of June 30, 2019 were $2,228 million, bear interest at rates of 1% to 3% per annum and mature in 2022 and thereafter.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Contributions of Property, Plant and Equipment</w:t>
      </w:r>
    </w:p>
    <w:p>
      <w:pPr>
        <w:spacing w:after="0" w:line="117"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During the years ended December 31, 2018, 2017, and 2016, property, plant and equipment related to our Hefty Tableware segment of $17 million, $5 million and $4 million, respectively, were contributed to us by RGHL Group.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to be Entered into in Connection with this Offering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Transition Services Agreements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this offering, we will enter into the RGHL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These services will be consistent with administrative services provided to us by RGHL Group prior to this offering and the charges will be at cost plus margin. In addition, we will provide certain services to RGHL Group under the RGHL TSA, consistent with services provided by us to RGHL Group prior to this offering, which will also be charged at cost plus margin; and at each other’s request, certain tax, financial and other information will be provided to enable preparation of tax and financial reports of the respective parties and for other business purposes.</w:t>
      </w:r>
    </w:p>
    <w:p>
      <w:pPr>
        <w:spacing w:after="0" w:line="12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60"/>
          </w:cols>
          <w:pgMar w:left="24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Also, in connection with this offering, we will enter into the Rank TSA whereby, upon our request, Rank will provide certain administrative services to us, including financial reporting and consulting, insurance procurement and human resources support, and related services, to be charged at an agreed hourly rate. In addition, we will provide, at Rank’s request, certain historical tax and financial information to enable Rank to prepare certain of its tax and financial reports.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services provided under the RGHL TSA and the Rank TSA (excluding the provision of information) will terminate within 24 months, as specified in each of these agreements. The party receiving services may terminate certain specified services by giving prior written notice in accordance with the terms of the RGHL TSA and the Rank TSA, as applicable.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Plant and Asset Transfers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Prior to the closing of this offering, the ownership or lease of certain plants, warehouses, equipment (including manufacturing lines), information</w:t>
      </w:r>
    </w:p>
    <w:p>
      <w:pPr>
        <w:spacing w:after="0" w:line="46"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technology assets, and inventory, will be transferred to us from RGHL Group at net book value in an amount totaling $ million. Further, we will be transferring to RGHL Group certain equipment (including manufacturing lines). While the assets have been reflected in our historical combined financial statements included elsewhere in this prospectus, the cash payable to RGHL Group for these transfers will remain on our balance sheet until the transfers become effective on November 1, 2019.</w:t>
      </w:r>
    </w:p>
    <w:p>
      <w:pPr>
        <w:spacing w:after="0" w:line="19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connection with the plant and asset transfers, we will enter into a transition and support agreement for our Red Bluff, California and Huntersville, North Carolina facilities whereby Pactiv will provide certain services to us, including tooling and engineering support, financial services, procurement services, and environmental, health and safety services, to be charged at an agreed hourly rate.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 with Pactiv</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lease our corporate headquarters in Lake Forest, Illinois from Pactiv. We occupy approximately 70,000 square feet at market rent with a term</w:t>
      </w:r>
    </w:p>
    <w:p>
      <w:pPr>
        <w:spacing w:after="0" w:line="46"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of five years, with one five year renewal option. We also lease approximately square feet in Pactiv’s Canandaigua, NY facility for certain research and development activities. The Canandaigua lease is at market rent and has a term of years. We have the right to terminate the lease after years.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Warehousing and Transportation Agreements with Pactiv</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will enter into supply agreements to continue selling products to and buying products from Pactiv, as described above. These agreements will expire on December 31, 2024. Certain of the products we manufacture and sell to Pactiv are made using equipment in our plants that is owned by Pactiv, and certain of the products that Pactiv manufactures and sells to us are made using equipment in Pactiv’s plants that is owned by us. Under the supply agreements, we and Pactiv agree to maintain the other party’s equipment that is in such party’s plants, provided that any required capital expenditures related to such equipment are the equipment owner’s responsibility. At the end of the term of each of the supply agreements, the relevant equipment owner can remove its equipment or sell it to the other party for $1.00.</w:t>
      </w:r>
    </w:p>
    <w:p>
      <w:pPr>
        <w:spacing w:after="0" w:line="178"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will enter into a warehousing agreement with Pactiv to continue storing many of our finished goods in warehouses operated by Pactiv. The term of the warehousing agreement varies by location and will not exceed three years. The warehousing agreement provides that we and Pactiv will cooperate and negotiate in good faith with respect to possible renewals as such terms expire.</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will also enter into a transportation services agreement with Pactiv whereby Pactiv will continue to provide certain transportation services for shipments from our plants to our warehouses (including Pactiv warehouses) and from our warehouses to our customers. The transportation agreement</w:t>
      </w:r>
    </w:p>
    <w:p>
      <w:pPr>
        <w:ind w:left="200"/>
        <w:spacing w:after="0"/>
        <w:tabs>
          <w:tab w:leader="none" w:pos="1760" w:val="left"/>
        </w:tabs>
        <w:rPr>
          <w:sz w:val="20"/>
          <w:szCs w:val="20"/>
          <w:color w:val="auto"/>
        </w:rPr>
      </w:pPr>
      <w:r>
        <w:rPr>
          <w:rFonts w:ascii="Arial" w:cs="Arial" w:eastAsia="Arial" w:hAnsi="Arial"/>
          <w:sz w:val="18"/>
          <w:szCs w:val="18"/>
          <w:color w:val="auto"/>
        </w:rPr>
        <w:t>will expire on</w:t>
      </w:r>
      <w:r>
        <w:rPr>
          <w:sz w:val="20"/>
          <w:szCs w:val="20"/>
          <w:color w:val="auto"/>
        </w:rPr>
        <w:tab/>
      </w:r>
      <w:r>
        <w:rPr>
          <w:rFonts w:ascii="Arial" w:cs="Arial" w:eastAsia="Arial" w:hAnsi="Arial"/>
          <w:sz w:val="18"/>
          <w:szCs w:val="18"/>
          <w:color w:val="auto"/>
        </w:rPr>
        <w:t>.</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prices and other terms of these agreements were negotiated on what we believe to be an arm’s-length basis. Upon the expiration of these agreements we will be required to renegotiate such agreements with Pactiv on mutually agreeable terms, or enter into other arrangements for such shared space or services (either by performing such services through our employees or contracting with other providers) or for the supply or sale of such products.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Allocation of taxes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 connection with the distributions to be effected as part of the Corporate Reorganization, we and RGHL Group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 In general, we will be responsible for any U.S. federal, state, local or foreign taxes (and any related interest, penalties or audit adjustments) (i) imposed with respect to tax returns that include only us and/or any of our subsidiaries for any periods or portions thereof and (ii) imposed with respect to tax returns filed on a consolidated, combined, unitary or similar basis that include both us and/or any of our subsidiaries, on the one hand, and a member of RGHL Group, on the other hand, to the extent such taxes are attributable to our businesses for any periods or portions thereof after the closing of this offering.</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Neither party’s obligations under the Tax Matters Agreement will be limited in amount or subject to any cap. The Tax Matters Agreement will also assign responsibilities for administrative matters, such as the filing of returns, payment of taxes due, retention of records and conduct of audits, examinations or similar proceedings. In addition, the Tax Matters Agreement will provide for cooperation and information sharing with respect to tax matters.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RGHL Group will generally be responsible for preparing and filing any tax return that includes a member of RGHL Group, including those that also include us and/or any of our subsidiaries. We will generally be responsible for preparing and filing any tax returns that include only us and/or any of our subsidiaries.</w:t>
      </w:r>
    </w:p>
    <w:p>
      <w:pPr>
        <w:spacing w:after="0" w:line="181" w:lineRule="exact"/>
        <w:rPr>
          <w:sz w:val="20"/>
          <w:szCs w:val="20"/>
          <w:color w:val="auto"/>
        </w:rPr>
      </w:pPr>
    </w:p>
    <w:p>
      <w:pPr>
        <w:jc w:val="both"/>
        <w:ind w:left="200" w:right="180" w:firstLine="441"/>
        <w:spacing w:after="0" w:line="342" w:lineRule="auto"/>
        <w:rPr>
          <w:sz w:val="20"/>
          <w:szCs w:val="20"/>
          <w:color w:val="auto"/>
        </w:rPr>
      </w:pPr>
      <w:r>
        <w:rPr>
          <w:rFonts w:ascii="Arial" w:cs="Arial" w:eastAsia="Arial" w:hAnsi="Arial"/>
          <w:sz w:val="16"/>
          <w:szCs w:val="16"/>
          <w:color w:val="auto"/>
        </w:rPr>
        <w:t>The party responsible for preparing and filing any tax return will generally have primary authority to control tax contests related to any such tax return. We will generally have exclusive authority to control tax contests with respect to tax returns that include only us and/or any of our subsidiaries.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Preservation of the tax-free status of the distributions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Pursuant to the Tax Matters Agreement, we will also agree to certain covenants that contain restrictions intended to preserve the tax-free status of the distributions to be effected as part of the Corporate Reorganization. We may take certain actions prohibited by these covenants only if we obtain and provide to RGHL an opinion from a U.S. tax counsel or accountant of recognized national standing, in either case reasonably satisfactory to RGHL, to the effect that such action would not jeopardize the tax-free status of these transactions, or if we obtain prior written consent of RGHL, in its sole and absolute discretion, waiving such requirement. We will be barred from taking any action, or failing to take any action, where such action or failure to act adversely affects or could reasonably be expected to adversely affect the tax-free status of these distributions, for all relevant time periods. In addition, during the time period ending two years after the date of the distributions to be effected as part of the Corporate Reorganization, these covenants will include specific restrictions on our:</w:t>
      </w:r>
    </w:p>
    <w:p>
      <w:pPr>
        <w:spacing w:after="0" w:line="98" w:lineRule="exact"/>
        <w:rPr>
          <w:sz w:val="20"/>
          <w:szCs w:val="20"/>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discontinuing the active conduct of our trade or business;</w:t>
      </w:r>
    </w:p>
    <w:p>
      <w:pPr>
        <w:spacing w:after="0" w:line="130" w:lineRule="exact"/>
        <w:rPr>
          <w:rFonts w:ascii="Arial" w:cs="Arial" w:eastAsia="Arial" w:hAnsi="Arial"/>
          <w:sz w:val="18"/>
          <w:szCs w:val="18"/>
          <w:color w:val="auto"/>
        </w:rPr>
      </w:pPr>
    </w:p>
    <w:p>
      <w:pPr>
        <w:ind w:left="1180" w:right="940" w:hanging="436"/>
        <w:spacing w:after="0" w:line="308" w:lineRule="auto"/>
        <w:tabs>
          <w:tab w:leader="none" w:pos="1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issuance or sale of stock or other securities (including securities convertible into our stock but excluding certain compensatory arrangements) in excess of 25% of our then-outstanding shares of common stock, in the aggregate;</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right="28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amending our certificate of incorporation (or other organizational documents) or taking any other action, whether through a stockholder vote or otherwise, affecting the voting rights of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sales of assets outside the ordinary course of business;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entering into any other corporate transaction which would cause us to undergo a 50% or greater change in our stock ownership.</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will generally agree to indemnify members of RGHL Group against any and all tax-related liabilities incurred by them relating to these distributions to the extent caused by any action undertaken by us. This indemnification will apply even if RGHL has permitted us to take an action that would otherwise have been prohibited under the tax-related covenants described above.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117" w:lineRule="exact"/>
        <w:rPr>
          <w:sz w:val="20"/>
          <w:szCs w:val="20"/>
          <w:color w:val="auto"/>
        </w:rPr>
      </w:pPr>
    </w:p>
    <w:p>
      <w:pPr>
        <w:ind w:left="200" w:right="440" w:firstLine="441"/>
        <w:spacing w:after="0" w:line="312" w:lineRule="auto"/>
        <w:rPr>
          <w:sz w:val="20"/>
          <w:szCs w:val="20"/>
          <w:color w:val="auto"/>
        </w:rPr>
      </w:pPr>
      <w:r>
        <w:rPr>
          <w:rFonts w:ascii="Arial" w:cs="Arial" w:eastAsia="Arial" w:hAnsi="Arial"/>
          <w:sz w:val="16"/>
          <w:szCs w:val="16"/>
          <w:color w:val="auto"/>
        </w:rPr>
        <w:t>In connection with this offering, we will enter into a shareholders agreement with PFL. Among other things, the shareholders agreement will provide PFL with the right to nominate a certain number of directors to our board of directors, so long as PFL (together with all other entities beneficially owned by Mr. Graeme Hart and his heirs) beneficially owns at least 10% of the outstanding shares of our common stock.</w:t>
      </w:r>
    </w:p>
    <w:p>
      <w:pPr>
        <w:spacing w:after="0" w:line="14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shareholders agreement will provide that, subject to compliance with applicable law and rules, for so long as PFL (together with all other entities beneficially owned by Mr. Graeme Hart and his heirs) beneficially owns at least 50% of our common stock then outstanding, it shall be entitled to nominate the total number of directors comprising the entire board of directors; for so long as PFL (together with all other entities beneficially owned by Mr. Graeme Hart and his heirs) beneficially owns at least 40%, but less than 50%, of our common stock then outstanding, it shall be entitled to nominate a majority of directors to our board of directors; for so long as PFL (together with all other entities beneficially owned by Mr. Graeme Hart and his heirs) beneficially owns at least 30%, but less than 40%, of our common stock then outstanding, it shall be entitled to nominate 40% of the directors to our board of directors; for so long as PFL (together with all other entities beneficially owned by Mr. Graeme Hart and his heirs) beneficially owns at least 20%, but less than 30%, of our common stock then outstanding, it shall be entitled to nominate 30% of the directors to our board of directors; and for so long as PFL (together with all other entities beneficially owned by Mr. Graeme Hart and his heirs) beneficially owns at least 10%, but less than 20%, of our common stock then outstanding, it shall be entitled to nominate 20% of the directors to our board of directors. For purposes of calculating the number of directors that PFL is entitled to nominate pursuant to the formula outlined above, any fractional amounts would be rounded up to the nearest whole number and the calculation would be made on a pro forma basis, taking into account any increase in the size of our board of directors. In the case of a vacancy on our board of directors created by the removal or resignation of an individual selected for nomination by PFL, the shareholders agreement will require us to nominate another individual selected by PFL.</w:t>
      </w:r>
    </w:p>
    <w:p>
      <w:pPr>
        <w:spacing w:after="0" w:line="18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In addition, the shareholders agreement will provide that for so long as PFL (together with all other entities beneficially owned by Mr. Graeme Hart and his heirs) beneficially owns at least 10% of the outstanding shares of our common stock, PFL is entitled to nominate, pursuant to the formula outlined above, members of the compensation, nominating and corporate governance committee and the audit committee of our board of directors, except to the extent that such membership would violate applicable securities laws or rules.</w:t>
      </w:r>
    </w:p>
    <w:p>
      <w:pPr>
        <w:spacing w:after="0" w:line="17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rights granted to PFL to nominate directors are additive to and not intended to limit in any way the rights that PFL may have to nominate, elect or remove our directors under our certificate of incorporation, bylaws or Delaware law.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Transactions with Related Parties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connection with this offering, we have adopted a policy that our executive officers, directors, nominees for election as a director, beneficial owners of more than 5% of our common stock and any members of the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immediate family of any of the foregoing persons are not permitted to enter into a related party transaction with us without the approval or ratification of our audit committee or other independent body of our board of directors. Any request for us to enter into a transaction with an executive officer, director, nominee for election as a director, beneficial owner of more than 5% of our common stock or any member of the immediate family of any of the foregoing persons, in which the amount involved exceeds $120,000 and such person would have a direct or indirect interest, must be presented to our audit committee or other independent body of our board for review, consideration and approval. In approving or rejecting any such proposal, our audit committee or other independent body of our board is to consider the relevant facts of the transaction, including the risks, costs and benefits to us and whether the transaction is on terms no less favorable than terms generally available to an unaffiliated third party under the same or similar circumstances.</w:t>
      </w:r>
    </w:p>
    <w:p>
      <w:pPr>
        <w:spacing w:after="0" w:line="1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62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724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Confidential Treatment Requested by Reynolds Consumer Products Inc.</w:t>
            </w:r>
          </w:p>
        </w:tc>
        <w:tc>
          <w:tcPr>
            <w:tcW w:w="26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7240" w:type="dxa"/>
            <w:vAlign w:val="bottom"/>
          </w:tcPr>
          <w:p>
            <w:pPr>
              <w:jc w:val="center"/>
              <w:ind w:left="1370"/>
              <w:spacing w:after="0"/>
              <w:rPr>
                <w:sz w:val="20"/>
                <w:szCs w:val="20"/>
                <w:color w:val="auto"/>
              </w:rPr>
            </w:pPr>
            <w:r>
              <w:rPr>
                <w:rFonts w:ascii="Arial" w:cs="Arial" w:eastAsia="Arial" w:hAnsi="Arial"/>
                <w:sz w:val="18"/>
                <w:szCs w:val="18"/>
                <w:b w:val="1"/>
                <w:bCs w:val="1"/>
                <w:color w:val="auto"/>
                <w:w w:val="90"/>
              </w:rPr>
              <w:t>Pursuant to 17 C.F.R. Section 200.83</w:t>
            </w:r>
          </w:p>
        </w:tc>
        <w:tc>
          <w:tcPr>
            <w:tcW w:w="262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7240" w:type="dxa"/>
            <w:vAlign w:val="bottom"/>
          </w:tcPr>
          <w:p>
            <w:pPr>
              <w:jc w:val="center"/>
              <w:ind w:left="1370"/>
              <w:spacing w:after="0"/>
              <w:rPr>
                <w:sz w:val="20"/>
                <w:szCs w:val="20"/>
                <w:color w:val="auto"/>
              </w:rPr>
            </w:pPr>
            <w:r>
              <w:rPr>
                <w:rFonts w:ascii="Arial" w:cs="Arial" w:eastAsia="Arial" w:hAnsi="Arial"/>
                <w:sz w:val="18"/>
                <w:szCs w:val="18"/>
                <w:b w:val="1"/>
                <w:bCs w:val="1"/>
                <w:color w:val="auto"/>
              </w:rPr>
              <w:t>PRINCIPAL STOCKHOLDERS</w:t>
            </w:r>
          </w:p>
        </w:tc>
        <w:tc>
          <w:tcPr>
            <w:tcW w:w="2620" w:type="dxa"/>
            <w:vAlign w:val="bottom"/>
          </w:tcPr>
          <w:p>
            <w:pPr>
              <w:spacing w:after="0"/>
              <w:rPr>
                <w:sz w:val="24"/>
                <w:szCs w:val="24"/>
                <w:color w:val="auto"/>
              </w:rPr>
            </w:pPr>
          </w:p>
        </w:tc>
      </w:tr>
      <w:tr>
        <w:trPr>
          <w:trHeight w:val="418"/>
        </w:trPr>
        <w:tc>
          <w:tcPr>
            <w:tcW w:w="8600" w:type="dxa"/>
            <w:vAlign w:val="bottom"/>
            <w:gridSpan w:val="2"/>
          </w:tcPr>
          <w:p>
            <w:pPr>
              <w:ind w:left="640"/>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w:t>
            </w:r>
          </w:p>
        </w:tc>
        <w:tc>
          <w:tcPr>
            <w:tcW w:w="2620" w:type="dxa"/>
            <w:vAlign w:val="bottom"/>
          </w:tcPr>
          <w:p>
            <w:pPr>
              <w:ind w:left="80"/>
              <w:spacing w:after="0"/>
              <w:rPr>
                <w:sz w:val="20"/>
                <w:szCs w:val="20"/>
                <w:color w:val="auto"/>
              </w:rPr>
            </w:pPr>
            <w:r>
              <w:rPr>
                <w:rFonts w:ascii="Arial" w:cs="Arial" w:eastAsia="Arial" w:hAnsi="Arial"/>
                <w:sz w:val="18"/>
                <w:szCs w:val="18"/>
                <w:color w:val="auto"/>
                <w:w w:val="89"/>
              </w:rPr>
              <w:t>, 2019 (as adjusted to give effect to</w:t>
            </w:r>
          </w:p>
        </w:tc>
      </w:tr>
      <w:tr>
        <w:trPr>
          <w:trHeight w:val="230"/>
        </w:trPr>
        <w:tc>
          <w:tcPr>
            <w:tcW w:w="8600" w:type="dxa"/>
            <w:vAlign w:val="bottom"/>
            <w:gridSpan w:val="2"/>
          </w:tcPr>
          <w:p>
            <w:pPr>
              <w:ind w:left="200"/>
              <w:spacing w:after="0"/>
              <w:rPr>
                <w:sz w:val="20"/>
                <w:szCs w:val="20"/>
                <w:color w:val="auto"/>
              </w:rPr>
            </w:pPr>
            <w:r>
              <w:rPr>
                <w:rFonts w:ascii="Arial" w:cs="Arial" w:eastAsia="Arial" w:hAnsi="Arial"/>
                <w:sz w:val="18"/>
                <w:szCs w:val="18"/>
                <w:color w:val="auto"/>
              </w:rPr>
              <w:t>the Corporate Reorganization), by:</w:t>
            </w:r>
          </w:p>
        </w:tc>
        <w:tc>
          <w:tcPr>
            <w:tcW w:w="262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the directors and NEOs individually;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200" w:right="120" w:firstLine="441"/>
        <w:spacing w:after="0" w:line="274" w:lineRule="auto"/>
        <w:rPr>
          <w:sz w:val="20"/>
          <w:szCs w:val="20"/>
          <w:color w:val="auto"/>
        </w:rPr>
      </w:pPr>
      <w:r>
        <w:rPr>
          <w:rFonts w:ascii="Arial" w:cs="Arial" w:eastAsia="Arial" w:hAnsi="Arial"/>
          <w:sz w:val="17"/>
          <w:szCs w:val="17"/>
          <w:color w:val="auto"/>
        </w:rPr>
        <w:t>The number of shares of common stock outstanding after this offering includes shares of common stock being offered for sale by us in this offering, shares of common stock to be issued as part of the IPO Grants, and assumes no exercise of the underwriters’ option to purchase</w:t>
      </w:r>
    </w:p>
    <w:p>
      <w:pPr>
        <w:ind w:left="200" w:right="260"/>
        <w:spacing w:after="0" w:line="277" w:lineRule="auto"/>
        <w:rPr>
          <w:sz w:val="20"/>
          <w:szCs w:val="20"/>
          <w:color w:val="auto"/>
        </w:rPr>
      </w:pPr>
      <w:r>
        <w:rPr>
          <w:rFonts w:ascii="Arial" w:cs="Arial" w:eastAsia="Arial" w:hAnsi="Arial"/>
          <w:sz w:val="17"/>
          <w:szCs w:val="17"/>
          <w:color w:val="auto"/>
        </w:rPr>
        <w:t>additional shares. Unless otherwise indicated, the address for each listed stockholder is: c/o Reynolds Consumer Products Inc., 1900 W. Field Court, Lake Forest, Illinois, 60045. To our knowledge, except as indicated in the footnotes to this table and pursuant to applicable community property laws, the persons named in the table have sole voting and investment power with respect to all shares of common stock.</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center"/>
              <w:ind w:right="208"/>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92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Beneficially Owned Before</w:t>
            </w:r>
          </w:p>
        </w:tc>
        <w:tc>
          <w:tcPr>
            <w:tcW w:w="182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0" w:type="dxa"/>
            <w:vAlign w:val="bottom"/>
            <w:tcBorders>
              <w:bottom w:val="single" w:sz="8" w:color="auto"/>
            </w:tcBorders>
            <w:gridSpan w:val="2"/>
          </w:tcPr>
          <w:p>
            <w:pPr>
              <w:jc w:val="center"/>
              <w:ind w:left="478"/>
              <w:spacing w:after="0"/>
              <w:rPr>
                <w:sz w:val="20"/>
                <w:szCs w:val="20"/>
                <w:color w:val="auto"/>
              </w:rPr>
            </w:pPr>
            <w:r>
              <w:rPr>
                <w:rFonts w:ascii="Arial" w:cs="Arial" w:eastAsia="Arial" w:hAnsi="Arial"/>
                <w:sz w:val="14"/>
                <w:szCs w:val="14"/>
                <w:b w:val="1"/>
                <w:bCs w:val="1"/>
                <w:color w:val="auto"/>
                <w:w w:val="96"/>
              </w:rPr>
              <w:t>This Offering</w:t>
            </w:r>
          </w:p>
        </w:tc>
        <w:tc>
          <w:tcPr>
            <w:tcW w:w="5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6"/>
              </w:rPr>
              <w:t>This Offering</w:t>
            </w:r>
            <w:r>
              <w:rPr>
                <w:rFonts w:ascii="Arial" w:cs="Arial" w:eastAsia="Arial" w:hAnsi="Arial"/>
                <w:sz w:val="12"/>
                <w:szCs w:val="12"/>
                <w:b w:val="1"/>
                <w:bCs w:val="1"/>
                <w:color w:val="auto"/>
                <w:w w:val="96"/>
              </w:rPr>
              <w:t>(1)</w:t>
            </w: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2280" w:type="dxa"/>
            <w:vAlign w:val="bottom"/>
          </w:tcPr>
          <w:p>
            <w:pPr>
              <w:spacing w:after="0"/>
              <w:rPr>
                <w:sz w:val="12"/>
                <w:szCs w:val="12"/>
                <w:color w:val="auto"/>
              </w:rPr>
            </w:pPr>
          </w:p>
        </w:tc>
        <w:tc>
          <w:tcPr>
            <w:tcW w:w="1600" w:type="dxa"/>
            <w:vAlign w:val="bottom"/>
            <w:tcBorders>
              <w:bottom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w w:val="97"/>
              </w:rPr>
              <w:t>Common Stock</w:t>
            </w:r>
          </w:p>
        </w:tc>
        <w:tc>
          <w:tcPr>
            <w:tcW w:w="5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3720" w:type="dxa"/>
            <w:vAlign w:val="bottom"/>
            <w:gridSpan w:val="3"/>
            <w:vMerge w:val="continue"/>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228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6"/>
                <w:szCs w:val="16"/>
                <w:color w:val="auto"/>
              </w:rPr>
            </w:pPr>
          </w:p>
        </w:tc>
        <w:tc>
          <w:tcPr>
            <w:tcW w:w="1820" w:type="dxa"/>
            <w:vAlign w:val="bottom"/>
            <w:gridSpan w:val="3"/>
          </w:tcPr>
          <w:p>
            <w:pPr>
              <w:ind w:left="22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w w:val="89"/>
              </w:rPr>
              <w:t>5% Stockholders</w:t>
            </w:r>
          </w:p>
        </w:tc>
        <w:tc>
          <w:tcPr>
            <w:tcW w:w="238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PFL</w:t>
            </w:r>
            <w:r>
              <w:rPr>
                <w:rFonts w:ascii="Arial" w:cs="Arial" w:eastAsia="Arial" w:hAnsi="Arial"/>
                <w:sz w:val="15"/>
                <w:szCs w:val="15"/>
                <w:color w:val="auto"/>
              </w:rPr>
              <w:t>(2)</w:t>
            </w:r>
          </w:p>
        </w:tc>
        <w:tc>
          <w:tcPr>
            <w:tcW w:w="2280" w:type="dxa"/>
            <w:vAlign w:val="bottom"/>
          </w:tcPr>
          <w:p>
            <w:pPr>
              <w:spacing w:after="0"/>
              <w:rPr>
                <w:sz w:val="18"/>
                <w:szCs w:val="18"/>
                <w:color w:val="auto"/>
              </w:rPr>
            </w:pP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2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Lance Mitchell</w:t>
            </w:r>
          </w:p>
        </w:tc>
        <w:tc>
          <w:tcPr>
            <w:tcW w:w="2280" w:type="dxa"/>
            <w:vAlign w:val="bottom"/>
          </w:tcPr>
          <w:p>
            <w:pPr>
              <w:spacing w:after="0"/>
              <w:rPr>
                <w:sz w:val="18"/>
                <w:szCs w:val="18"/>
                <w:color w:val="auto"/>
              </w:rPr>
            </w:pP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Michael Graham</w:t>
            </w:r>
          </w:p>
        </w:tc>
        <w:tc>
          <w:tcPr>
            <w:tcW w:w="2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David Bryla</w:t>
            </w: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Stephan Pace</w:t>
            </w:r>
          </w:p>
        </w:tc>
        <w:tc>
          <w:tcPr>
            <w:tcW w:w="2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Craig Cappel</w:t>
            </w:r>
          </w:p>
        </w:tc>
        <w:tc>
          <w:tcPr>
            <w:tcW w:w="2280" w:type="dxa"/>
            <w:vAlign w:val="bottom"/>
          </w:tcPr>
          <w:p>
            <w:pPr>
              <w:spacing w:after="0"/>
              <w:rPr>
                <w:sz w:val="18"/>
                <w:szCs w:val="18"/>
                <w:color w:val="auto"/>
              </w:rPr>
            </w:pP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2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0"/>
              </w:rPr>
              <w:t>All executive officers and directors as a group (</w:t>
            </w:r>
          </w:p>
        </w:tc>
        <w:tc>
          <w:tcPr>
            <w:tcW w:w="388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persons)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 See “Underwriting.”</w:t>
      </w:r>
    </w:p>
    <w:p>
      <w:pPr>
        <w:spacing w:after="0" w:line="23" w:lineRule="exact"/>
        <w:rPr>
          <w:rFonts w:ascii="Arial" w:cs="Arial" w:eastAsia="Arial" w:hAnsi="Arial"/>
          <w:sz w:val="18"/>
          <w:szCs w:val="18"/>
          <w:color w:val="auto"/>
        </w:rPr>
      </w:pPr>
    </w:p>
    <w:p>
      <w:pPr>
        <w:ind w:left="640" w:right="240" w:hanging="436"/>
        <w:spacing w:after="0" w:line="261"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PFL is a direct wholly-owned subsidiary of PHL, which is wholly-owned by Mr. Graeme Hart. The principal business address of PFL, PHL and Mr. Graeme Hart is c/o Rank Group Limited, Floor 9, 148 Quay Street, Auckland, 1010 New Zealand.</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240" w:top="446"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following descriptions are summaries of the material terms of our amended and restated certificate of incorporation and amended and restated bylaws. Reference is made to the more detailed provisions of, and the descriptions are qualified in their entirety by reference to, these documents, copies of which will be filed with the SEC as exhibits to the registration statement of which this prospectus is a part, and applicable law.</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and bylaws will provide for one class of common stock. In addition, our amended and restated certificate of incorporation and amended and restated bylaws will authorize shares of undesignated preferred stock, the rights, preferences and privileges of which may be designated from time to time by our board of directors.</w:t>
      </w:r>
    </w:p>
    <w:p>
      <w:pPr>
        <w:sectPr>
          <w:pgSz w:w="11900" w:h="16838" w:orient="portrait"/>
          <w:cols w:equalWidth="0" w:num="1">
            <w:col w:w="11220"/>
          </w:cols>
          <w:pgMar w:left="240" w:top="459" w:right="439" w:bottom="1440" w:gutter="0" w:footer="0" w:header="0"/>
        </w:sectPr>
      </w:pPr>
    </w:p>
    <w:p>
      <w:pPr>
        <w:spacing w:after="0" w:line="382" w:lineRule="exact"/>
        <w:rPr>
          <w:sz w:val="20"/>
          <w:szCs w:val="20"/>
          <w:color w:val="auto"/>
        </w:rPr>
      </w:pPr>
    </w:p>
    <w:p>
      <w:pPr>
        <w:jc w:val="center"/>
        <w:ind w:left="10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80" w:hanging="628"/>
        <w:spacing w:after="0" w:line="308" w:lineRule="auto"/>
        <w:rPr>
          <w:sz w:val="20"/>
          <w:szCs w:val="20"/>
          <w:color w:val="auto"/>
        </w:rPr>
      </w:pPr>
      <w:r>
        <w:rPr>
          <w:rFonts w:ascii="Arial" w:cs="Arial" w:eastAsia="Arial" w:hAnsi="Arial"/>
          <w:sz w:val="17"/>
          <w:szCs w:val="17"/>
          <w:color w:val="auto"/>
        </w:rPr>
        <w:t>Following the closing this offering, our authorized capital stock will consist of shares of preferred stock, par value $0.001 per share.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par value $0.001 per share</w:t>
      </w:r>
    </w:p>
    <w:p>
      <w:pPr>
        <w:spacing w:after="0" w:line="517" w:lineRule="exact"/>
        <w:rPr>
          <w:sz w:val="20"/>
          <w:szCs w:val="20"/>
          <w:color w:val="auto"/>
        </w:rPr>
      </w:pPr>
    </w:p>
    <w:p>
      <w:pPr>
        <w:sectPr>
          <w:pgSz w:w="11900" w:h="16838" w:orient="portrait"/>
          <w:cols w:equalWidth="0" w:num="3">
            <w:col w:w="560" w:space="720"/>
            <w:col w:w="5100" w:space="720"/>
            <w:col w:w="4120"/>
          </w:cols>
          <w:pgMar w:left="240" w:top="459" w:right="439" w:bottom="1440" w:gutter="0" w:footer="0" w:header="0"/>
          <w:type w:val="continuous"/>
        </w:sectPr>
      </w:pPr>
    </w:p>
    <w:p>
      <w:pPr>
        <w:spacing w:after="0" w:line="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160" w:firstLine="441"/>
        <w:spacing w:after="0" w:line="274" w:lineRule="auto"/>
        <w:rPr>
          <w:sz w:val="20"/>
          <w:szCs w:val="20"/>
          <w:color w:val="auto"/>
        </w:rPr>
      </w:pPr>
      <w:r>
        <w:rPr>
          <w:rFonts w:ascii="Arial" w:cs="Arial" w:eastAsia="Arial" w:hAnsi="Arial"/>
          <w:sz w:val="17"/>
          <w:szCs w:val="17"/>
          <w:i w:val="1"/>
          <w:iCs w:val="1"/>
          <w:color w:val="auto"/>
        </w:rPr>
        <w:t xml:space="preserve">Common stock outstanding. </w:t>
      </w:r>
      <w:r>
        <w:rPr>
          <w:rFonts w:ascii="Arial" w:cs="Arial" w:eastAsia="Arial" w:hAnsi="Arial"/>
          <w:sz w:val="17"/>
          <w:szCs w:val="17"/>
          <w:color w:val="auto"/>
        </w:rPr>
        <w:t>Prior to the closing of this offering (after giving effect to the Corporate Reorganization) there were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common stock outstanding. Upon closing of this offering, there will be shares of common stock outstanding, assuming no exercise of the</w:t>
      </w:r>
    </w:p>
    <w:p>
      <w:pPr>
        <w:sectPr>
          <w:pgSz w:w="11900" w:h="16838" w:orient="portrait"/>
          <w:cols w:equalWidth="0" w:num="1">
            <w:col w:w="11220"/>
          </w:cols>
          <w:pgMar w:left="240" w:top="459" w:right="439" w:bottom="1440" w:gutter="0" w:footer="0" w:header="0"/>
          <w:type w:val="continuous"/>
        </w:sectPr>
      </w:pPr>
    </w:p>
    <w:p>
      <w:pPr>
        <w:ind w:left="200" w:right="180"/>
        <w:spacing w:after="0" w:line="255" w:lineRule="auto"/>
        <w:rPr>
          <w:sz w:val="20"/>
          <w:szCs w:val="20"/>
          <w:color w:val="auto"/>
        </w:rPr>
      </w:pPr>
      <w:r>
        <w:rPr>
          <w:rFonts w:ascii="Arial" w:cs="Arial" w:eastAsia="Arial" w:hAnsi="Arial"/>
          <w:sz w:val="18"/>
          <w:szCs w:val="18"/>
          <w:color w:val="auto"/>
        </w:rPr>
        <w:t>underwriters’ option to purchase additional shares, after giving effect to the sale of the shares of common stock offered hereby and the IPO Grants. All outstanding shares of common stock are fully paid and non-assessable, and the shares of common stock to be issued upon the closing of this offering will be fully paid and non-assessable.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holders of our common stock are entitled to one vote per share on all matters to be voted upon by the stockholders.</w:t>
      </w:r>
    </w:p>
    <w:p>
      <w:pPr>
        <w:spacing w:after="0" w:line="23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Holders of shares of our common stock are entitled to receive dividends when, as and if declared by our board of directors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legally available therefor, subject to preferences that may be applicable to any outstanding preferred stock. See “Dividend Policy.”</w:t>
      </w:r>
    </w:p>
    <w:p>
      <w:pPr>
        <w:spacing w:after="0" w:line="14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In the event of liquidation, dissolution or winding up of the Company, the holders of common stock will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identically and ratably in all assets remaining after the payment of any liabilities, liquidation preferences and accrued or declared but unpaid dividends, if any, with respect to any outstanding preferred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Other rights. </w:t>
      </w:r>
      <w:r>
        <w:rPr>
          <w:rFonts w:ascii="Arial" w:cs="Arial" w:eastAsia="Arial" w:hAnsi="Arial"/>
          <w:sz w:val="17"/>
          <w:szCs w:val="17"/>
          <w:color w:val="auto"/>
        </w:rPr>
        <w:t>Our common stock is not entitled to preemptive rights and is not subject to conversion, redemption or sinking fund provisions.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Our board of directors has the authority to issue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the Company without further action by the stockholders and may adversely affect the voting and other rights of the holders of common stock. At present, we have no plans to issue any of the preferred stock.</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board of directors will consist of between five and eleven directors. The exact number of directors will be fixed from time to time by resolution of the board. Upon the closing of this offering, our board of directors will consist of seven directors. No director may be removed except for cause, and directors may be removed for cause by an affirmative vote of shares representing a majority of the shares then entitled to vote at an election of directors. Any vacancy occurring on the board of directors and any newly created directorship may be filled only by a board resolution approved by a majority of the remaining directors in office.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Staggered Board</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our board of directors will be divided into three classes serving staggered three-year terms. Class I, Class II and Class III directors will serve until our annual meetings of stockholders</w:t>
      </w:r>
    </w:p>
    <w:p>
      <w:pPr>
        <w:ind w:left="200"/>
        <w:spacing w:after="0" w:line="252" w:lineRule="auto"/>
        <w:rPr>
          <w:sz w:val="20"/>
          <w:szCs w:val="20"/>
          <w:color w:val="auto"/>
        </w:rPr>
      </w:pPr>
      <w:r>
        <w:rPr>
          <w:rFonts w:ascii="Arial" w:cs="Arial" w:eastAsia="Arial" w:hAnsi="Arial"/>
          <w:sz w:val="18"/>
          <w:szCs w:val="18"/>
          <w:color w:val="auto"/>
        </w:rPr>
        <w:t>in , and ,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be necessary for stockholders to effect a change in a majority of the members of our board of directors. An election of the directors shall be determined by a plurality of votes cast by the stockholders entitled to vote on the election. The holders of our common stock are not entitled to cumulative voting rights with respect to the election of directors.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Limits on Written Consents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from and after the date on which PFL (together with all other entities beneficially owned by Mr. Graeme Hart and his heirs) no longer beneficially owns more than 50% of the voting power of our outstanding common stock, holders of our common stock will not be able to act by written consent without a meeting, unless such consent is unanimous.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special meetings of our stockholders may be called only by our Chief Executive Officer, the chairman of our board of directors, a majority of the directors, or stockholders holding 50% of the voting power of our outstanding common stock (which ability of stockholders to call special meetings will terminate once PFL (together with all other entities beneficially owned by Mr. Graeme Hart and his heirs) beneficially owns less than 50% of the voting power of our outstanding common stock). Our amended and restated certificate of incorporation and our amended and restated bylaws will specifically deny any power of any other person to call a special meeting.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121" w:lineRule="exact"/>
        <w:rPr>
          <w:sz w:val="20"/>
          <w:szCs w:val="20"/>
          <w:color w:val="auto"/>
        </w:rPr>
      </w:pPr>
    </w:p>
    <w:p>
      <w:pPr>
        <w:ind w:left="200" w:right="360" w:firstLine="441"/>
        <w:spacing w:after="0" w:line="273" w:lineRule="auto"/>
        <w:rPr>
          <w:sz w:val="20"/>
          <w:szCs w:val="20"/>
          <w:color w:val="auto"/>
        </w:rPr>
      </w:pPr>
      <w:r>
        <w:rPr>
          <w:rFonts w:ascii="Arial" w:cs="Arial" w:eastAsia="Arial" w:hAnsi="Arial"/>
          <w:sz w:val="17"/>
          <w:szCs w:val="17"/>
          <w:color w:val="auto"/>
        </w:rPr>
        <w:t>The provisions of our amended and restated certificate of incorporation may be amended only by the affirmative vote of holders of at least a majority of the voting power of our outstanding shares of voting stock, for as long as PFL (together with all other entities beneficially owned by Mr. Graeme Hart and his heirs) beneficially owns more than 50% of the voting power of our outstanding common stock. From and after the date on which PFL (together with all other entities beneficially owned by Mr. Graeme Hart and his heirs) no longer beneficially owns more than 50% of the voting power of our outstanding common stock, the affirmative vote of holders of at least 66</w:t>
      </w:r>
      <w:r>
        <w:rPr>
          <w:rFonts w:ascii="Arial" w:cs="Arial" w:eastAsia="Arial" w:hAnsi="Arial"/>
          <w:sz w:val="14"/>
          <w:szCs w:val="14"/>
          <w:color w:val="auto"/>
        </w:rPr>
        <w:t>2/3</w:t>
      </w:r>
      <w:r>
        <w:rPr>
          <w:rFonts w:ascii="Arial" w:cs="Arial" w:eastAsia="Arial" w:hAnsi="Arial"/>
          <w:sz w:val="17"/>
          <w:szCs w:val="17"/>
          <w:color w:val="auto"/>
        </w:rPr>
        <w:t>% of the voting power of our outstanding shares of common stock will be required to amend provisions of our amended and restated certificate of incorporation.</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of Bylaws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bylaws may generally be altered, amended or repealed, and new bylaws may be adopted, with:</w:t>
      </w:r>
    </w:p>
    <w:p>
      <w:pPr>
        <w:spacing w:after="0" w:line="131" w:lineRule="exact"/>
        <w:rPr>
          <w:sz w:val="20"/>
          <w:szCs w:val="20"/>
          <w:color w:val="auto"/>
        </w:rPr>
      </w:pPr>
    </w:p>
    <w:p>
      <w:pPr>
        <w:ind w:left="1180" w:hanging="436"/>
        <w:spacing w:after="0"/>
        <w:tabs>
          <w:tab w:leader="none" w:pos="1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affirmative vote of a majority of directors present at any regular or special meeting of the board of directors called for that purpose; or</w:t>
      </w:r>
    </w:p>
    <w:p>
      <w:pPr>
        <w:spacing w:after="0" w:line="153" w:lineRule="exact"/>
        <w:rPr>
          <w:rFonts w:ascii="Arial" w:cs="Arial" w:eastAsia="Arial" w:hAnsi="Arial"/>
          <w:sz w:val="16"/>
          <w:szCs w:val="16"/>
          <w:color w:val="auto"/>
        </w:rPr>
      </w:pPr>
    </w:p>
    <w:p>
      <w:pPr>
        <w:ind w:left="1180" w:right="300" w:hanging="436"/>
        <w:spacing w:after="0" w:line="255"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affirmative vote of holders of at least a majority of the voting power of our outstanding shares of voting stock for as long as PFL (together with all other entities beneficially owned by Mr. Graeme Hart and his heirs) beneficially owns more than 50% of the voting power of our outstanding common stock. From and after the date on which PFL (together with all other entities beneficially owned by Mr. Graeme Hart and his heirs) no longer beneficially owns more than 50% of the voting power of our outstanding common stock, the affirmative vote of holders of at least 66</w:t>
      </w:r>
      <w:r>
        <w:rPr>
          <w:rFonts w:ascii="Arial" w:cs="Arial" w:eastAsia="Arial" w:hAnsi="Arial"/>
          <w:sz w:val="15"/>
          <w:szCs w:val="15"/>
          <w:color w:val="auto"/>
        </w:rPr>
        <w:t>2/3</w:t>
      </w:r>
      <w:r>
        <w:rPr>
          <w:rFonts w:ascii="Arial" w:cs="Arial" w:eastAsia="Arial" w:hAnsi="Arial"/>
          <w:sz w:val="18"/>
          <w:szCs w:val="18"/>
          <w:color w:val="auto"/>
        </w:rPr>
        <w:t>% of the voting power of our outstanding shares of common stock will be required to amend provisions of our bylaws.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amended and restated bylaws will also impose some procedural requirements on stockholders who wish to:</w:t>
      </w:r>
    </w:p>
    <w:p>
      <w:pPr>
        <w:spacing w:after="0" w:line="131" w:lineRule="exact"/>
        <w:rPr>
          <w:sz w:val="20"/>
          <w:szCs w:val="20"/>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propose any repeal or change in our bylaws;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225"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52" w:lineRule="exact"/>
        <w:rPr>
          <w:sz w:val="20"/>
          <w:szCs w:val="20"/>
          <w:color w:val="auto"/>
        </w:rPr>
      </w:pPr>
    </w:p>
    <w:p>
      <w:pPr>
        <w:ind w:left="1180" w:hanging="436"/>
        <w:spacing w:after="0"/>
        <w:tabs>
          <w:tab w:leader="none" w:pos="1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description of the business or nomination to be brought before the meeting and the reasons for conducting such business at the meeting;</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 and</w:t>
      </w:r>
    </w:p>
    <w:p>
      <w:pPr>
        <w:spacing w:after="0" w:line="130" w:lineRule="exact"/>
        <w:rPr>
          <w:rFonts w:ascii="Arial" w:cs="Arial" w:eastAsia="Arial" w:hAnsi="Arial"/>
          <w:sz w:val="18"/>
          <w:szCs w:val="18"/>
          <w:color w:val="auto"/>
        </w:rPr>
      </w:pPr>
    </w:p>
    <w:p>
      <w:pPr>
        <w:ind w:left="1180" w:right="8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31" w:lineRule="exact"/>
        <w:rPr>
          <w:sz w:val="20"/>
          <w:szCs w:val="20"/>
          <w:color w:val="auto"/>
        </w:rPr>
      </w:pPr>
    </w:p>
    <w:p>
      <w:pPr>
        <w:ind w:left="1180" w:hanging="436"/>
        <w:spacing w:after="0" w:line="276" w:lineRule="auto"/>
        <w:tabs>
          <w:tab w:leader="none" w:pos="11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connection with an annual meeting of stockholders, not less than 120 nor more than 180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not later than the close of business on the later of (1) the 120th day prior to the annual meeting and (2) the 10th day following the day on which we first publicly announce the date of the annual meeting; or</w:t>
      </w:r>
    </w:p>
    <w:p>
      <w:pPr>
        <w:spacing w:after="0" w:line="77" w:lineRule="exact"/>
        <w:rPr>
          <w:rFonts w:ascii="Arial" w:cs="Arial" w:eastAsia="Arial" w:hAnsi="Arial"/>
          <w:sz w:val="17"/>
          <w:szCs w:val="17"/>
          <w:color w:val="auto"/>
        </w:rPr>
      </w:pPr>
    </w:p>
    <w:p>
      <w:pPr>
        <w:ind w:left="1180" w:right="20" w:hanging="436"/>
        <w:spacing w:after="0" w:line="264"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not less than 40 nor more than 60 days prior to the date of the special meeting, but in the event that less than 55 days’ notice or prior public disclosure of the date of the special meeting of the stockholders is given or made</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right="100"/>
        <w:spacing w:after="0" w:line="342" w:lineRule="auto"/>
        <w:rPr>
          <w:sz w:val="20"/>
          <w:szCs w:val="20"/>
          <w:color w:val="auto"/>
        </w:rPr>
      </w:pPr>
      <w:r>
        <w:rPr>
          <w:rFonts w:ascii="Arial" w:cs="Arial" w:eastAsia="Arial" w:hAnsi="Arial"/>
          <w:sz w:val="16"/>
          <w:szCs w:val="16"/>
          <w:color w:val="auto"/>
        </w:rPr>
        <w:t>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pacing w:after="0" w:line="124"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order to submit a nomination for our board of directors, a stockholder must also submit any information with respect to the nominee that we would be required to include in a proxy statement, as well as certain other information. If a stockholder fails to follow the required procedures, the stockholder’s proposal or nominee will be ineligible and will not be voted on by our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provide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87" w:lineRule="exact"/>
        <w:rPr>
          <w:sz w:val="20"/>
          <w:szCs w:val="20"/>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30"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amended and restated bylaws will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this provision will not reduce our indemnification obligations relating to actions taken before an amendment.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Chancery of the State of Delaware will, to the fullest extent permitted by applicable law, be the sole and exclusive forum for:</w:t>
      </w:r>
    </w:p>
    <w:p>
      <w:pPr>
        <w:spacing w:after="0" w:line="116" w:lineRule="exact"/>
        <w:rPr>
          <w:sz w:val="20"/>
          <w:szCs w:val="20"/>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of our directors, officers or other employees or our stockholders;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225" w:lineRule="exact"/>
        <w:rPr>
          <w:sz w:val="20"/>
          <w:szCs w:val="20"/>
          <w:color w:val="auto"/>
        </w:rPr>
      </w:pPr>
    </w:p>
    <w:p>
      <w:pPr>
        <w:jc w:val="center"/>
        <w:ind w:left="480" w:right="400"/>
        <w:spacing w:after="0" w:line="449" w:lineRule="auto"/>
        <w:rPr>
          <w:sz w:val="20"/>
          <w:szCs w:val="20"/>
          <w:color w:val="auto"/>
        </w:rPr>
      </w:pPr>
      <w:r>
        <w:rPr>
          <w:rFonts w:ascii="Arial" w:cs="Arial" w:eastAsia="Arial" w:hAnsi="Arial"/>
          <w:sz w:val="18"/>
          <w:szCs w:val="18"/>
          <w:color w:val="auto"/>
        </w:rPr>
        <w:t>In each such case subject to such Court of Chancery having personal jurisdiction over the indispensable parties named as defendants therein. 137</w:t>
      </w:r>
    </w:p>
    <w:p>
      <w:pPr>
        <w:sectPr>
          <w:pgSz w:w="11900" w:h="16838" w:orient="portrait"/>
          <w:cols w:equalWidth="0" w:num="1">
            <w:col w:w="11160"/>
          </w:cols>
          <w:pgMar w:left="24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shares of our capital stock shall be deemed to have notice of and consented to the foregoing forum selection provisions.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amended and restated certificate of incorporation is inapplicable or unenforceable.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will elect to be subject to Section 203 of the Delaware General Corporation Law, which regulates corporate acquisitions.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92" w:lineRule="exact"/>
        <w:rPr>
          <w:sz w:val="20"/>
          <w:szCs w:val="20"/>
          <w:color w:val="auto"/>
        </w:rPr>
      </w:pPr>
    </w:p>
    <w:p>
      <w:pPr>
        <w:ind w:left="1180" w:right="32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stockholder’s becoming an interested stockholder;</w:t>
      </w:r>
    </w:p>
    <w:p>
      <w:pPr>
        <w:spacing w:after="0" w:line="75"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the closing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29" w:lineRule="exact"/>
        <w:rPr>
          <w:rFonts w:ascii="Arial" w:cs="Arial" w:eastAsia="Arial" w:hAnsi="Arial"/>
          <w:sz w:val="16"/>
          <w:szCs w:val="16"/>
          <w:color w:val="auto"/>
        </w:rPr>
      </w:pPr>
    </w:p>
    <w:p>
      <w:pPr>
        <w:ind w:left="1180" w:right="360" w:hanging="436"/>
        <w:spacing w:after="0" w:line="34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12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9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which our stockholders may otherwise deem to be in their best interests.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Some Provisions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Some provisions of our amended and restated certificate of incorporation and amended and restated bylaws could make the following more difficult:</w:t>
      </w:r>
    </w:p>
    <w:p>
      <w:pPr>
        <w:spacing w:after="0" w:line="76" w:lineRule="exact"/>
        <w:rPr>
          <w:sz w:val="20"/>
          <w:szCs w:val="20"/>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These provisions, as well as our ability to issue preferred stock, are designed to discourage coercive takeover practices and inadequate takeover bids. These provisions are also designed to encourage persons</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tabs>
          <w:tab w:leader="none" w:pos="5020" w:val="left"/>
        </w:tabs>
        <w:rPr>
          <w:sz w:val="20"/>
          <w:szCs w:val="20"/>
          <w:color w:val="auto"/>
        </w:rPr>
      </w:pPr>
      <w:r>
        <w:rPr>
          <w:rFonts w:ascii="Arial" w:cs="Arial" w:eastAsia="Arial" w:hAnsi="Arial"/>
          <w:sz w:val="18"/>
          <w:szCs w:val="18"/>
          <w:color w:val="auto"/>
        </w:rPr>
        <w:t>We intend to apply to list our common stock on the</w:t>
      </w:r>
      <w:r>
        <w:rPr>
          <w:sz w:val="20"/>
          <w:szCs w:val="20"/>
          <w:color w:val="auto"/>
        </w:rPr>
        <w:tab/>
      </w:r>
      <w:r>
        <w:rPr>
          <w:rFonts w:ascii="Arial" w:cs="Arial" w:eastAsia="Arial" w:hAnsi="Arial"/>
          <w:sz w:val="17"/>
          <w:szCs w:val="17"/>
          <w:color w:val="auto"/>
        </w:rPr>
        <w:t>under the symbol “REYN.”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tabs>
          <w:tab w:leader="none" w:pos="5440" w:val="left"/>
        </w:tabs>
        <w:rPr>
          <w:sz w:val="20"/>
          <w:szCs w:val="20"/>
          <w:color w:val="auto"/>
        </w:rPr>
      </w:pPr>
      <w:r>
        <w:rPr>
          <w:rFonts w:ascii="Arial" w:cs="Arial" w:eastAsia="Arial" w:hAnsi="Arial"/>
          <w:sz w:val="18"/>
          <w:szCs w:val="18"/>
          <w:color w:val="auto"/>
        </w:rPr>
        <w:t>The transfer agent and registrar for the common stock is</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40"/>
          </w:cols>
          <w:pgMar w:left="240" w:top="460" w:right="6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following are the material U.S. federal income and estate tax consequences of the ownership and disposition of our common stock acquired in this offering by a “Non-U.S. Holder” that does not own, and has not owned, actually or constructively, more than 5% of our common stock. You are a Non-U.S. Holder if for U.S. federal income tax purposes you are a beneficial owner of our common stock that is:</w:t>
      </w:r>
    </w:p>
    <w:p>
      <w:pPr>
        <w:spacing w:after="0" w:line="71" w:lineRule="exact"/>
        <w:rPr>
          <w:sz w:val="20"/>
          <w:szCs w:val="20"/>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You are not a Non-U.S. Holder if you are a nonresident alien individual present in the United States for 183 days or more in the taxable year of disposition, or if you are a former citizen or former resident of the United States for U.S. federal income tax purposes. If you are such a person, you should consult your tax adviser regarding the U.S. federal income tax consequences of the ownership and disposition of our common stock.</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a partner will generally depend on the status of the partner and your activities.</w:t>
      </w:r>
    </w:p>
    <w:p>
      <w:pPr>
        <w:spacing w:after="0" w:line="17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discussion is based on the Code, administrative pronouncements, judicial decisions and final, temporary and proposed Treasury regulations, changes to any of which subsequent to the date of this prospectus may affect the tax consequences described herein, possibly with retroactive effect. This discussion does not describe all of the tax consequences that may be relevant to you in light of your particular circumstances, including alternative minimum tax and Medicare contribution tax consequences and does not address any aspect of state, local or non-U.S. taxation, or any taxes other than income and estate taxes. You should consult your tax adviser with regard to the application of the U.S. federal tax laws to your particular situation, as well as any tax consequences arising under the laws of any state, local or non-U.S. taxing jurisdiction.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Distributions of cash or other property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your basis in our common stock, but not below zero, and then will be treated as gain from the sale of our common stock, as described below under “—Gain on Disposition of Our Common Stock.”</w:t>
      </w:r>
    </w:p>
    <w:p>
      <w:pPr>
        <w:spacing w:after="0" w:line="154"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Dividends paid to you generally will be subject to withholding tax at a 30% rate or a reduced rate specified by an applicable income tax treaty. In order to obtain a reduced rate of withholding (subject to the discussion below under “—FATCA”), you will be required to provide a properly executed applicable IRS Form W-8 certifying your entitlement to benefits under a treaty.</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dividends paid to you are effectively connected with your conduct of a trade or business in the United States (and, if required by an applicable income tax treaty, are attributable to a permanent establishment or fixed base maintained by you in the United States), you will generally be taxed on the dividends in the same manner as a U.S. person. In this case, you will be exempt from the withholding tax discussed in the preceding paragraph, although you will be required to provide a properly executed IRS Form W-8ECI in order to claim an exemption from withholding. You should consult your tax adviser with respect to other U.S. tax consequences of the ownership and disposition of our common stock, including the possible imposition of a branch profits tax at a rate of 30% (or a lower treaty rate) if you are a corporation.</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discussions below under “—Information Reporting and Backup Withholding” and “—FATCA,” you generally will not be subject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federal income or withholding tax on gain realized on a sale or other taxable disposition of our common stock unless:</w:t>
      </w:r>
    </w:p>
    <w:p>
      <w:pPr>
        <w:spacing w:after="0" w:line="116" w:lineRule="exact"/>
        <w:rPr>
          <w:sz w:val="20"/>
          <w:szCs w:val="20"/>
          <w:color w:val="auto"/>
        </w:rPr>
      </w:pPr>
    </w:p>
    <w:p>
      <w:pPr>
        <w:ind w:left="1180" w:right="40" w:hanging="436"/>
        <w:spacing w:after="0" w:line="308" w:lineRule="auto"/>
        <w:tabs>
          <w:tab w:leader="none" w:pos="1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trade or business in the United States (and, if required by an applicable income tax treaty, is attributable to a permanent establishment or fixed base maintained by you in the United States), or</w:t>
      </w:r>
    </w:p>
    <w:p>
      <w:pPr>
        <w:spacing w:after="0" w:line="51" w:lineRule="exact"/>
        <w:rPr>
          <w:rFonts w:ascii="Arial" w:cs="Arial" w:eastAsia="Arial" w:hAnsi="Arial"/>
          <w:sz w:val="17"/>
          <w:szCs w:val="17"/>
          <w:color w:val="auto"/>
        </w:rPr>
      </w:pPr>
    </w:p>
    <w:p>
      <w:pPr>
        <w:ind w:left="1180" w:right="140" w:hanging="436"/>
        <w:spacing w:after="0" w:line="312" w:lineRule="auto"/>
        <w:tabs>
          <w:tab w:leader="none" w:pos="1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as defined in the Code, at any time within the five-year period preceding the disposition or your holding period, whichever period is shorter, and our common stock has ceased to be regularly traded on an established securities market prior to the beginning of the calendar year in which the sale or disposition occurs.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are not, and do not anticipate becoming, a United States real property holding corporation.</w:t>
      </w:r>
    </w:p>
    <w:p>
      <w:pPr>
        <w:spacing w:after="0" w:line="225" w:lineRule="exact"/>
        <w:rPr>
          <w:sz w:val="20"/>
          <w:szCs w:val="20"/>
          <w:color w:val="auto"/>
        </w:rPr>
      </w:pPr>
    </w:p>
    <w:p>
      <w:pPr>
        <w:jc w:val="both"/>
        <w:ind w:left="200" w:right="60" w:firstLine="441"/>
        <w:spacing w:after="0" w:line="257" w:lineRule="auto"/>
        <w:rPr>
          <w:sz w:val="20"/>
          <w:szCs w:val="20"/>
          <w:color w:val="auto"/>
        </w:rPr>
      </w:pPr>
      <w:r>
        <w:rPr>
          <w:rFonts w:ascii="Arial" w:cs="Arial" w:eastAsia="Arial" w:hAnsi="Arial"/>
          <w:sz w:val="18"/>
          <w:szCs w:val="18"/>
          <w:color w:val="auto"/>
        </w:rPr>
        <w:t>If you recognize gain on a sale or other disposition of our common stock that is effectively connected with your conduct of a trade or business in the United States (and if required by an applicable income tax treaty, is attributable to a permanent establishment or fixed base maintained by you in the United States), you will generally be taxed on such gain in the same manner as a U.S. person. You should consult your tax adviser with respect to other U.S. tax consequences of the ownership and disposition of our common stock, including the possible imposition of a branch profits tax at a rate of 30% (or a lower treaty rate) if you are a corporation.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Information returns are required to be filed with the IRS in connection with payments of dividends on our common stock. Unless you comply with certification procedures to establish that you are not a U.S. person, information returns may also be filed with the IRS in connection with the proceeds from a sale or other disposition of our common stock. You may be subject to backup withholding on payments on our common stock or on the proceeds from a sale or other disposition of our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Provisions of the Code commonly referred to as “FATCA” require withholding of 30% on payments of dividends on our common stock, as well as of gross proceeds of dispositions of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common stock. If FATCA withholding is imposed, a beneficial owner that is not a foreign financial institution generally may obtain a refund of any amounts withheld by filing a U.S. federal income tax return (which may entail significant administrative burden). You should consult your tax adviser regarding the effects of FATCA on your investment in our common stock.</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Individual Non-U.S. Holders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absent an applicable treaty exemption, our common stock will be treated as U.S.-situs property subject to U.S. federal estate tax.</w:t>
      </w:r>
    </w:p>
    <w:p>
      <w:pPr>
        <w:spacing w:after="0" w:line="7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60"/>
          </w:cols>
          <w:pgMar w:left="24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Prior to this offering, there has been no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ind w:left="200" w:right="280" w:firstLine="441"/>
        <w:spacing w:after="0" w:line="258" w:lineRule="auto"/>
        <w:rPr>
          <w:sz w:val="20"/>
          <w:szCs w:val="20"/>
          <w:color w:val="auto"/>
        </w:rPr>
      </w:pPr>
      <w:r>
        <w:rPr>
          <w:rFonts w:ascii="Arial" w:cs="Arial" w:eastAsia="Arial" w:hAnsi="Arial"/>
          <w:sz w:val="18"/>
          <w:szCs w:val="18"/>
          <w:color w:val="auto"/>
        </w:rPr>
        <w:t>Upon completion of this offering and the issuance of the IPO Grants, we will have shares of common stock outstanding assuming no exercise of the underwriters’ option to purchase additional shares. Of these shares, the shares of common stock, or shares of</w:t>
      </w:r>
    </w:p>
    <w:p>
      <w:pPr>
        <w:spacing w:after="0" w:line="1"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common stock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w:t>
      </w:r>
    </w:p>
    <w:p>
      <w:pPr>
        <w:spacing w:after="0" w:line="1"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under the Securities Act. The shares of common stock issued pursuant to the IPO Grants will be subject to vesting conditions. The shares of common stock held by PFL are “restricted shares” as defined in Rule 144. Restricted shares may be sold in the public market only if registered or if they qualify for an exemption from registration under Rules 144 of the Securities Act. As a result of the contractual 180-day lock-up period described below and the provisions of Rules 144, these shares will be available for sale in the public market as follows: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6"/>
                <w:szCs w:val="16"/>
                <w:color w:val="auto"/>
              </w:rPr>
            </w:pPr>
          </w:p>
        </w:tc>
        <w:tc>
          <w:tcPr>
            <w:tcW w:w="5180" w:type="dxa"/>
            <w:vAlign w:val="bottom"/>
          </w:tcPr>
          <w:p>
            <w:pPr>
              <w:ind w:left="2440"/>
              <w:spacing w:after="0"/>
              <w:rPr>
                <w:sz w:val="20"/>
                <w:szCs w:val="20"/>
                <w:color w:val="auto"/>
              </w:rPr>
            </w:pPr>
            <w:r>
              <w:rPr>
                <w:rFonts w:ascii="Arial" w:cs="Arial" w:eastAsia="Arial" w:hAnsi="Arial"/>
                <w:sz w:val="14"/>
                <w:szCs w:val="14"/>
                <w:b w:val="1"/>
                <w:bCs w:val="1"/>
                <w:color w:val="auto"/>
              </w:rPr>
              <w:t>Date</w:t>
            </w:r>
          </w:p>
        </w:tc>
      </w:tr>
      <w:tr>
        <w:trPr>
          <w:trHeight w:val="224"/>
        </w:trPr>
        <w:tc>
          <w:tcPr>
            <w:tcW w:w="20" w:type="dxa"/>
            <w:vAlign w:val="bottom"/>
          </w:tcPr>
          <w:p>
            <w:pPr>
              <w:spacing w:after="0"/>
              <w:rPr>
                <w:sz w:val="19"/>
                <w:szCs w:val="19"/>
                <w:color w:val="auto"/>
              </w:rPr>
            </w:pPr>
          </w:p>
        </w:tc>
        <w:tc>
          <w:tcPr>
            <w:tcW w:w="5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On the date of this prospectus.</w:t>
            </w:r>
          </w:p>
        </w:tc>
      </w:tr>
      <w:tr>
        <w:trPr>
          <w:trHeight w:val="295"/>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8"/>
              </w:rPr>
              <w:t>After 180 days from the date of this prospectus (subject to volume</w:t>
            </w: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limitations).</w:t>
            </w:r>
          </w:p>
        </w:tc>
      </w:tr>
      <w:tr>
        <w:trPr>
          <w:trHeight w:val="310"/>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At various times after 180 days from the date of this prospectus</w:t>
            </w: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(subject to volume limitations).</w:t>
            </w:r>
          </w:p>
        </w:tc>
      </w:tr>
    </w:tbl>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In general, a person (or persons whose shares are aggregated)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ectPr>
          <w:pgSz w:w="11900" w:h="16838" w:orient="portrait"/>
          <w:cols w:equalWidth="0" w:num="1">
            <w:col w:w="11240"/>
          </w:cols>
          <w:pgMar w:left="240" w:top="459" w:right="419" w:bottom="1440" w:gutter="0" w:footer="0" w:header="0"/>
        </w:sectPr>
      </w:pPr>
    </w:p>
    <w:p>
      <w:pPr>
        <w:spacing w:after="0" w:line="8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1% of the number of shares of our common stock then outstanding, which will equal approximately this offering, assuming no exercise of the underwriters’ option to purchase additional shares; or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369" w:lineRule="exact"/>
        <w:rPr>
          <w:sz w:val="20"/>
          <w:szCs w:val="20"/>
          <w:color w:val="auto"/>
        </w:rPr>
      </w:pPr>
    </w:p>
    <w:p>
      <w:pPr>
        <w:sectPr>
          <w:pgSz w:w="11900" w:h="16838" w:orient="portrait"/>
          <w:cols w:equalWidth="0" w:num="3">
            <w:col w:w="800" w:space="380"/>
            <w:col w:w="7260" w:space="720"/>
            <w:col w:w="2080"/>
          </w:cols>
          <w:pgMar w:left="240" w:top="459" w:right="419" w:bottom="1440" w:gutter="0" w:footer="0" w:header="0"/>
          <w:type w:val="continuous"/>
        </w:sect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average weekly trading volume of our common stock on the Form 144 with respect to the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 notice on</w:t>
      </w:r>
    </w:p>
    <w:p>
      <w:pPr>
        <w:spacing w:after="0" w:line="463" w:lineRule="exact"/>
        <w:rPr>
          <w:sz w:val="20"/>
          <w:szCs w:val="20"/>
          <w:color w:val="auto"/>
        </w:rPr>
      </w:pPr>
    </w:p>
    <w:p>
      <w:pPr>
        <w:sectPr>
          <w:pgSz w:w="11900" w:h="16838" w:orient="portrait"/>
          <w:cols w:equalWidth="0" w:num="3">
            <w:col w:w="800" w:space="380"/>
            <w:col w:w="4600" w:space="720"/>
            <w:col w:w="4740"/>
          </w:cols>
          <w:pgMar w:left="240" w:top="459" w:right="419" w:bottom="1440" w:gutter="0" w:footer="0" w:header="0"/>
          <w:type w:val="continuous"/>
        </w:sectPr>
      </w:pPr>
    </w:p>
    <w:p>
      <w:pPr>
        <w:ind w:left="200" w:right="240"/>
        <w:spacing w:after="0" w:line="264"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common stock subject to issuance under our 2020 incentive award plan and the IPO Grants, which will be</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adopted in connection with this offering. We expect to file this registration statement as promptly as possible after the completion of this offering. Any such Form S-8 registration statement will automatically become effective upon filing. Accordingly, shares registered under such registration statement will be available for sale in the open market, subject to vesting or transfer restrictions that may be applicable to such awards. We expect that the registration statement on Form S-8 relating to the IPO Grants and our 2020 incentive award plan, which will be adopted in connection with this offering,</w:t>
      </w:r>
    </w:p>
    <w:p>
      <w:pPr>
        <w:spacing w:after="0" w:line="2"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will cover approximately</w:t>
      </w:r>
      <w:r>
        <w:rPr>
          <w:sz w:val="20"/>
          <w:szCs w:val="20"/>
          <w:color w:val="auto"/>
        </w:rPr>
        <w:tab/>
      </w:r>
      <w:r>
        <w:rPr>
          <w:rFonts w:ascii="Arial" w:cs="Arial" w:eastAsia="Arial" w:hAnsi="Arial"/>
          <w:sz w:val="16"/>
          <w:szCs w:val="16"/>
          <w:color w:val="auto"/>
        </w:rPr>
        <w:t>shares of common stock.</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this offering, we will enter into an agreement that will provide that PFL will be entitled to various rights with respect to the registration of the offer and sale of the shares it holds under the Securities Act. If the offer and sale of these shares is registered, these shares will become freely tradable without restriction under the Securities Act immediately upon the effectiveness of the registration, except for shares purchased by affiliates.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our directors, our executive officers and PFL have agreed, subject to certain exceptions, not to offer, pledge, sell, contract to sell, sell any option or contract to purchase, purchase any option or contract to sell, grant any option, right or warrant to purchase, or otherwise transfer or dispose of, directly or indirectly, or enter into any swap or other arrangement that transfers to another, in whole or in part, any of the economic consequences of ownership of any shares of common stock or any securities convertible into or exercisable or exchangeable for shares of common stock for a period of 180 days after the date of this prospectus, without the prior written consent of Credit Suisse Securities (USA) LLC, Goldman Sachs &amp; Co. LLC and J.P. Morgan Securities LLC. See “Underwriting” for a description of the lock-up agreements applicable to our shares.</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we have agreed to sell to the underwriters named below, for whom Credit Suisse Securities (USA) LLC, Goldman Sachs &amp; Co. LLC and J.P. Morgan Securities LLC are acting as representatives, the following respective number of shares of common stock:</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060" w:type="dxa"/>
            <w:vAlign w:val="bottom"/>
          </w:tcPr>
          <w:p>
            <w:pPr>
              <w:jc w:val="center"/>
              <w:ind w:left="63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7060" w:type="dxa"/>
            <w:vAlign w:val="bottom"/>
          </w:tcPr>
          <w:p>
            <w:pPr>
              <w:jc w:val="center"/>
              <w:ind w:left="6348"/>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0</wp:posOffset>
            </wp:positionV>
            <wp:extent cx="475107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this offering if any are purchased, other than those shares covered by the option to purchase additional shares described below. The underwriting agreement also provides that if an underwriter defaults the purchase commitments of non-defaulting underwriters may be increased or this offering may be terminated.</w:t>
      </w:r>
    </w:p>
    <w:p>
      <w:pPr>
        <w:spacing w:after="0" w:line="147"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have granted the underwriters a 30-day option to purchase on a pro rata basis up to additional shares of common stock from us at the initial public offering price less the underwriting discounts and commissions. The option may be exercised only to cover any over-allotments of common stock.</w:t>
      </w:r>
    </w:p>
    <w:p>
      <w:pPr>
        <w:spacing w:after="0" w:line="181"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The underwriters propose to offer the shares of common stock initially at the public offering price on the cover page of this prospectus and to selling group members at that price less a selling concession of $ per share. The underwriters and selling group members may allow a discount of</w:t>
      </w:r>
    </w:p>
    <w:p>
      <w:pPr>
        <w:jc w:val="both"/>
        <w:ind w:left="200" w:right="80" w:firstLine="4"/>
        <w:spacing w:after="0" w:line="255" w:lineRule="auto"/>
        <w:tabs>
          <w:tab w:leader="none" w:pos="6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 share on sales to other broker/dealers. After the initial public offering the representatives may change the public offering price and concession and discount to brokers/dealers.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w w:val="95"/>
              </w:rPr>
              <w:t>Per Share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Total</w:t>
            </w:r>
          </w:p>
        </w:tc>
      </w:tr>
      <w:tr>
        <w:trPr>
          <w:trHeight w:val="123"/>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Without</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ind w:left="60"/>
              <w:spacing w:after="0" w:line="123" w:lineRule="exact"/>
              <w:rPr>
                <w:sz w:val="20"/>
                <w:szCs w:val="20"/>
                <w:color w:val="auto"/>
              </w:rPr>
            </w:pPr>
            <w:r>
              <w:rPr>
                <w:rFonts w:ascii="Arial" w:cs="Arial" w:eastAsia="Arial" w:hAnsi="Arial"/>
                <w:sz w:val="14"/>
                <w:szCs w:val="14"/>
                <w:color w:val="auto"/>
              </w:rPr>
              <w:t>With</w:t>
            </w:r>
          </w:p>
        </w:tc>
        <w:tc>
          <w:tcPr>
            <w:tcW w:w="760" w:type="dxa"/>
            <w:vAlign w:val="bottom"/>
          </w:tcPr>
          <w:p>
            <w:pPr>
              <w:spacing w:after="0"/>
              <w:rPr>
                <w:sz w:val="10"/>
                <w:szCs w:val="10"/>
                <w:color w:val="auto"/>
              </w:rPr>
            </w:pPr>
          </w:p>
        </w:tc>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Without</w:t>
            </w:r>
          </w:p>
        </w:tc>
        <w:tc>
          <w:tcPr>
            <w:tcW w:w="4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ind w:left="60"/>
              <w:spacing w:after="0" w:line="123" w:lineRule="exact"/>
              <w:rPr>
                <w:sz w:val="20"/>
                <w:szCs w:val="20"/>
                <w:color w:val="auto"/>
              </w:rPr>
            </w:pPr>
            <w:r>
              <w:rPr>
                <w:rFonts w:ascii="Arial" w:cs="Arial" w:eastAsia="Arial" w:hAnsi="Arial"/>
                <w:sz w:val="14"/>
                <w:szCs w:val="14"/>
                <w:color w:val="auto"/>
              </w:rPr>
              <w:t>With</w:t>
            </w:r>
          </w:p>
        </w:tc>
        <w:tc>
          <w:tcPr>
            <w:tcW w:w="3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Option</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w w:val="92"/>
              </w:rPr>
              <w:t>Option</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6"/>
              </w:rPr>
              <w:t>Option</w:t>
            </w:r>
          </w:p>
        </w:tc>
        <w:tc>
          <w:tcPr>
            <w:tcW w:w="1160" w:type="dxa"/>
            <w:vAlign w:val="bottom"/>
            <w:gridSpan w:val="3"/>
          </w:tcPr>
          <w:p>
            <w:pPr>
              <w:ind w:left="400"/>
              <w:spacing w:after="0"/>
              <w:rPr>
                <w:sz w:val="20"/>
                <w:szCs w:val="20"/>
                <w:color w:val="auto"/>
              </w:rPr>
            </w:pPr>
            <w:r>
              <w:rPr>
                <w:rFonts w:ascii="Arial" w:cs="Arial" w:eastAsia="Arial" w:hAnsi="Arial"/>
                <w:sz w:val="14"/>
                <w:szCs w:val="14"/>
                <w:color w:val="auto"/>
              </w:rPr>
              <w:t>Option</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1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Expenses payable by us</w:t>
            </w: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r>
    </w:tbl>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Goldman Sachs &amp; Co. LLC and J.P. Morgan Securities LLC for a period of 180 days after the date of this prospectus.</w:t>
      </w:r>
    </w:p>
    <w:p>
      <w:pPr>
        <w:spacing w:after="0" w:line="18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Our executive officers and directors and PFL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740"/>
        <w:spacing w:after="0" w:line="312" w:lineRule="auto"/>
        <w:rPr>
          <w:sz w:val="20"/>
          <w:szCs w:val="20"/>
          <w:color w:val="auto"/>
        </w:rPr>
      </w:pPr>
      <w:r>
        <w:rPr>
          <w:rFonts w:ascii="Arial" w:cs="Arial" w:eastAsia="Arial" w:hAnsi="Arial"/>
          <w:sz w:val="16"/>
          <w:szCs w:val="16"/>
          <w:color w:val="auto"/>
        </w:rPr>
        <w:t>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Goldman Sachs &amp; Co. LLC and J.P. Morgan Securities LLC for a period of 180 days after the date of this prospectus.</w:t>
      </w:r>
    </w:p>
    <w:p>
      <w:pPr>
        <w:spacing w:after="0" w:line="147" w:lineRule="exact"/>
        <w:rPr>
          <w:sz w:val="20"/>
          <w:szCs w:val="20"/>
          <w:color w:val="auto"/>
        </w:rPr>
      </w:pPr>
    </w:p>
    <w:p>
      <w:pPr>
        <w:ind w:left="640"/>
        <w:spacing w:after="0"/>
        <w:tabs>
          <w:tab w:leader="none" w:pos="5080" w:val="left"/>
        </w:tabs>
        <w:rPr>
          <w:sz w:val="20"/>
          <w:szCs w:val="20"/>
          <w:color w:val="auto"/>
        </w:rPr>
      </w:pPr>
      <w:r>
        <w:rPr>
          <w:rFonts w:ascii="Arial" w:cs="Arial" w:eastAsia="Arial" w:hAnsi="Arial"/>
          <w:sz w:val="18"/>
          <w:szCs w:val="18"/>
          <w:color w:val="auto"/>
        </w:rPr>
        <w:t>We intend to apply to list our common stock on the</w:t>
      </w:r>
      <w:r>
        <w:rPr>
          <w:sz w:val="20"/>
          <w:szCs w:val="20"/>
          <w:color w:val="auto"/>
        </w:rPr>
        <w:tab/>
      </w:r>
      <w:r>
        <w:rPr>
          <w:rFonts w:ascii="Arial" w:cs="Arial" w:eastAsia="Arial" w:hAnsi="Arial"/>
          <w:sz w:val="17"/>
          <w:szCs w:val="17"/>
          <w:color w:val="auto"/>
        </w:rPr>
        <w:t>, under the symbol “REYN.”</w:t>
      </w:r>
    </w:p>
    <w:p>
      <w:pPr>
        <w:spacing w:after="0" w:line="225"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and will not necessarily reflect the market price of the common stock following this offering. The principal factors that were considered in determining the initial public offering price included:</w:t>
      </w:r>
    </w:p>
    <w:p>
      <w:pPr>
        <w:spacing w:after="0" w:line="87" w:lineRule="exact"/>
        <w:rPr>
          <w:sz w:val="20"/>
          <w:szCs w:val="20"/>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4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w:t>
      </w:r>
    </w:p>
    <w:p>
      <w:pPr>
        <w:spacing w:after="0" w:line="76" w:lineRule="exact"/>
        <w:rPr>
          <w:sz w:val="20"/>
          <w:szCs w:val="20"/>
          <w:color w:val="auto"/>
        </w:rPr>
      </w:pPr>
    </w:p>
    <w:p>
      <w:pPr>
        <w:ind w:left="1180" w:hanging="436"/>
        <w:spacing w:after="0"/>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180" w:right="20" w:hanging="436"/>
        <w:spacing w:after="0" w:line="273" w:lineRule="auto"/>
        <w:tabs>
          <w:tab w:leader="none" w:pos="1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covered short position by either exercising their option to purchase additional shares and/or purchasing shares in the open market.</w:t>
      </w:r>
    </w:p>
    <w:p>
      <w:pPr>
        <w:spacing w:after="0" w:line="83" w:lineRule="exact"/>
        <w:rPr>
          <w:rFonts w:ascii="Arial" w:cs="Arial" w:eastAsia="Arial" w:hAnsi="Arial"/>
          <w:sz w:val="17"/>
          <w:szCs w:val="17"/>
          <w:color w:val="auto"/>
        </w:rPr>
      </w:pPr>
    </w:p>
    <w:p>
      <w:pPr>
        <w:ind w:left="1180" w:right="120" w:hanging="436"/>
        <w:spacing w:after="0" w:line="291"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option to purchase additional shares.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shares in this offering.</w:t>
      </w:r>
    </w:p>
    <w:p>
      <w:pPr>
        <w:spacing w:after="0" w:line="72" w:lineRule="exact"/>
        <w:rPr>
          <w:rFonts w:ascii="Arial" w:cs="Arial" w:eastAsia="Arial" w:hAnsi="Arial"/>
          <w:sz w:val="16"/>
          <w:szCs w:val="16"/>
          <w:color w:val="auto"/>
        </w:rPr>
      </w:pPr>
    </w:p>
    <w:p>
      <w:pPr>
        <w:ind w:left="1180" w:hanging="436"/>
        <w:spacing w:after="0" w:line="308" w:lineRule="auto"/>
        <w:tabs>
          <w:tab w:leader="none" w:pos="1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may be</w:t>
      </w:r>
    </w:p>
    <w:p>
      <w:pPr>
        <w:ind w:left="200" w:right="220"/>
        <w:spacing w:after="0" w:line="261" w:lineRule="auto"/>
        <w:rPr>
          <w:sz w:val="20"/>
          <w:szCs w:val="20"/>
          <w:color w:val="auto"/>
        </w:rPr>
      </w:pPr>
      <w:r>
        <w:rPr>
          <w:rFonts w:ascii="Arial" w:cs="Arial" w:eastAsia="Arial" w:hAnsi="Arial"/>
          <w:sz w:val="18"/>
          <w:szCs w:val="18"/>
          <w:color w:val="auto"/>
        </w:rPr>
        <w:t>higher than the price that might otherwise exist in the open market. These transactions may be effected on or otherwise and, if commenced, may be discontinued at any time.</w:t>
      </w:r>
    </w:p>
    <w:p>
      <w:pPr>
        <w:spacing w:after="0" w:line="184"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Credit Suisse Loan Funding LLC, an affiliate of Credit Suisse Securities (USA) LLC, is the lead arranger and bookrunner for the New Term Loan Facility. Credit Suisse AG, Cayman Islands Branch, an affiliate of Credit Suisse Securities (USA) LLC, is anticipated to be the administrative agent and the collateral agent in respect of the New Term Loan Facility and is anticipated to be a lender and an issuing bank thereunder.</w:t>
      </w:r>
    </w:p>
    <w:p>
      <w:pPr>
        <w:spacing w:after="0" w:line="166"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Certain affiliates of Credit Suisse Securities (USA) LLC, Goldman Sachs &amp; Co. LLC and J.P. Morgan Securities LLC have preexisting lending relationships with PHL, PFL and/or RGHL Group and certain of their respective affiliates.</w:t>
      </w:r>
    </w:p>
    <w:p>
      <w:pPr>
        <w:spacing w:after="0" w:line="17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Goldman Sachs &amp; Co. LLC and JPMorgan Securities plc, an affiliate of J.P. Morgan Securities LLC, and certain of their current or former affiliates are among the named defendants in consolidated antitrust lawsuits brought by several groups of plaintiffs, including an affiliate of Reynolds Consumer Products Inc. The plaintiffs allege violations of federal antitrust laws and state laws in connection with the storage of aluminum and aluminum trading between 2010 and 2016. This case is currently pending in the United States District Court for the Southern District of New York.</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to the public in that Member State prior to the publication of a prospectus in</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71" w:lineRule="exact"/>
        <w:rPr>
          <w:sz w:val="20"/>
          <w:szCs w:val="20"/>
          <w:color w:val="auto"/>
        </w:rPr>
      </w:pPr>
    </w:p>
    <w:p>
      <w:pPr>
        <w:ind w:left="1620" w:hanging="430"/>
        <w:spacing w:after="0"/>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620" w:right="360" w:hanging="430"/>
        <w:spacing w:after="0" w:line="27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620" w:hanging="430"/>
        <w:spacing w:after="0" w:line="259" w:lineRule="auto"/>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 of the FSMA does not apply to us; and</w:t>
      </w:r>
    </w:p>
    <w:p>
      <w:pPr>
        <w:spacing w:after="0" w:line="92" w:lineRule="exact"/>
        <w:rPr>
          <w:rFonts w:ascii="Arial" w:cs="Arial" w:eastAsia="Arial" w:hAnsi="Arial"/>
          <w:sz w:val="18"/>
          <w:szCs w:val="18"/>
          <w:color w:val="auto"/>
        </w:rPr>
      </w:pPr>
    </w:p>
    <w:p>
      <w:pPr>
        <w:ind w:left="1620" w:right="160" w:hanging="430"/>
        <w:spacing w:after="0" w:line="277" w:lineRule="auto"/>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5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1620" w:hanging="430"/>
        <w:spacing w:after="0"/>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1620" w:right="260" w:hanging="430"/>
        <w:spacing w:after="0" w:line="277"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otherwise pursuant to, and in accordance with the conditions of, any other applicable provision of the SFA.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620" w:right="260" w:hanging="430"/>
        <w:spacing w:after="0" w:line="342" w:lineRule="auto"/>
        <w:tabs>
          <w:tab w:leader="none" w:pos="16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9" w:lineRule="exact"/>
        <w:rPr>
          <w:rFonts w:ascii="Arial" w:cs="Arial" w:eastAsia="Arial" w:hAnsi="Arial"/>
          <w:sz w:val="16"/>
          <w:szCs w:val="16"/>
          <w:color w:val="auto"/>
        </w:rPr>
      </w:pPr>
    </w:p>
    <w:p>
      <w:pPr>
        <w:ind w:left="1620" w:right="100" w:hanging="430"/>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7" w:lineRule="exact"/>
        <w:rPr>
          <w:sz w:val="20"/>
          <w:szCs w:val="20"/>
          <w:color w:val="auto"/>
        </w:rPr>
      </w:pPr>
    </w:p>
    <w:p>
      <w:pPr>
        <w:ind w:left="1620" w:right="560" w:hanging="430"/>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620" w:right="360" w:hanging="430"/>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 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the securities, you represent and warrant to us that you are a person who does not require disclosure under Part 6D.2 and who is a wholesale client for the purposes of section 761G of the Corporations Act 2001 (Australia).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validity of the issuance of the shares of capital stock offered hereby and certain legal matters in connection with this offering will be passed upon for us by Davis Polk &amp; Wardwell LLP. The underwriters have been represented by Cravath, Swaine &amp; Moore LLP.</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financial statements as of December 31, 2018 and 2017 and for each of the three years in the period ended December 31, 2018 included in this prospectus have been so included in reliance on the report of PricewaterhouseCoopers LLP, an independent registered public accounting firm, given on the authority of said firm as experts in auditing and accounting.</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that contains reports, proxy and information statements and other information we have filed electronically with the SEC.</w:t>
      </w:r>
    </w:p>
    <w:p>
      <w:pPr>
        <w:spacing w:after="0" w:line="16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a result of this offering, we will be required to file periodic reports and other information with the SEC. We also maintain a website at www.reynoldsconsumerproducts.com. Our website and the information contained therein or connected thereto shall not be deemed to be incorporated into this prospectus or the registration statement of which it forms a part.</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intend to make available to our stockholders annual reports containing consolidated financial statements audited by an independent registered public accounting firm.</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Confidential Treatment Requested by Reynolds Consumer Products Inc.</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39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Reynolds Consumer Group</w:t>
      </w:r>
    </w:p>
    <w:p>
      <w:pPr>
        <w:spacing w:after="0" w:line="200" w:lineRule="exact"/>
        <w:rPr>
          <w:sz w:val="20"/>
          <w:szCs w:val="20"/>
          <w:color w:val="auto"/>
        </w:rPr>
      </w:pPr>
    </w:p>
    <w:p>
      <w:pPr>
        <w:spacing w:after="0" w:line="26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Combined Financial Statements</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Years Ended December 31, 2018, 2017 and 2016</w:t>
      </w:r>
    </w:p>
    <w:p>
      <w:pPr>
        <w:sectPr>
          <w:pgSz w:w="11900" w:h="16838" w:orient="portrait"/>
          <w:cols w:equalWidth="0" w:num="1">
            <w:col w:w="10219"/>
          </w:cols>
          <w:pgMar w:left="24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Combined Financial Statements</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10660" w:type="dxa"/>
            <w:vAlign w:val="bottom"/>
            <w:gridSpan w:val="8"/>
            <w:vMerge w:val="restart"/>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0660" w:type="dxa"/>
            <w:vAlign w:val="bottom"/>
            <w:gridSpan w:val="8"/>
            <w:vMerge w:val="continue"/>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20"/>
        </w:trPr>
        <w:tc>
          <w:tcPr>
            <w:tcW w:w="3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60">
              <w:r>
                <w:rPr>
                  <w:rFonts w:ascii="Arial" w:cs="Arial" w:eastAsia="Arial" w:hAnsi="Arial"/>
                  <w:sz w:val="18"/>
                  <w:szCs w:val="18"/>
                  <w:color w:val="0000EE"/>
                  <w:w w:val="90"/>
                </w:rPr>
                <w:t>Combined Statements of Income for the years ended December 31, 2018, 2017 and 2016</w:t>
              </w:r>
            </w:hyperlink>
          </w:p>
        </w:tc>
        <w:tc>
          <w:tcPr>
            <w:tcW w:w="4200" w:type="dxa"/>
            <w:vAlign w:val="bottom"/>
            <w:gridSpan w:val="4"/>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304"/>
        </w:trPr>
        <w:tc>
          <w:tcPr>
            <w:tcW w:w="10660" w:type="dxa"/>
            <w:vAlign w:val="bottom"/>
            <w:gridSpan w:val="8"/>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Combined Statements of Comprehensive Income for the years ended December 31, 2018, 2017 and 2016</w:t>
              </w:r>
            </w:hyperlink>
          </w:p>
        </w:tc>
        <w:tc>
          <w:tcPr>
            <w:tcW w:w="320" w:type="dxa"/>
            <w:vAlign w:val="bottom"/>
          </w:tcPr>
          <w:p>
            <w:pPr>
              <w:ind w:left="6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04"/>
        </w:trPr>
        <w:tc>
          <w:tcPr>
            <w:tcW w:w="4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62">
              <w:r>
                <w:rPr>
                  <w:rFonts w:ascii="Arial" w:cs="Arial" w:eastAsia="Arial" w:hAnsi="Arial"/>
                  <w:sz w:val="18"/>
                  <w:szCs w:val="18"/>
                  <w:color w:val="0000EE"/>
                  <w:w w:val="88"/>
                </w:rPr>
                <w:t>Combined Balance Sheets as of December 31, 2018 and 2017</w:t>
              </w:r>
            </w:hyperlink>
          </w:p>
        </w:tc>
        <w:tc>
          <w:tcPr>
            <w:tcW w:w="3120" w:type="dxa"/>
            <w:vAlign w:val="bottom"/>
            <w:tcBorders>
              <w:top w:val="single" w:sz="8" w:color="0000EE"/>
            </w:tcBorders>
            <w:gridSpan w:val="4"/>
          </w:tcPr>
          <w:p>
            <w:pPr>
              <w:spacing w:after="0"/>
              <w:rPr>
                <w:sz w:val="24"/>
                <w:szCs w:val="24"/>
                <w:color w:val="auto"/>
              </w:rPr>
            </w:pPr>
          </w:p>
        </w:tc>
        <w:tc>
          <w:tcPr>
            <w:tcW w:w="30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04"/>
        </w:trPr>
        <w:tc>
          <w:tcPr>
            <w:tcW w:w="70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Combined Statements of Equity (Deficit) for the years ended December 31, 2018, 2017 and 2016</w:t>
              </w:r>
            </w:hyperlink>
          </w:p>
        </w:tc>
        <w:tc>
          <w:tcPr>
            <w:tcW w:w="3600" w:type="dxa"/>
            <w:vAlign w:val="bottom"/>
            <w:gridSpan w:val="2"/>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64">
              <w:r>
                <w:rPr>
                  <w:rFonts w:ascii="Arial" w:cs="Arial" w:eastAsia="Arial" w:hAnsi="Arial"/>
                  <w:sz w:val="18"/>
                  <w:szCs w:val="18"/>
                  <w:color w:val="0000EE"/>
                  <w:w w:val="89"/>
                </w:rPr>
                <w:t>Combined Statements of Cash Flows for the years ended December 31, 2018, 2017 and 2016</w:t>
              </w:r>
            </w:hyperlink>
          </w:p>
        </w:tc>
        <w:tc>
          <w:tcPr>
            <w:tcW w:w="3900" w:type="dxa"/>
            <w:vAlign w:val="bottom"/>
            <w:gridSpan w:val="3"/>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04"/>
        </w:trPr>
        <w:tc>
          <w:tcPr>
            <w:tcW w:w="10660" w:type="dxa"/>
            <w:vAlign w:val="bottom"/>
            <w:gridSpan w:val="8"/>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Notes to the Combined Financial Statements</w:t>
              </w:r>
            </w:hyperlink>
          </w:p>
        </w:tc>
        <w:tc>
          <w:tcPr>
            <w:tcW w:w="320" w:type="dxa"/>
            <w:vAlign w:val="bottom"/>
          </w:tcPr>
          <w:p>
            <w:pPr>
              <w:ind w:left="6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32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0" w:type="dxa"/>
            <w:vAlign w:val="bottom"/>
            <w:gridSpan w:val="5"/>
          </w:tcPr>
          <w:p>
            <w:pPr>
              <w:ind w:left="104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 changes to the reportable segments of the Reynolds Consumer Group that occurred in June 2019, described in Note 13 to the combined financial statements, have not been included in a set of financial statements prepared in accordance with accounting principles generally accepted in the United States of America (“US GAAP”) covering a period in which the change occurred. Once a set of US GAAP financial statements that reflect the new segments are issued, we will be in a position to furnish the following report.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28, 2019</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 and Board of Directors of Reynolds Group Holdings Limited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have audited the accompanying combined balance sheets of the Reynolds Consumer Group, which is comprised of the Reynolds Consumer Products segment of Reynolds Group Holdings Limited, (the “Company”) as of December 31, 2018 and 2017, and the related combined statements of income, of comprehensive income, of equity (deficit) and of cash flows for each of the three years in the period ended December 31, 2018, including the related notes (collectively referred to as the “combined financial statements”). In our opinion, the combined financial statements present fairly, in all material respects, the combined financial position of the Reynolds Consumer Group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We conducted our audits of these combined financial statements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w:t>
      </w:r>
    </w:p>
    <w:p>
      <w:pPr>
        <w:spacing w:after="0" w:line="166"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1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As discussed in Note 15 to the combined financial statements, the Company settled significant related party balances with Reynolds Group Holdings Limited and its subsidiaries in June 2019.</w:t>
      </w:r>
    </w:p>
    <w:p>
      <w:pPr>
        <w:sectPr>
          <w:pgSz w:w="11900" w:h="16838" w:orient="portrait"/>
          <w:cols w:equalWidth="0" w:num="1">
            <w:col w:w="11200"/>
          </w:cols>
          <w:pgMar w:left="240" w:top="460" w:right="459" w:bottom="1440" w:gutter="0" w:footer="0" w:header="0"/>
        </w:sectPr>
      </w:pP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August 28, 2019, except for the effects of the segment change described in Note 13, as to which the date is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7" w:lineRule="exact"/>
        <w:rPr>
          <w:sz w:val="20"/>
          <w:szCs w:val="20"/>
          <w:color w:val="auto"/>
        </w:rPr>
      </w:pPr>
    </w:p>
    <w:p>
      <w:pPr>
        <w:sectPr>
          <w:pgSz w:w="11900" w:h="16838" w:orient="portrait"/>
          <w:cols w:equalWidth="0" w:num="2">
            <w:col w:w="7880" w:space="280"/>
            <w:col w:w="3040"/>
          </w:cols>
          <w:pgMar w:left="240" w:top="460" w:right="459" w:bottom="1440" w:gutter="0" w:footer="0" w:header="0"/>
          <w:type w:val="continuous"/>
        </w:sectPr>
      </w:pP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200"/>
          </w:cols>
          <w:pgMar w:left="240" w:top="460" w:right="45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sales</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(2,310)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(2,095)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2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 net</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Postretirement benefit plans</w:t>
            </w: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receivables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Related party receivables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9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payables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Related party accrued interest payable</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Current portion of related party borrowings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related party borrowings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postretirement benefit obligation</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7,209</w:t>
            </w:r>
          </w:p>
        </w:tc>
        <w:tc>
          <w:tcPr>
            <w:tcW w:w="12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(deficit)</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Net Parent deficit</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(1,034)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(1,304)</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equity (deficit)</w:t>
            </w:r>
          </w:p>
        </w:tc>
        <w:tc>
          <w:tcPr>
            <w:tcW w:w="2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(1,027)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(1,298)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Equity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Parent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Other</w:t>
            </w:r>
          </w:p>
        </w:tc>
        <w:tc>
          <w:tcPr>
            <w:tcW w:w="15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Comprehensive</w:t>
            </w: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(1,641)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(1,522)</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jc w:val="right"/>
              <w:ind w:right="4610"/>
              <w:spacing w:after="0"/>
              <w:rPr>
                <w:sz w:val="20"/>
                <w:szCs w:val="20"/>
                <w:color w:val="auto"/>
              </w:rPr>
            </w:pPr>
            <w:r>
              <w:rPr>
                <w:rFonts w:ascii="Arial" w:cs="Arial" w:eastAsia="Arial" w:hAnsi="Arial"/>
                <w:sz w:val="18"/>
                <w:szCs w:val="18"/>
                <w:b w:val="1"/>
                <w:bCs w:val="1"/>
                <w:color w:val="auto"/>
                <w:w w:val="87"/>
              </w:rPr>
              <w:t>Balance as of December 31, 2017</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(1,304)</w:t>
            </w: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Adoption of new accounting principle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transfers (to) from Parent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jc w:val="right"/>
              <w:ind w:right="4610"/>
              <w:spacing w:after="0"/>
              <w:rPr>
                <w:sz w:val="20"/>
                <w:szCs w:val="20"/>
                <w:color w:val="auto"/>
              </w:rPr>
            </w:pPr>
            <w:r>
              <w:rPr>
                <w:rFonts w:ascii="Arial" w:cs="Arial" w:eastAsia="Arial" w:hAnsi="Arial"/>
                <w:sz w:val="18"/>
                <w:szCs w:val="18"/>
                <w:b w:val="1"/>
                <w:bCs w:val="1"/>
                <w:color w:val="auto"/>
                <w:w w:val="88"/>
              </w:rPr>
              <w:t>Balance as of December 31, 2018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provided by (used in) operating activities</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operating cash flows: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Unrealized losses (gains) on derivatives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portion of employee benefit obligations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Other non-cash items,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Accounts receivables,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receivables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Related party receivables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Related party payables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Related party accrued interest payable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Accrued and other current liabilities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 and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Employee benefit obligations, net</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shd w:val="clear" w:color="auto" w:fill="CCEEFF"/>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Advances to related parties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(650)</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from related parties</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6"/>
              </w:rPr>
              <w:t>(554)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(364)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6"/>
              </w:rPr>
              <w:t>(584)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Long-term debt repayments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(167)</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from related parties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Repayments to related parties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(255)</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transaction costs on long-term debt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Net transfers from (to) Parent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Increase (decrease) in cash and cash equivalents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the year</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Balance as of end of the year</w:t>
            </w:r>
          </w:p>
        </w:tc>
        <w:tc>
          <w:tcPr>
            <w:tcW w:w="2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 - long-term debt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 related party borrowings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Significant non-cash investing and financing activities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Note 14 - Related Party Transactions for details of significant non-cash investing and financing activities.</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the combined financial statements.</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Reynolds Consumer Group (“we”, “us” or “our”) comprises the business that has been reported as the Reynolds Consumer Products segment in the consolidated financial statements of Reynolds Group Holdings Limited (“RGHL”) and its subsidiaries (collectively, “RGHL Group” or the “Parent”).</w:t>
      </w:r>
    </w:p>
    <w:p>
      <w:pPr>
        <w:spacing w:after="0" w:line="124"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We produce and sell products across three broad categories: cooking products, waste &amp; storage products and tableware. We sell our products under brands such as Reynolds</w:t>
      </w:r>
      <w:r>
        <w:rPr>
          <w:rFonts w:ascii="Arial" w:cs="Arial" w:eastAsia="Arial" w:hAnsi="Arial"/>
          <w:sz w:val="15"/>
          <w:szCs w:val="15"/>
          <w:color w:val="auto"/>
        </w:rPr>
        <w:t>®</w:t>
      </w:r>
      <w:r>
        <w:rPr>
          <w:rFonts w:ascii="Arial" w:cs="Arial" w:eastAsia="Arial" w:hAnsi="Arial"/>
          <w:sz w:val="18"/>
          <w:szCs w:val="18"/>
          <w:color w:val="auto"/>
        </w:rPr>
        <w:t xml:space="preserve"> and Hefty</w:t>
      </w:r>
      <w:r>
        <w:rPr>
          <w:rFonts w:ascii="Arial" w:cs="Arial" w:eastAsia="Arial" w:hAnsi="Arial"/>
          <w:sz w:val="15"/>
          <w:szCs w:val="15"/>
          <w:color w:val="auto"/>
        </w:rPr>
        <w:t>®</w:t>
      </w:r>
      <w:r>
        <w:rPr>
          <w:rFonts w:ascii="Arial" w:cs="Arial" w:eastAsia="Arial" w:hAnsi="Arial"/>
          <w:sz w:val="18"/>
          <w:szCs w:val="18"/>
          <w:color w:val="auto"/>
        </w:rPr>
        <w:t>,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We have historically operated as part of RGHL Group and not as a stand-alone entity. Our combined financial statements present the results of operations, financial position and cash flows prepared on a stand-alone basis and have been derived from the consolidated financial statements and accounting records of RGHL Group. All revenues and costs as well as assets and liabilities that are either legally attributable to us or directly associated with our business activities are included in our combined financial statements. Intercompany transactions, profits and balances between our combined entities have been eliminated. Our combined financial statements include Reynolds Consumer Products Inc., the entity whose shares will be issued to the public. Our combined financial statements have been prepared in accordance with accounting principles generally accepted in the United States of America (“U.S. GAAP”).</w:t>
      </w:r>
    </w:p>
    <w:p>
      <w:pPr>
        <w:spacing w:after="0" w:line="18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combined statements of income include allocations of certain expenses for services provided by RGHL Group, including, but not limited to, general corporate expenses related to group wide functions including executive management, finance, legal, tax, information technology and a portion of a related party management fee incurred by RGHL Group. Total costs allocated to us for these functions were $40 million, $37 million and $39 million for the years ended December 31, 2018, 2017 and 2016, respectively, and were primarily included in selling, general and administrative expenses in our combined statements of income. These amounts include costs of $21 million, $20 million and $23 million for the years ended December 31, 2018, 2017 and 2016, respectively, that were not historically allocated to us as part of RGHL Group’s normal monthly reporting process.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178"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The allocations referred to above may not, however, reflect all actual expenses we would have incurred and may not reflect the combined results of operations, financial position and cash flows had we operated as a stand-alone company during the years presented. The amount of actual costs that may have been incurred if we were a stand-alone company would depend on a number of factors, including our chosen organizational structure, which functions were performed by our employees or outsourced and strategic decisions made in areas such as information technology and infrastructure.</w:t>
      </w:r>
    </w:p>
    <w:p>
      <w:pPr>
        <w:spacing w:after="0" w:line="154"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RGHL Group centrally manages substantially all of our financial resources. We finance our operating and capital requirements through a combination of cash provided by operations, RGHL Group’s external borrowings that we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have incurred and intercompany funding with RGHL Group. We are a borrower under a portion of RGHL Group’s external borrowings and therefore a portion of this third-party debt is reflected as long-term debt on our combined balance sheets. Refer to Note 6 - Debt and Borrowing Arrangements for further information. Our intercompany funding with RGHL Group, which is subject to various legal agreements with RGHL Group, is reflected in related party borrowings on our combined balance sheets. We also advance surplus cash to RGHL Group as part of its cash management activities. The balance of these amounts is reflected in non-current related party receivables in our combined balance sheets. Refer to Note 14 - Related Party Transactions for further information.</w:t>
      </w:r>
    </w:p>
    <w:p>
      <w:pPr>
        <w:spacing w:after="0" w:line="193"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Net Parent deficit represents the Parent’s interest in our net assets. As a direct ownership relationship does not exist between the various entities of our combined group, a Net Parent deficit account is shown in our combined financial statements. The majority of transactions between us and RGHL Group have a history of settlement or are expected to be settled for cash as part of the share offering. These transactions have been reflected in our combined balance sheets as related party receivables and payables. Transactions that do not have a history of settlement are reflected in equity (deficit) in our combined balance sheets as Net Parent deficit and, when cash is utilized (contributed), in our combined statements of cash flows as a financing activity in net transfers from (to) Parent. Refer to Note 14 - Related Party Transactions for further information.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Current Liabilities:</w:t>
      </w:r>
    </w:p>
    <w:p>
      <w:pPr>
        <w:spacing w:after="0" w:line="117"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As we are an operating segment of RGHL Group, cash management decisions by RGHL Group have an impact on our combined financial statements. Those decisions include matters such as the terms of related party borrowings, including maturity dates, and whether cash is advanced to RGHL Group through the repayment of accrued interest or outstanding borrowings, or by way of a new related party receivable. As a result, our combined balance sheets present net current liabilities (total current assets less total current liabilities). Refer to Note 2 - Summary of Significant Accounting Policies and Note 14 - Related Party Transactions for further details regarding related party transactions and balances, as well as Note 15 - Subsequent Events for further details regarding the settlement of certain related party balances in June 2019.</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We prepare our combined financial statements in accordance with U.S. GAAP, which requires us to make estimates and assumptions that affect a number of amounts in our combined financial statements. Significant accounting policy elections, estimates and assumptions include, among others, benefit plan assumptions, valuation assumptions of goodwill and intangible assets, useful lives of long-lived assets, sales incentives and income taxes. We base our estimates on historical experience and other assumptions that we believe are reasonable. If actual amounts differ from estimates, we include the revisions in our combined results of operations in the period the actual amounts become known. Historically, the aggregate differences, if any, between our estimates and actual amounts in any year have not had a material effect on our combined financial statements.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Currency Translation:</w:t>
      </w:r>
    </w:p>
    <w:p>
      <w:pPr>
        <w:spacing w:after="0" w:line="117"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Our combined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equity (deficit) within accumulated other</w:t>
      </w:r>
    </w:p>
    <w:p>
      <w:pPr>
        <w:spacing w:after="0" w:line="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comprehensive income and transaction gains and losses in other expense, net in our combined statements of income.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2018 and 2017 were $4 million and $7 million,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Substantially all of our U.S. accounts receivables are transferred in their entirety to RGHL Group and are accounted for as a sale in accordance with our accounts receivable factoring arrangement described below. The allowance for doubtful accounts related to the accounts receivable of our non-U.S. operations was less than $1 million in each of the years presented.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left="200" w:right="280"/>
        <w:spacing w:after="0" w:line="291" w:lineRule="auto"/>
        <w:rPr>
          <w:sz w:val="20"/>
          <w:szCs w:val="20"/>
          <w:color w:val="auto"/>
        </w:rPr>
      </w:pPr>
      <w:r>
        <w:rPr>
          <w:rFonts w:ascii="Arial" w:cs="Arial" w:eastAsia="Arial" w:hAnsi="Arial"/>
          <w:sz w:val="16"/>
          <w:szCs w:val="16"/>
          <w:color w:val="auto"/>
        </w:rPr>
        <w:t>Variable interest entities (“VIEs”) are primarily entities that lack sufficient equity to finance their activities without additional financial support from other parties or whose equity holders, as a group, lack one or more of the following characteristics: (a) direct or indirect ability to make decisions,</w:t>
      </w:r>
    </w:p>
    <w:p>
      <w:pPr>
        <w:ind w:left="200" w:right="20" w:firstLine="4"/>
        <w:spacing w:after="0" w:line="287" w:lineRule="auto"/>
        <w:tabs>
          <w:tab w:leader="none" w:pos="4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obligation to absorb expected losses or (c)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To determine a VIE’s primary beneficiary, we perform a qualitative assessment to determine which party, if any, has the power to direct activities of the VIE and the obligation to absorb losses and or receive its benefits. This assessment involves identifying the activities that most significantly impact the VIE’s economic performance and determine whether we, or another party, has the power to direct those activities. In each of the years presented, we had a variable interest in one VIE related to our factoring arrangement with RGHL Group, described below.</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We account for transfers of financial assets, such as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have a non-recourse factoring arrangement in which we sell eligible receivables to a special purpose entity (“SPE”) consolidated by RGHL Group in exchange for cash. We transfer sold accounts receivables in their entirety to RGHL Group and satisfy all of the conditions to report the transfer of financial assets in their entirety as a sale. We continue to collect the receivables sold, acting solely as a collecting agent on behalf of RGHL Group, and received income of $1 million</w:t>
      </w:r>
    </w:p>
    <w:p>
      <w:pPr>
        <w:spacing w:after="0" w:line="9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80"/>
          </w:cols>
          <w:pgMar w:left="24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each of the years presented for this service. We have not recognized any assets or liabilities related to the servicing arrangement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2018 and 2017. The SPE is considered to be a VIE, however we are not its primary beneficiary because we do not have the power to direct any of its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most significant activities through our arrangement as a collecting agent. The principal amount of receivables sold under this arrangement was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$3,101 million, $2,952 million and $2,900 million during the years ended December 31, 2018, 2017 and 2016, respectively, and represents substantially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all of our U.S. accounts receivable. The balance of receivables sold, and still outstanding, was $264 million and $260 million as of December 31,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2017, respectively. The incremental costs of factoring receivables under this arrangement are included in other expense, net in our combined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statements of income. Refer to Note 9 - Other Expense, Net for additional information. The proceeds from the sales of receivables are included in cash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from operating activities in our combined statements of cash flows.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combined statements of income.</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combined statements of income. There were no impairments of long-lived assets in any of the years presented.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classify leases at inception date as either a capital lease or an operating lease. A lease is a capital lease if any of the following conditions exist:</w:t>
      </w:r>
    </w:p>
    <w:p>
      <w:pPr>
        <w:spacing w:after="0" w:line="46" w:lineRule="exact"/>
        <w:rPr>
          <w:sz w:val="20"/>
          <w:szCs w:val="20"/>
          <w:color w:val="auto"/>
        </w:rPr>
      </w:pPr>
    </w:p>
    <w:p>
      <w:pPr>
        <w:ind w:left="5660" w:right="5200" w:hanging="5456"/>
        <w:spacing w:after="0" w:line="517" w:lineRule="auto"/>
        <w:tabs>
          <w:tab w:leader="none" w:pos="4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ownership is transferred to the lessee by the end of the lease term, (b) there F-11</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We had no capital leases during any of the years presented. We account for all other leases as operating leases wherein rental payments are expensed on a straight-line basis over their respective lease term.</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167"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 xml:space="preserve">On January 1, 2018 we adopted the requirements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contains a new revenue recognition framework, on a modified retrospective basis. Our accounting policies for revenue recognition for the current year and previous years are presented below.</w:t>
      </w:r>
    </w:p>
    <w:p>
      <w:pPr>
        <w:spacing w:after="0" w:line="18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From January 1, 2018, 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8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Consideration in our contracts with customers is variable due to anticipated reductions such as discounts, allowances and trade promotions, collectively referred to as “sales incentives”. Accordingly, revenues are recorded net of estimated sales incentives, based on known or expected adjustments. The transaction price is estimated based upon the most likely amount of consideration to which we will be entitled.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193"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Prior to January 1, 2018, we recognized revenue when the sales price was determinable and the risks and rewards of ownership had transferred to the customer as determined by the shipping terms. Revenues were recorded net of sales incentives, which were based on historical promotional experience.</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promote our products with marketing and advertising programs. These programs include, but are not limited to, cooperative advertising, in-store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displays and consumer marketing promotions. The costs of end-consumer marketing programs that are conducted in conjunction with our customers,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such as coupons, are recorded as a reduction to revenue. We do not defer these costs on our combined balance sheets and all marketing and advertising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costs are recorded as an expense in the year incurred. Advertising expense was $55 million, $56 million and $80 million in the years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2017 and 2016, respectively. We expense product research and development costs as incurred. Research and development expense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$29 million, $27 million and $30 million in the years ended December 31, 2018, 2017 and 2016, respectively. We record marketing and advertising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well as research and development expenses in selling, general and administrative expenses.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Benefit Plans:</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provide benefits to our current and retired employees. The cost for these plans is recognized in income primarily over the working life of the covered employee. We participate in a defined benefit plan sponsored by RGHL Group, which is accounted for as a multiemployer plan in our combined financial statements. We also sponsor a postretirement benefit plan which is accounted for as a single employer plan in our combined financial statements. See Note 8 - Benefit Plans for additional information.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We are exposed to price risk related to forecasted purchases of certain commodities that we primarily use as raw materials. From time to time we may enter into derivative financial instruments to mitigate certain risks. We are not a party to leveraged derivatives and, by policy, do not use financial instruments for speculative purposes.</w:t>
      </w:r>
    </w:p>
    <w:p>
      <w:pPr>
        <w:spacing w:after="0" w:line="181"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We record derivative financial instruments on a gross basis and at fair value in our combined balance sheets in other current assets or accrued and other current liabilities due to their relatively short-term duration. Cash flows from derivative instruments are classified as operating activities in our combined statements of cash flows based on the nature of the derivative instrument. Historically, we have not elected to use hedge accounting. Accordingly, any unrealized gains or losses (mark-to-market impacts) and realized gains or losses are recorded in cost of sales in our combined statements of income.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During the years presented, our U.S. operations were included in consolidated U.S. federal, certain state and local tax returns filed by RGHL Group. We also file certain separate U.S. state and local and foreign income tax</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returns. The income tax expense (benefit) included in our combined statements of income has been calculated using the separate return basis. It is possible that we will make different tax accounting elections and assertions subsequent to our shares being issued to the public. Therefore, our income taxes, as presented in our combined financial statements, may not be indicative of our income taxes in the future. In jurisdictions where we have been included in tax returns filed by RGHL Group, any income taxes payable resulting from the related income tax expense has been reflected in the combined balance sheets in Net Parent deficit.</w:t>
      </w:r>
    </w:p>
    <w:p>
      <w:pPr>
        <w:spacing w:after="0" w:line="188" w:lineRule="exact"/>
        <w:rPr>
          <w:sz w:val="20"/>
          <w:szCs w:val="20"/>
          <w:color w:val="auto"/>
        </w:rPr>
      </w:pPr>
    </w:p>
    <w:p>
      <w:pPr>
        <w:ind w:left="200" w:right="400"/>
        <w:spacing w:after="0" w:line="302" w:lineRule="auto"/>
        <w:rPr>
          <w:sz w:val="20"/>
          <w:szCs w:val="20"/>
          <w:color w:val="auto"/>
        </w:rPr>
      </w:pPr>
      <w:r>
        <w:rPr>
          <w:rFonts w:ascii="Arial" w:cs="Arial" w:eastAsia="Arial" w:hAnsi="Arial"/>
          <w:sz w:val="16"/>
          <w:szCs w:val="16"/>
          <w:color w:val="auto"/>
        </w:rPr>
        <w:t>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54"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54"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We recognize tax benefits in our combined financial statements from uncertain tax positions only if it is more likely than not that the tax position will be sustained based on the technical merits of the position. The amount we recognize is measured as the largest amount of benefit that is greater than</w:t>
      </w:r>
    </w:p>
    <w:p>
      <w:pPr>
        <w:ind w:left="200" w:right="80"/>
        <w:spacing w:after="0" w:line="261" w:lineRule="auto"/>
        <w:rPr>
          <w:sz w:val="20"/>
          <w:szCs w:val="20"/>
          <w:color w:val="auto"/>
        </w:rPr>
      </w:pPr>
      <w:r>
        <w:rPr>
          <w:rFonts w:ascii="Arial" w:cs="Arial" w:eastAsia="Arial" w:hAnsi="Arial"/>
          <w:sz w:val="18"/>
          <w:szCs w:val="18"/>
          <w:color w:val="auto"/>
        </w:rPr>
        <w:t>50 percent likely of being realized upon resolution. Future changes related to the expected resolution of uncertain tax positions could affect tax expense in the period when the change occurs.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U.S. 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52" w:lineRule="exact"/>
        <w:rPr>
          <w:sz w:val="20"/>
          <w:szCs w:val="20"/>
          <w:color w:val="auto"/>
        </w:rPr>
      </w:pPr>
    </w:p>
    <w:p>
      <w:pPr>
        <w:ind w:left="640" w:hanging="328"/>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30" w:lineRule="exact"/>
        <w:rPr>
          <w:rFonts w:ascii="Arial" w:cs="Arial" w:eastAsia="Arial" w:hAnsi="Arial"/>
          <w:sz w:val="18"/>
          <w:szCs w:val="18"/>
          <w:color w:val="auto"/>
        </w:rPr>
      </w:pPr>
    </w:p>
    <w:p>
      <w:pPr>
        <w:ind w:left="640" w:hanging="328"/>
        <w:spacing w:after="0" w:line="286" w:lineRule="auto"/>
        <w:tabs>
          <w:tab w:leader="none" w:pos="6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70" w:lineRule="exact"/>
        <w:rPr>
          <w:rFonts w:ascii="Arial" w:cs="Arial" w:eastAsia="Arial" w:hAnsi="Arial"/>
          <w:sz w:val="17"/>
          <w:szCs w:val="17"/>
          <w:color w:val="auto"/>
        </w:rPr>
      </w:pPr>
    </w:p>
    <w:p>
      <w:pPr>
        <w:ind w:left="640" w:hanging="328"/>
        <w:spacing w:after="0"/>
        <w:tabs>
          <w:tab w:leader="none" w:pos="6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3 inputs are unobservable inputs in which little or no market data exists, therefore requiring an entity to develop its own assumptions.</w:t>
      </w:r>
    </w:p>
    <w:p>
      <w:pPr>
        <w:spacing w:after="0" w:line="23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Our assets and liabilities measured at fair value on a recurring basis are presented in Note 7 - Financial Instruments. We have no assets or liabilities measured at fair value on a non-recurring basis in any of the years presented.</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2018 and 2017 due to the short-term nature of these instruments.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117" w:lineRule="exact"/>
        <w:rPr>
          <w:sz w:val="20"/>
          <w:szCs w:val="20"/>
          <w:color w:val="auto"/>
        </w:rPr>
      </w:pPr>
    </w:p>
    <w:p>
      <w:pPr>
        <w:ind w:left="200" w:right="100"/>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which outlines a new, single comprehensive model for companies to use in accounting for revenue. The core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2017, the FASB issued several ASUs that clarified matters such as principal versus agent (gross versus net) revenue presentation considerations and clarified the guidance for identifying performance obligations within a contract.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We adopted the new standard on January 1, 2018 on a modified retrospective basis for all contracts not completed as of the date of adoption, resulting in a $5 million adjustment to Net Parent deficit, reflecting the acceleration of recognizing sales incentives associated with future promotional activity at the time of the sale. There was no other material financial impact from adopting the new revenue recognition standard. Also refer to the combined statements of equity (deficit), the Revenue Recognition section above and Note 13 - Segment Information for additional information.</w:t>
      </w:r>
    </w:p>
    <w:p>
      <w:pPr>
        <w:spacing w:after="0" w:line="175"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 - Going Concern (Subtopic 205-40): Disclosure of Uncertainties</w:t>
      </w:r>
      <w:r>
        <w:rPr>
          <w:rFonts w:ascii="Arial" w:cs="Arial" w:eastAsia="Arial" w:hAnsi="Arial"/>
          <w:sz w:val="17"/>
          <w:szCs w:val="17"/>
          <w:color w:val="auto"/>
        </w:rPr>
        <w:t xml:space="preserve"> </w:t>
      </w:r>
      <w:r>
        <w:rPr>
          <w:rFonts w:ascii="Arial" w:cs="Arial" w:eastAsia="Arial" w:hAnsi="Arial"/>
          <w:sz w:val="17"/>
          <w:szCs w:val="17"/>
          <w:i w:val="1"/>
          <w:iCs w:val="1"/>
          <w:color w:val="auto"/>
        </w:rPr>
        <w:t>about an Entity’s Ability to Continue as a Going Concern</w:t>
      </w:r>
      <w:r>
        <w:rPr>
          <w:rFonts w:ascii="Arial" w:cs="Arial" w:eastAsia="Arial" w:hAnsi="Arial"/>
          <w:sz w:val="17"/>
          <w:szCs w:val="17"/>
          <w:color w:val="auto"/>
        </w:rPr>
        <w:t>, which requires management to assess an entity’s ability to continue as a going concern, and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related footnote disclosures in certain circumstances, such as the existence of substantial doubt. At each annual and interim reporting date, we are required to evaluate our ability to continue as a going concern for one year after the issuance date. This guidance was effective on December 31, 2016. The adoption of this ASU did not have a significant impact on our combined financial statements.</w:t>
      </w:r>
    </w:p>
    <w:p>
      <w:pPr>
        <w:spacing w:after="0" w:line="173"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with the objective of reducing the existing diversity in practice with respect to how certain cash flow items are classified in the statement of cash flows. The ASU is effective for annual reporting periods beginning after December 15, 2017, with early adoption permitted. We adopted the standard on January 1, 2018 and it had no impact on our combined financial statements.</w:t>
      </w:r>
    </w:p>
    <w:p>
      <w:pPr>
        <w:spacing w:after="0" w:line="187"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eliminates the requirement to determine the fair value of individual assets and liabilities of a reporting unit to measure goodwill impairment. Goodwill impairment testing is now performed by comparing the fair value of the reporting unit with its carrying amount and recognizing an impairment charge for the amount by which the carrying amount exceeds fair value. The new standard is effective for goodwill impairment tests in annual reporting periods beginning after December 15, 2019, and should be applied on a prospective basis, with early adoption permitted for interim or annual goodwill impairment tests performed on testing dates after January 1, 2017. We early adopted this guidance on January 1, 2017 and it had no material impact on our combined financial statements.</w:t>
      </w:r>
    </w:p>
    <w:p>
      <w:pPr>
        <w:spacing w:after="0" w:line="165"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which amended the income statement presentation of the components of net periodic benefit cost for</w:t>
      </w:r>
      <w:r>
        <w:rPr>
          <w:rFonts w:ascii="Arial" w:cs="Arial" w:eastAsia="Arial" w:hAnsi="Arial"/>
          <w:sz w:val="16"/>
          <w:szCs w:val="16"/>
          <w:i w:val="1"/>
          <w:iCs w:val="1"/>
          <w:color w:val="auto"/>
        </w:rPr>
        <w:t xml:space="preserve"> </w:t>
      </w:r>
      <w:r>
        <w:rPr>
          <w:rFonts w:ascii="Arial" w:cs="Arial" w:eastAsia="Arial" w:hAnsi="Arial"/>
          <w:sz w:val="16"/>
          <w:szCs w:val="16"/>
          <w:color w:val="auto"/>
        </w:rPr>
        <w:t>an entity’s sponsored defined benefit pension and other postretirement plans. The amendment requires entities to present the current service</w:t>
      </w:r>
    </w:p>
    <w:p>
      <w:pPr>
        <w:spacing w:after="0" w:line="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cost component with other current compensation costs in the income statement within income from operations and present the other components outside of income from operations. The amendment is effective for annual reporting periods beginning after December 15, 2017. We adopted this amendment retrospectively on January 1, 2018 and have presented the service cost in cost of sales and selling, general and administrative expenses and the other components of net periodic benefit cost in other expense, net in our combined statements of income.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Guidance Issued But Not Yet Adopted as of December 31, 2018:</w:t>
      </w:r>
    </w:p>
    <w:p>
      <w:pPr>
        <w:spacing w:after="0" w:line="117"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requiring the recognition of Right of Use (“ROU”) assets and lease liabilities on the balance sheet and the disclosure of key information about leasing arrangements. The ASU revises existing U.S. GAAP and outlines a new model for lessors and lessees to use in accounting for lease contracts. The guidance requires lessees to recognize an ROU asset and a lease liability on the balance sheet for all leases, with the exception of short-term leases. Lessees will classify leases as either operating (resulting in straight-line expense recognition) or finance (resulting in a front-loaded expense pattern). In July 2018, the FASB issued an ASU which allows for an alternative transition approach, which will not require adjustments to comparative prior-period amounts. Topic 842 and all related ASUs are effective for fiscal years beginning after December 15, 2018, with early adoption permitted. We adopted the new standard on January 1, 2019. We elected to apply the package of practical expedients, including not reassessing whether expired or existing contracts contained leases, the classification of those leases and initial direct costs for any existing leases. We elected not to separate non-lease components from lease components and to account for both as a single lease component for all classes of underlying assets. We also elected to exclude short-term leases (term of 12 months or less) from the balance sheet presentation. The most significant impact from adopting the standard is the initial recognition of operating lease ROU assets and lease liabilities on our combined balance sheet. Upon adoption, we expect to record ROU assets and lease liabilities of approximately $35 million to $40 million, representing the present value of future lease payments with terms greater than 12 months. The transition method we elected for adoption of the standard requires us to make a cumulative effect adjustment as of January 1, 2019. This amount is not expected to be material. The impact on our combined statements of income and combined statements of cash flows is not expected to be material.</w:t>
      </w:r>
    </w:p>
    <w:p>
      <w:pPr>
        <w:spacing w:after="0" w:line="16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modifies the impairment model to use an expected loss methodology in place of the currently used incurred loss methodology,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earlier recognition of losses related to financial instruments. This ASU is effective for annual reporting periods beginning after December 15, 2019, with early adoption permitted, and requires a cumulative effect adjustment to the balance sheet upon adoption. We are currently assessing the impact on our combined financial statements.</w:t>
      </w:r>
    </w:p>
    <w:p>
      <w:pPr>
        <w:spacing w:after="0" w:line="188"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that permits entities to elect a reclassification from accumulated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 retained earnings for stranded tax effects resulting from the 2017 enactment of U.S. tax reform legislation. The ASU is effective for fiscal years beginning after December 15, 2018, with early adoption permitted. We adopted the standard as of January 1, 2019 and there was no material impact on our combined financial statements.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 - Retirement Benefits - Defined Benefit Plans - General (Subtopic 715-20) Disclosure</w:t>
      </w:r>
    </w:p>
    <w:p>
      <w:pPr>
        <w:spacing w:after="0" w:line="46" w:lineRule="exact"/>
        <w:rPr>
          <w:sz w:val="20"/>
          <w:szCs w:val="20"/>
          <w:color w:val="auto"/>
        </w:rPr>
      </w:pPr>
    </w:p>
    <w:p>
      <w:pPr>
        <w:ind w:left="200" w:right="260" w:firstLine="4"/>
        <w:spacing w:after="0" w:line="323" w:lineRule="auto"/>
        <w:tabs>
          <w:tab w:leader="none" w:pos="305" w:val="left"/>
        </w:tabs>
        <w:numPr>
          <w:ilvl w:val="0"/>
          <w:numId w:val="102"/>
        </w:numPr>
        <w:rPr>
          <w:rFonts w:ascii="Arial" w:cs="Arial" w:eastAsia="Arial" w:hAnsi="Arial"/>
          <w:sz w:val="16"/>
          <w:szCs w:val="16"/>
          <w:i w:val="1"/>
          <w:iCs w:val="1"/>
          <w:color w:val="auto"/>
        </w:rPr>
      </w:pPr>
      <w:r>
        <w:rPr>
          <w:rFonts w:ascii="Arial" w:cs="Arial" w:eastAsia="Arial" w:hAnsi="Arial"/>
          <w:sz w:val="16"/>
          <w:szCs w:val="16"/>
          <w:i w:val="1"/>
          <w:iCs w:val="1"/>
          <w:color w:val="auto"/>
        </w:rPr>
        <w:t>Framework - Changes to the Disclosure Requirements for Defined Benefit Plans</w:t>
      </w:r>
      <w:r>
        <w:rPr>
          <w:rFonts w:ascii="Arial" w:cs="Arial" w:eastAsia="Arial" w:hAnsi="Arial"/>
          <w:sz w:val="16"/>
          <w:szCs w:val="16"/>
          <w:color w:val="auto"/>
        </w:rPr>
        <w:t>. The ASU modifies the disclosure requirements for employers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sponsor defined benefit pension or other postretirement plans. The ASU is effective for fiscal years beginning after December 15, 2020, with</w:t>
      </w:r>
    </w:p>
    <w:p>
      <w:pPr>
        <w:spacing w:after="0" w:line="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early adoption permitted. We are currently evaluating the requirements of this guidance, which is expected to impact our disclosures but is not expected to impact the measurement and recognition of amounts in our combined financial statements.</w:t>
      </w:r>
    </w:p>
    <w:p>
      <w:pPr>
        <w:spacing w:after="0" w:line="17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for internal-use software. This ASU is effective for annual reporting periods beginning after December 15, 2019, with early adoption permitted. We are currently assessing the impact on our combined financial statements.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Inventories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ind w:left="1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Work in progress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Spare parts</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2"/>
          </w:tcPr>
          <w:p>
            <w:pPr>
              <w:spacing w:after="0"/>
              <w:rPr>
                <w:sz w:val="20"/>
                <w:szCs w:val="20"/>
                <w:color w:val="auto"/>
              </w:rPr>
            </w:pPr>
            <w:r>
              <w:rPr>
                <w:rFonts w:ascii="Arial" w:cs="Arial" w:eastAsia="Arial" w:hAnsi="Arial"/>
                <w:sz w:val="18"/>
                <w:szCs w:val="18"/>
                <w:color w:val="auto"/>
              </w:rPr>
              <w:t>Property, plant and equipment, net consisted of the following:</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7"/>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(610)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Depreciation expense was $55 million, $58 million and $59 million for the years ended December 31, 2018, 2017 and 2016, respectively, of which $49 million, $47 million and $48 million was recognized in cost of sales, respectively, and $6 million, $11 million and $11 million was recognized in selling, general and administrative expenses, respectively.</w:t>
      </w:r>
    </w:p>
    <w:p>
      <w:pPr>
        <w:spacing w:after="0" w:line="11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240" w:top="460" w:right="5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 Goodwill and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Goodwill by reportable segment was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Reynolds</w:t>
            </w:r>
          </w:p>
        </w:tc>
        <w:tc>
          <w:tcPr>
            <w:tcW w:w="15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5"/>
              </w:rPr>
              <w:t>Hefty Waste &amp;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gridSpan w:val="3"/>
          </w:tcPr>
          <w:p>
            <w:pPr>
              <w:ind w:left="980"/>
              <w:spacing w:after="0" w:line="149" w:lineRule="exact"/>
              <w:rPr>
                <w:sz w:val="20"/>
                <w:szCs w:val="20"/>
                <w:color w:val="auto"/>
              </w:rPr>
            </w:pPr>
            <w:r>
              <w:rPr>
                <w:rFonts w:ascii="Arial" w:cs="Arial" w:eastAsia="Arial" w:hAnsi="Arial"/>
                <w:sz w:val="14"/>
                <w:szCs w:val="14"/>
                <w:b w:val="1"/>
                <w:bCs w:val="1"/>
                <w:color w:val="auto"/>
                <w:w w:val="94"/>
              </w:rPr>
              <w:t>Cooking &amp;</w:t>
            </w:r>
          </w:p>
        </w:tc>
        <w:tc>
          <w:tcPr>
            <w:tcW w:w="1520" w:type="dxa"/>
            <w:vAlign w:val="bottom"/>
            <w:gridSpan w:val="3"/>
            <w:vMerge w:val="continue"/>
          </w:tcPr>
          <w:p>
            <w:pPr>
              <w:spacing w:after="0"/>
              <w:rPr>
                <w:sz w:val="12"/>
                <w:szCs w:val="12"/>
                <w:color w:val="auto"/>
              </w:rPr>
            </w:pPr>
          </w:p>
        </w:tc>
        <w:tc>
          <w:tcPr>
            <w:tcW w:w="16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4"/>
              </w:rPr>
              <w:t>Hefty Tableware</w:t>
            </w:r>
          </w:p>
        </w:tc>
        <w:tc>
          <w:tcPr>
            <w:tcW w:w="15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88"/>
              </w:rPr>
              <w:t>Presto Products</w:t>
            </w:r>
          </w:p>
        </w:tc>
        <w:tc>
          <w:tcPr>
            <w:tcW w:w="62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Baking</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Storage</w:t>
            </w:r>
          </w:p>
        </w:tc>
        <w:tc>
          <w:tcPr>
            <w:tcW w:w="1620" w:type="dxa"/>
            <w:vAlign w:val="bottom"/>
            <w:gridSpan w:val="3"/>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Movements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Movements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794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505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282</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As of December 31, 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 2017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0"/>
              </w:rPr>
              <w:t>Gross</w:t>
            </w: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20" w:type="dxa"/>
            <w:vAlign w:val="bottom"/>
            <w:gridSpan w:val="3"/>
          </w:tcPr>
          <w:p>
            <w:pPr>
              <w:ind w:left="1380"/>
              <w:spacing w:after="0" w:line="149" w:lineRule="exact"/>
              <w:rPr>
                <w:sz w:val="20"/>
                <w:szCs w:val="20"/>
                <w:color w:val="auto"/>
              </w:rPr>
            </w:pPr>
            <w:r>
              <w:rPr>
                <w:rFonts w:ascii="Arial" w:cs="Arial" w:eastAsia="Arial" w:hAnsi="Arial"/>
                <w:sz w:val="14"/>
                <w:szCs w:val="14"/>
                <w:b w:val="1"/>
                <w:bCs w:val="1"/>
                <w:color w:val="auto"/>
                <w:w w:val="94"/>
              </w:rPr>
              <w:t>carrying</w:t>
            </w:r>
          </w:p>
        </w:tc>
        <w:tc>
          <w:tcPr>
            <w:tcW w:w="1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74"/>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tcPr>
          <w:p>
            <w:pPr>
              <w:ind w:left="13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Trade names</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1460" w:type="dxa"/>
            <w:vAlign w:val="bottom"/>
            <w:gridSpan w:val="2"/>
            <w:shd w:val="clear" w:color="auto" w:fill="CCEEFF"/>
          </w:tcPr>
          <w:p>
            <w:pPr>
              <w:ind w:left="138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1,455</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1,155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1,455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Amortization expense for intangible assets was $32 million, $32 million and $38 million for the years ended December 31, 2018, 2017 and 2016, respectively, and has been recognized in selling, general and administrative expenses. For the next five years, we estimate annual amortization expense of approximately $31 million each year.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 Debt and Borrowing Arrangements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incurred borrowings under RGHL Group’s Senior Secured Credit Agreement, as amended (the “Credit Agreement”).</w:t>
      </w:r>
    </w:p>
    <w:p>
      <w:pPr>
        <w:spacing w:after="0" w:line="225"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color w:val="auto"/>
        </w:rPr>
        <w:t>The information presented below relates to our borrowings under the Credit Agreement, which represent only a portion of the total RGHL Group borrowings incurred under the Credit Agreement. For details regarding our borrowings with RGHL Group, refer to Note 14 - Related Party Transactions.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debt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U.S. Term Loan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$2,037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financing transaction costs</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Original issue discounts</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2,009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2,028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 Credit Agreement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facilities under the Credit Agreement are comprised of (i) U.S. and European Term Loans, denominated in U.S. dollars and euro, respectively, and</w:t>
      </w:r>
    </w:p>
    <w:p>
      <w:pPr>
        <w:spacing w:after="0" w:line="46" w:lineRule="exact"/>
        <w:rPr>
          <w:sz w:val="20"/>
          <w:szCs w:val="20"/>
          <w:color w:val="auto"/>
        </w:rPr>
      </w:pPr>
    </w:p>
    <w:p>
      <w:pPr>
        <w:jc w:val="both"/>
        <w:ind w:left="200" w:right="240" w:firstLine="4"/>
        <w:spacing w:after="0" w:line="255" w:lineRule="auto"/>
        <w:tabs>
          <w:tab w:leader="none" w:pos="4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Revolving Facility, denominated in U.S. dollars. For all periods presented, the Revolving Facility has only been utilized by RGHL Group in the form of letters of credit. As of December 31, 2018, RGHL Group has utilized $58 million, including $6 million for our letters of credit. We are not a borrower under the European Term Loans.</w:t>
      </w:r>
    </w:p>
    <w:p>
      <w:pPr>
        <w:spacing w:after="0" w:line="19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obligations under the Credit Agreement are guaranteed by, and secured by the assets of, certain members of RGHL Group, including certain entities of our combined group. For further details of the guarantees and security we have provided in relation to RGHL Group’s external borrowings, refer to Note 10 - Commitments and Contingencies.</w:t>
      </w:r>
    </w:p>
    <w:p>
      <w:pPr>
        <w:spacing w:after="0" w:line="181"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We are a borrower under the U.S. Term Loan. Interest under the U.S. Term Loan comprises LIBOR, with a floor of 0%, plus a margin of 2.75%. The margin decreased from 3.00% in 2018 following an upgrade in RGHL Group’s credit rating. The weighted average contractual interest rate related to our long-term debt as of December 31, 2018, 2017 and 2016, was 4.77%, 4.05% and 4.35%, respectively. The effective interest rate of our debt obligations is not materially different from the contractual interest rate.</w:t>
      </w:r>
    </w:p>
    <w:p>
      <w:pPr>
        <w:spacing w:after="0" w:line="18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The U.S. Term Loan requires quarterly amortization payments of 0.25% of the outstanding principal as of February 5, 2017, with the balance due at maturity. Based on our portion of the outstanding borrowings, this represents amortization payments of approximately $5 million per quarter. Borrowings under the U.S. Term Loan may be voluntarily repaid in whole or in part and are subject to mandatory prepayments in certain circumstances, including the requirement to make annual prepayments of both the U.S. and European Term Loans with up to 50% of excess cash flow (which will be reduced to 25% or 0% if specified senior secured first lien leverage ratios are met) as determined in accordance with the Credit Agreement. No excess cash flow prepayments were due in 2018 for the year ended December 31, 2017 or are due in 2019 for the year ended December 31, 2018.</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Amendments to the Credit Agreement</w:t>
      </w:r>
    </w:p>
    <w:p>
      <w:pPr>
        <w:spacing w:after="0" w:line="11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During the years presented, RGHL Group entered into the following amendments to its Credit Agreement. We were a borrower under each of these amendments.</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On August 5, 2016, RGHL Group amended its previous credit agreement to, among other modifications, extend the maturity date of its U.S. Term Loan to February 5, 2023. This amendment also reduced the margin by</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25-basis points to 3.25% per annum. The Revolving Facility was concurrently amended on August 5, 2016, resulting in an extension of the maturity date to August 5, 2021 and the combination of previously separate euro and U.S. dollar revolving facilities into a single revolving facility with a limit of $302 million.</w:t>
      </w:r>
    </w:p>
    <w:p>
      <w:pPr>
        <w:spacing w:after="0" w:line="18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On October 7, 2016, RGHL Group incurred an additional $1,350 million under the Credit Agreement. Consequently, our portion of the borrowings changed from $734 million to $2,084 million.</w:t>
      </w:r>
    </w:p>
    <w:p>
      <w:pPr>
        <w:spacing w:after="0" w:line="17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On February 7, 2017, RGHL Group entered into an amendment to the Credit Agreement which reduced the margin by 25 basis points to 3.00% per annum and reduced the LIBOR floor to 0%. Our portion of the total borrowings did not change.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Financing Transaction Costs and Original Issue Discounts</w:t>
      </w:r>
    </w:p>
    <w:p>
      <w:pPr>
        <w:spacing w:after="0" w:line="117"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As of December 31, 2018 and 2017, our portion of RGHL Group’s deferred financing transaction costs, net of amortization, related to the U.S. Term Loan and the Revolving Facility were $5 million and $6 million, respectively. In addition, as of December 31, 2018 and 2017, we have recorded original issue discounts, net of accumulated amortization, of $2 million and $3 million, respectively. These deferred amounts are presented as a direct reduction of the carrying amount of our long-term debt as of December 31, 2018 and 2017. Our portions of deferred financing transaction costs and original issue discounts are being amortized over the life of the U.S. Term Loan under the effective interest method.</w:t>
      </w:r>
    </w:p>
    <w:p>
      <w:pPr>
        <w:spacing w:after="0" w:line="158"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 xml:space="preserve">As a result of the amendments to the Credit Agreement described above, we evaluated each event in accordance with ASC 470-50-40, </w:t>
      </w:r>
      <w:r>
        <w:rPr>
          <w:rFonts w:ascii="Arial" w:cs="Arial" w:eastAsia="Arial" w:hAnsi="Arial"/>
          <w:sz w:val="17"/>
          <w:szCs w:val="17"/>
          <w:i w:val="1"/>
          <w:iCs w:val="1"/>
          <w:color w:val="auto"/>
        </w:rPr>
        <w:t xml:space="preserve">Debt-Modifications and Extinguishments-Derecognition, </w:t>
      </w:r>
      <w:r>
        <w:rPr>
          <w:rFonts w:ascii="Arial" w:cs="Arial" w:eastAsia="Arial" w:hAnsi="Arial"/>
          <w:sz w:val="17"/>
          <w:szCs w:val="17"/>
          <w:color w:val="auto"/>
        </w:rPr>
        <w:t>to determine if the respective event represented a modification or extinguishment of the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loan, on a lender-by-lender basis. For those events that represented modifications, we continue to capitalize the existing unamortized deferred financing transaction costs, capitalized the incremental fees paid to those lenders and expensed incremental fees paid to non-lenders. Capitalized costs are amortized over the remaining contractual term of the debt. For those events that represented extinguishments, unamortized deferred financing transaction costs and original issue discounts were written off and recorded as loss on extinguishment of debt in interest expense, net in our combined statements of income. We recorded loss on extinguishment of debt of less than $1 million in each of the years ended December 31, 2017 and 2016. These amounts are included in interest expense, net. In addition, we recorded non-lender fees of $3 million and $20 million in the years ended December 31, 2017 and 2016, respectively, in interest expense, net.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The Credit Agreement contains customary covenants which restrict RGHL and certain of its subsidiaries from certain activities including, among other things, incurring debt, creating liens over assets, selling or acquiring assets and making restricted payments, in each case except as permitted under the Credit Agreement. As of December 31, 2018, RGHL Group was in compliance with all of its covenants.</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Credit Agreement also contains a total secured leverage ratio covenant not to exceed 5.00 to 1.00 on a pro forma basis. This covenant only applies if the aggregate revolving credit exposure (excluding any exposure in respect of undrawn letters of credit) as of the last day of a fiscal quarter exceeds 35% of the total Revolving Facility commitments on such day.</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Scheduled Maturities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Below is a schedule of required future repayments on our debt outstanding under the Credit Agreement as of December 31, 2018:</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9"/>
              </w:rPr>
              <w:t>(in millions)</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60" w:type="dxa"/>
            <w:vAlign w:val="bottom"/>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w:t>
            </w:r>
          </w:p>
        </w:tc>
        <w:tc>
          <w:tcPr>
            <w:tcW w:w="6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Our Long-Term Debt:</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fair value of our long-term debt as of December 31, 2018 and 2017, which is a Level 2 fair value measurement, approximates the carrying value due to the variable market interest rate and the stability of RGHL Group’s credit profile.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 net consisted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center"/>
              <w:ind w:left="274"/>
              <w:spacing w:after="0"/>
              <w:rPr>
                <w:sz w:val="20"/>
                <w:szCs w:val="20"/>
                <w:color w:val="auto"/>
              </w:rPr>
            </w:pPr>
            <w:r>
              <w:rPr>
                <w:rFonts w:ascii="Arial" w:cs="Arial" w:eastAsia="Arial" w:hAnsi="Arial"/>
                <w:sz w:val="14"/>
                <w:szCs w:val="14"/>
                <w:b w:val="1"/>
                <w:bCs w:val="1"/>
                <w:color w:val="auto"/>
                <w:w w:val="92"/>
              </w:rPr>
              <w:t>For the 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2017</w:t>
            </w: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external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 xml:space="preserve">Interest expense, related party borrowings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income, related party receivables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Refer to Note 14 - Related Party Transactions for additional information.</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Other consists primarily of non-lender fees of $3 million and $20 million in the years ended December 31, 2017 and 2016, respectively.</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 Financial Instruments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17"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Derivative instruments, consisting of commodity contracts, were recorded at fair value in our combined balance sheets and consisted of a $9 million liability, recorded in accrued and other current liabilities, as of December 31, 2018 and a $5 million asset, recorded in other current assets, as of December 31, 2017.</w:t>
      </w:r>
    </w:p>
    <w:p>
      <w:pPr>
        <w:spacing w:after="0" w:line="18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Our commodity contracts are primarily commodity swaps and are all Level 2 financial assets and liabilities. Commodity derivatives are valued using an income approach based on the observable market commodity index prices less the contract rate multiplied by the notional amount or based on pricing models that rely on market</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observable inputs such as commodity prices. Our calculation of the fair value of these financial instruments takes into consideration the risk of non-performance, including counterparty credit risk. The majority of our derivative contracts do not have a legal right of set-off. We manage the credit risk in connection with our derivatives by limiting the amount of exposure with each counterparty and monitoring the financial condition of our counterparties.</w:t>
      </w:r>
    </w:p>
    <w:p>
      <w:pPr>
        <w:spacing w:after="0" w:line="18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During the years ended December 31, 2018, 2017 and 2016, we recognized an unrealized loss of $14 million, an unrealized gain of $4 million and an unrealized gain of $8 million, respectively, in cost of sales in the combined statements of income.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the detail of outstanding commodity derivative contracts as of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Unit of measure</w:t>
            </w: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Contracted volume</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Contracted price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Contracted date of</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04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range</w:t>
            </w:r>
          </w:p>
        </w:tc>
        <w:tc>
          <w:tcPr>
            <w:tcW w:w="1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maturity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Aluminum swaps</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Metric tonne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34,711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$1,925.00</w:t>
            </w:r>
          </w:p>
        </w:tc>
        <w:tc>
          <w:tcPr>
            <w:tcW w:w="1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 $2,499.50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Metric tonne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4,130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$403.45</w:t>
            </w:r>
          </w:p>
        </w:tc>
        <w:tc>
          <w:tcPr>
            <w:tcW w:w="1020" w:type="dxa"/>
            <w:vAlign w:val="bottom"/>
          </w:tcPr>
          <w:p>
            <w:pPr>
              <w:ind w:left="20"/>
              <w:spacing w:after="0"/>
              <w:rPr>
                <w:sz w:val="20"/>
                <w:szCs w:val="20"/>
                <w:color w:val="auto"/>
              </w:rPr>
            </w:pPr>
            <w:r>
              <w:rPr>
                <w:rFonts w:ascii="Arial" w:cs="Arial" w:eastAsia="Arial" w:hAnsi="Arial"/>
                <w:sz w:val="18"/>
                <w:szCs w:val="18"/>
                <w:color w:val="auto"/>
              </w:rPr>
              <w:t>- $407.85</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Benzene swaps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1,882,258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$3.02</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2019 - Jun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 liquid gallon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3,499,492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1020" w:type="dxa"/>
            <w:vAlign w:val="bottom"/>
          </w:tcPr>
          <w:p>
            <w:pPr>
              <w:ind w:left="20"/>
              <w:spacing w:after="0"/>
              <w:rPr>
                <w:sz w:val="20"/>
                <w:szCs w:val="20"/>
                <w:color w:val="auto"/>
              </w:rPr>
            </w:pPr>
            <w:r>
              <w:rPr>
                <w:rFonts w:ascii="Arial" w:cs="Arial" w:eastAsia="Arial" w:hAnsi="Arial"/>
                <w:sz w:val="18"/>
                <w:szCs w:val="18"/>
                <w:color w:val="auto"/>
              </w:rPr>
              <w:t>- $3.40</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Jan 2019 - Dec 2019</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 Benefit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Related Party Multiemployer Defined Benefit Plan:</w:t>
      </w:r>
    </w:p>
    <w:p>
      <w:pPr>
        <w:spacing w:after="0" w:line="11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Prior to December 1, 2016, certain of our employees participated in a defined benefit plan that we sponsored. On November 30, 2016, this plan was merged into another defined benefit plan within RGHL Group and the future obligations under this plan became the responsibility of RGHL Group. As a result of this plan merger, we recorded a settlement loss of $9 million in non-operating expense, net in our combined statements of income, which represented the release of the accumulated other comprehensive income balance attributable to the plan obligations as of the date of the plan merger. We recorded expense of $3 million in cost of sales in relation to this plan during the year ended December 31, 2016.</w:t>
      </w:r>
    </w:p>
    <w:p>
      <w:pPr>
        <w:spacing w:after="0" w:line="173"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Commencing December 1, 2016, certain employees participate in a defined benefit plan sponsored by RGHL Group, along with participants of RGHL Group’s other businesses. This plan is accounted for as a multiemployer plan in these combined financial statements and as a result, no asset or liability was recorded by us to recognize the funded status of the plan. We recorded expense of $3 million in cost of sales for each of the years ended December 31, 2018 and 2017 relating to our employees’ participation in the RGHL Group sponsored plan.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We offer defined contribution plans to eligible employees in the United States as well as employees in certain other countries. Our expense relating to defined contribution plans was $18 million, $17 million and $15 million for the years ended December 31, 2018, 2017 and 2016, respectively.</w:t>
      </w: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Postretirement Benefit Plan:</w:t>
      </w:r>
    </w:p>
    <w:p>
      <w:pPr>
        <w:spacing w:after="0" w:line="11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as of January 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34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8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losses (gains)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7160" w:type="dxa"/>
            <w:vAlign w:val="bottom"/>
            <w:gridSpan w:val="3"/>
          </w:tcPr>
          <w:p>
            <w:pPr>
              <w:ind w:left="880"/>
              <w:spacing w:after="0"/>
              <w:rPr>
                <w:sz w:val="20"/>
                <w:szCs w:val="20"/>
                <w:color w:val="auto"/>
              </w:rPr>
            </w:pPr>
            <w:r>
              <w:rPr>
                <w:rFonts w:ascii="Arial" w:cs="Arial" w:eastAsia="Arial" w:hAnsi="Arial"/>
                <w:sz w:val="18"/>
                <w:szCs w:val="18"/>
                <w:b w:val="1"/>
                <w:bCs w:val="1"/>
                <w:color w:val="auto"/>
              </w:rPr>
              <w:t>Accrued postretirement benefit obligation as of December 31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47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The accrued benefit obligation was included in our combined balance sheets as follows:</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6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8"/>
          </w:tcPr>
          <w:p>
            <w:pPr>
              <w:ind w:left="12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ind w:right="27"/>
              <w:spacing w:after="0" w:line="142" w:lineRule="exact"/>
              <w:rPr>
                <w:sz w:val="20"/>
                <w:szCs w:val="20"/>
                <w:color w:val="auto"/>
              </w:rPr>
            </w:pPr>
            <w:r>
              <w:rPr>
                <w:rFonts w:ascii="Arial" w:cs="Arial" w:eastAsia="Arial" w:hAnsi="Arial"/>
                <w:sz w:val="14"/>
                <w:szCs w:val="14"/>
                <w:b w:val="1"/>
                <w:bCs w:val="1"/>
                <w:color w:val="auto"/>
                <w:w w:val="83"/>
              </w:rPr>
              <w:t>2018</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Long-term postretirement benefit obligation</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portion of our accrued benefit obligation has been recorded in accumulated other comprehensive income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80" w:type="dxa"/>
            <w:vAlign w:val="bottom"/>
            <w:gridSpan w:val="4"/>
          </w:tcPr>
          <w:p>
            <w:pPr>
              <w:ind w:left="66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Changes</w:t>
            </w:r>
          </w:p>
        </w:tc>
        <w:tc>
          <w:tcPr>
            <w:tcW w:w="16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Changes</w:t>
            </w:r>
          </w:p>
        </w:tc>
        <w:tc>
          <w:tcPr>
            <w:tcW w:w="13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2016</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02"/>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5"/>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actuarial gain (loss)</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Deferred income tax benefit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40" w:type="dxa"/>
            <w:vAlign w:val="bottom"/>
            <w:gridSpan w:val="17"/>
          </w:tcPr>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w w:val="88"/>
              </w:rPr>
              <w:t>Health care cost trend rate assumed for next year</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8.20%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w w:val="90"/>
              </w:rPr>
              <w:t>Year that the rate reaches the ultimate trend rate</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2029</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 term expectations.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Assumed health care cost trend rates can impact the amounts reported for the health care plans. A one-percentage-point change in assumed health care cost trend rates would have less than a $1 million effect on the measurement of our postretirement benefit obligation and less than a $1 million effect on the annual service and interest cost.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Components of Net Periodic Postretirement Costs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periodic postretirement benefit costs consisted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For the 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Net periodic postretirement costs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service cost component of net periodic postretirement costs is recognized in cost of sales, while interest cost and amortization of actuarial gain are recognized in non-operating expense, net in the combined statements of income.</w:t>
      </w:r>
    </w:p>
    <w:p>
      <w:pPr>
        <w:spacing w:after="0" w:line="17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As of December 31, 2018, we expect to amortize an actuarial gain of approximately $2 million from accumulated other comprehensive income into pre-tax net periodic postretirement costs during 2019.</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7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93"/>
              </w:rPr>
              <w:t>For the Years Ended December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3.68%</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8.20%</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4.50%</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2026</w:t>
            </w:r>
          </w:p>
        </w:tc>
        <w:tc>
          <w:tcPr>
            <w:tcW w:w="580" w:type="dxa"/>
            <w:vAlign w:val="bottom"/>
          </w:tcPr>
          <w:p>
            <w:pPr>
              <w:jc w:val="right"/>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2024</w:t>
            </w: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Future Benefit Payments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Expected contributions for the next fiscal year equal the estimated benefit payments of $3 million.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estimated future benefit payments for our postretirement benefit plan as of December 31, 2018 were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5200" w:type="dxa"/>
            <w:vAlign w:val="bottom"/>
            <w:gridSpan w:val="2"/>
          </w:tcPr>
          <w:p>
            <w:pPr>
              <w:ind w:left="4400"/>
              <w:spacing w:after="0"/>
              <w:rPr>
                <w:sz w:val="20"/>
                <w:szCs w:val="20"/>
                <w:color w:val="auto"/>
              </w:rPr>
            </w:pPr>
            <w:r>
              <w:rPr>
                <w:rFonts w:ascii="Arial" w:cs="Arial" w:eastAsia="Arial" w:hAnsi="Arial"/>
                <w:sz w:val="14"/>
                <w:szCs w:val="14"/>
                <w:b w:val="1"/>
                <w:bCs w:val="1"/>
                <w:color w:val="auto"/>
                <w:w w:val="99"/>
              </w:rPr>
              <w:t>(in millions)</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720" w:type="dxa"/>
            <w:vAlign w:val="bottom"/>
            <w:shd w:val="clear" w:color="auto" w:fill="CCEEFF"/>
          </w:tcPr>
          <w:p>
            <w:pPr>
              <w:ind w:left="4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2020</w:t>
            </w:r>
          </w:p>
        </w:tc>
        <w:tc>
          <w:tcPr>
            <w:tcW w:w="4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2022</w:t>
            </w:r>
          </w:p>
        </w:tc>
        <w:tc>
          <w:tcPr>
            <w:tcW w:w="4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2024 - 2028</w:t>
            </w:r>
          </w:p>
        </w:tc>
        <w:tc>
          <w:tcPr>
            <w:tcW w:w="47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50"/>
        </w:trPr>
        <w:tc>
          <w:tcPr>
            <w:tcW w:w="2280" w:type="dxa"/>
            <w:vAlign w:val="bottom"/>
          </w:tcPr>
          <w:p>
            <w:pPr>
              <w:spacing w:after="0"/>
              <w:rPr>
                <w:sz w:val="24"/>
                <w:szCs w:val="24"/>
                <w:color w:val="auto"/>
              </w:rPr>
            </w:pPr>
          </w:p>
        </w:tc>
        <w:tc>
          <w:tcPr>
            <w:tcW w:w="4720" w:type="dxa"/>
            <w:vAlign w:val="bottom"/>
          </w:tcPr>
          <w:p>
            <w:pPr>
              <w:ind w:left="1400"/>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 Other Expense, Net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expense, net consisted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2"/>
              </w:rPr>
              <w:t>For the Years Ended December 31,</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Factoring discount </w:t>
            </w:r>
            <w:r>
              <w:rPr>
                <w:rFonts w:ascii="Arial" w:cs="Arial" w:eastAsia="Arial" w:hAnsi="Arial"/>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 xml:space="preserve">Allocated related party Management Fee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0" w:hanging="436"/>
        <w:spacing w:after="0" w:line="286" w:lineRule="auto"/>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As discussed in Note 2 - Summary of Significant Accounting Policies, we participate in an accounts receivable factoring arrangement with RGHL Group whereby we transfer substantially all of our U.S. accounts receivable in their entirety to RGHL Group and satisfy all of the conditions to report the transfer of financial assets in their entirety as a sale. The fair value of assets received as proceeds in exchange for the transfer of accounts receivable under this factoring arrangement approximates the fair value of such receivables. We recognized losses of $22 million,</w:t>
      </w:r>
    </w:p>
    <w:p>
      <w:pPr>
        <w:spacing w:after="0" w:line="1" w:lineRule="exact"/>
        <w:rPr>
          <w:rFonts w:ascii="Arial" w:cs="Arial" w:eastAsia="Arial" w:hAnsi="Arial"/>
          <w:sz w:val="16"/>
          <w:szCs w:val="16"/>
          <w:color w:val="auto"/>
        </w:rPr>
      </w:pPr>
    </w:p>
    <w:p>
      <w:pPr>
        <w:ind w:left="640"/>
        <w:spacing w:after="0" w:line="250" w:lineRule="auto"/>
        <w:rPr>
          <w:rFonts w:ascii="Arial" w:cs="Arial" w:eastAsia="Arial" w:hAnsi="Arial"/>
          <w:sz w:val="16"/>
          <w:szCs w:val="16"/>
          <w:color w:val="auto"/>
        </w:rPr>
      </w:pPr>
      <w:r>
        <w:rPr>
          <w:rFonts w:ascii="Arial" w:cs="Arial" w:eastAsia="Arial" w:hAnsi="Arial"/>
          <w:sz w:val="18"/>
          <w:szCs w:val="18"/>
          <w:color w:val="auto"/>
        </w:rPr>
        <w:t>$19 million and $15 million for the years ended December 31, 2018, 2017 and 2016, respectively, which represents the discount from book values at which these accounts receivable were sold to RGHL Group.</w:t>
      </w:r>
    </w:p>
    <w:p>
      <w:pPr>
        <w:ind w:left="640" w:right="280" w:hanging="436"/>
        <w:spacing w:after="0" w:line="277" w:lineRule="auto"/>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RGHL Group’s financing agreements permit the payment to related parties of management, consulting, monitoring and advising fees (the “Management Fee”) of up to 1.5% of RGHL Group’s Adjusted EBITDA (as defined in RGHL Group’s financing agreements) for the previous year. We have been allocated a portion of this Management Fee based on our portion of RGHL Group’s Adjusted EBITDA.</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We are from time to time party to litigation, legal proceedings and tax examinations arising from our operations. Most of these matters involve allegations of damages against us relating to employment matters,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78"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As of December 31, 2018, there were no legal proceedings pending other than those for which we have determined that the possibility of a material outflow is remote.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Security and Guarantee Arrangements: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As of December 31, 2018, certain of our entities and other related entities within RGHL Group have guaranteed the following borrowings of RGHL Group:</w:t>
      </w:r>
    </w:p>
    <w:p>
      <w:pPr>
        <w:spacing w:after="0" w:line="76" w:lineRule="exact"/>
        <w:rPr>
          <w:sz w:val="20"/>
          <w:szCs w:val="20"/>
          <w:color w:val="auto"/>
        </w:rPr>
      </w:pPr>
    </w:p>
    <w:p>
      <w:pPr>
        <w:ind w:left="1180" w:right="40" w:hanging="436"/>
        <w:spacing w:after="0" w:line="27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$3,248 million and €244 million of secured floating rate term loans that mature in 2023 and other obligations under the Credit Agreement, of which $2,037 million is included on our combined balance sheet in long-term debt;</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1180" w:right="340" w:hanging="436"/>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secured revolving credit facilities of $302 million that mature in 2021 ($58 million utilized as of December 31, 2018) under the Credit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$3,137 million of 5.750% senior secured notes that mature in 2020;</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$345 million of 6.875% senior secured notes that mature in 2021;</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$750 million of floating rate senior secured notes that mature in 2021;</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$1,600 million of 5.125% senior secured notes that mature in 2023;</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$800 million of 7.000% senior notes that mature in 2024;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secured local working capital facilities.</w:t>
      </w:r>
    </w:p>
    <w:p>
      <w:pPr>
        <w:spacing w:after="0" w:line="225" w:lineRule="exact"/>
        <w:rPr>
          <w:sz w:val="20"/>
          <w:szCs w:val="20"/>
          <w:color w:val="auto"/>
        </w:rPr>
      </w:pPr>
    </w:p>
    <w:p>
      <w:pPr>
        <w:jc w:val="both"/>
        <w:ind w:left="200" w:right="40"/>
        <w:spacing w:after="0" w:line="302" w:lineRule="auto"/>
        <w:rPr>
          <w:sz w:val="20"/>
          <w:szCs w:val="20"/>
          <w:color w:val="auto"/>
        </w:rPr>
      </w:pPr>
      <w:r>
        <w:rPr>
          <w:rFonts w:ascii="Arial" w:cs="Arial" w:eastAsia="Arial" w:hAnsi="Arial"/>
          <w:sz w:val="16"/>
          <w:szCs w:val="16"/>
          <w:color w:val="auto"/>
        </w:rPr>
        <w:t>Certain of our entities and other related entities within RGHL Group have granted security over their assets to support the secured obligations described above. The equity interests in certain of our entities have been pledged as collateral to support the secured obligations described above. We would only be liable under these guarantees in the event of default by RGHL Group on its obligations, the probability of which we believe is remote. As a result of these arrangements, substantially all of our assets are pledged as security for the secured obligations described above.</w:t>
      </w:r>
    </w:p>
    <w:p>
      <w:pPr>
        <w:spacing w:after="0" w:line="154"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Under the Credit Agreement, all of the U.S. Term Loan borrowers are jointly and severally liable for the outstanding principal. The total principal balance outstanding for the U.S. Term Loan was $3,248 million and $3,282 million as of December 31, 2018 and 2017, respectively. These amounts include the $2,037 million and $2,058 million presented on our combined balance sheets as of December 31, 2018 and 2017, respectively. We have not recognized a liability for the additional outstanding principal as we would only be liable under the agreement in the event of default by RGHL Group on its obligations, which we believe is remote.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lease various facilities and items of plant and equipment.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Rental expenses were $17 million, $14 million and $13 million during the years ended December 31, 2018, 2017 and 2016, respectively. As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minimum rental commitments under non-cancelable operating leases in effect at year-end were as follows:</w:t>
      </w:r>
    </w:p>
    <w:p>
      <w:pPr>
        <w:spacing w:after="0" w:line="22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760" w:type="dxa"/>
            <w:vAlign w:val="bottom"/>
            <w:gridSpan w:val="4"/>
          </w:tcPr>
          <w:p>
            <w:pPr>
              <w:ind w:left="2960"/>
              <w:spacing w:after="0"/>
              <w:rPr>
                <w:sz w:val="20"/>
                <w:szCs w:val="20"/>
                <w:color w:val="auto"/>
              </w:rPr>
            </w:pPr>
            <w:r>
              <w:rPr>
                <w:rFonts w:ascii="Arial" w:cs="Arial" w:eastAsia="Arial" w:hAnsi="Arial"/>
                <w:sz w:val="14"/>
                <w:szCs w:val="14"/>
                <w:b w:val="1"/>
                <w:bCs w:val="1"/>
                <w:color w:val="auto"/>
                <w:w w:val="99"/>
              </w:rPr>
              <w:t>(in millions)</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2020</w:t>
            </w:r>
          </w:p>
        </w:tc>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2022</w:t>
            </w:r>
          </w:p>
        </w:tc>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Thereafter</w:t>
            </w:r>
          </w:p>
        </w:tc>
        <w:tc>
          <w:tcPr>
            <w:tcW w:w="2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2"/>
            <w:shd w:val="clear" w:color="auto" w:fill="CCEEFF"/>
          </w:tcPr>
          <w:p>
            <w:pPr>
              <w:ind w:left="29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 Accumulated Other Comprehensive Income</w:t>
      </w:r>
    </w:p>
    <w:p>
      <w:pPr>
        <w:spacing w:after="0" w:line="12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 Amounts reclassified from accumulated other comprehensive income to net income (net</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60"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of tax) were a net gain of $1 million, a net gain of $2 million and a net loss of $5 million for the years ended December 31, 2018, 2017 and 2016, respectively.</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left="272"/>
              <w:spacing w:after="0"/>
              <w:rPr>
                <w:sz w:val="20"/>
                <w:szCs w:val="20"/>
                <w:color w:val="auto"/>
              </w:rPr>
            </w:pPr>
            <w:r>
              <w:rPr>
                <w:rFonts w:ascii="Arial" w:cs="Arial" w:eastAsia="Arial" w:hAnsi="Arial"/>
                <w:sz w:val="14"/>
                <w:szCs w:val="14"/>
                <w:b w:val="1"/>
                <w:bCs w:val="1"/>
                <w:color w:val="auto"/>
                <w:w w:val="92"/>
              </w:rPr>
              <w:t>For the Years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89"/>
              </w:rPr>
              <w:t>2017</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Balance as of beginning of period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Postretirement benefit plan </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Net actuarial gain (loss) arising during period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 on net actuarial gain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(Gains) and losses reclassified into net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actuarial gain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700"/>
              <w:spacing w:after="0"/>
              <w:rPr>
                <w:sz w:val="20"/>
                <w:szCs w:val="20"/>
                <w:color w:val="auto"/>
              </w:rPr>
            </w:pPr>
            <w:r>
              <w:rPr>
                <w:rFonts w:ascii="Arial" w:cs="Arial" w:eastAsia="Arial" w:hAnsi="Arial"/>
                <w:sz w:val="18"/>
                <w:szCs w:val="18"/>
                <w:color w:val="auto"/>
              </w:rPr>
              <w:t>Defined benefit plan settlement loss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Tax (expense) benefit on reclassifications </w:t>
            </w:r>
            <w:r>
              <w:rPr>
                <w:rFonts w:ascii="Arial" w:cs="Arial" w:eastAsia="Arial" w:hAnsi="Arial"/>
                <w:sz w:val="15"/>
                <w:szCs w:val="15"/>
                <w:color w:val="auto"/>
              </w:rPr>
              <w:t>(1)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beginning of period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end of period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Taxes reclassified to income are recorded in income tax (expense) benefit.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2016 amounts presented above include the defined benefit plan prior to the merger discussed in Note 8 - Benefit Plans.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During the years presented, our U.S. operations were included in the consolidated U.S. federal, certain state and local tax returns filed by RGHL Group. We also file certain separate U.S. state and local and foreign income tax returns. The income tax (expense) benefit included in our combined statements of income has been calculated using the separate return basis. In the future, as a stand-alone entity, we will file tax returns on our own behalf, and our deferred taxes and effective tax rate may differ from those in the historical periods.</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income before income tax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12"/>
          </w:tcPr>
          <w:p>
            <w:pPr>
              <w:jc w:val="center"/>
              <w:ind w:right="32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2017</w:t>
            </w: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5"/>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236</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2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70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income before income taxes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Significant components of income tax expense were as follows:</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91"/>
              </w:rPr>
              <w:t>For the Years Ended December 31,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center"/>
              <w:ind w:left="156"/>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6"/>
          </w:tcPr>
          <w:p>
            <w:pPr>
              <w:jc w:val="center"/>
              <w:ind w:right="5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ind w:left="72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current income tax expense (benefit)</w:t>
            </w:r>
          </w:p>
        </w:tc>
        <w:tc>
          <w:tcPr>
            <w:tcW w:w="3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79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Federal</w:t>
            </w:r>
          </w:p>
        </w:tc>
        <w:tc>
          <w:tcPr>
            <w:tcW w:w="8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tcPr>
          <w:p>
            <w:pPr>
              <w:ind w:left="72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Total deferred income tax expense (benefit)</w:t>
            </w:r>
          </w:p>
        </w:tc>
        <w:tc>
          <w:tcPr>
            <w:tcW w:w="580" w:type="dxa"/>
            <w:vAlign w:val="bottom"/>
            <w:gridSpan w:val="3"/>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gridSpan w:val="2"/>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(84)</w:t>
            </w: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 reconciliation of income taxes computed at the 35% U.S. Federal statutory income tax rate for 2016 and 2017 and 21% for 2018 to our income tax expense (benefit) was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1"/>
              </w:rPr>
              <w:t>For the 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7"/>
              </w:rPr>
              <w:t>U.S. Federal income tax expense at the statutory rate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U.S. state income tax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 differential on foreign earnings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stewardship costs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U.S. tax reform</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tax benefits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40" w:type="dxa"/>
            <w:vAlign w:val="bottom"/>
            <w:gridSpan w:val="2"/>
          </w:tcPr>
          <w:p>
            <w:pPr>
              <w:jc w:val="right"/>
              <w:ind w:right="93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460" w:right="7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While our foreign activities are conducted through corporations, in these combined financial statements, these foreign corporations are not foreign controlled subsidiaries. Accordingly, there are no undistributed earnings of foreign subsidiaries.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Reform:</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“Act”). In general, the Act (i) reduces the U.S. federal tax rate from a maximum of 35% to a flat rate of 21%, effective January 1, 2018; (ii) introduces amendments restricting the ability to deduct interest expense; (iii) imposes a deemed mandatory repatriation tax on certain deferred foreign earnings while introducing a participation exemption tax system; and (iv) on a prospective basis, starting with the year ending December 31, 2018, changes the computation of U.S. federal income tax, including the introduction of new components of income tax which may apply to us.</w:t>
      </w:r>
    </w:p>
    <w:p>
      <w:pPr>
        <w:spacing w:after="0" w:line="188"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The reduction in the U.S. federal tax rate from 35% to 21% resulted in a tax benefit of $172 million related to the remeasurement of net deferred tax liabilities that is recognized in the combined statements of income for the year ended December 31, 2017. As a result of our legal entity structure the mandatory repatriation tax on certain deferred foreign earnings was not applicable.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Deferred income taxes result from temporary differences between the amount of assets and liabilities recognized for financial reporting and tax purposes. The components of our net deferred income tax liability were as follows: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As of December 31,</w:t>
            </w: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Employee benefits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Derivatives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Tax losses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15"/>
                <w:szCs w:val="15"/>
                <w:color w:val="auto"/>
              </w:rPr>
              <w:t>(1)</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Valuation allowance</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after valuation allowance</w:t>
            </w:r>
          </w:p>
        </w:tc>
        <w:tc>
          <w:tcPr>
            <w:tcW w:w="1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(296)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(320)</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60" w:right="840" w:hanging="5456"/>
        <w:spacing w:after="0" w:line="449" w:lineRule="auto"/>
        <w:tabs>
          <w:tab w:leader="none" w:pos="6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a result of the Act, $95 million of interest expense was not deductible for the year ended December 31, 2018 and has been deferred. F-29</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 and foreign net operating loss and tax credit carryforwards, presented on a gross basis, were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2018</w:t>
            </w: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State and foreign net operating loss carryforwards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Expires within 5 years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Expires after 5 years or indefinite expiration</w:t>
            </w:r>
          </w:p>
        </w:tc>
        <w:tc>
          <w:tcPr>
            <w:tcW w:w="1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net operating loss carryforwards</w:t>
            </w:r>
          </w:p>
        </w:tc>
        <w:tc>
          <w:tcPr>
            <w:tcW w:w="1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Expires within 5 years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tax credit carryforwards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Deferred tax assets related to state and foreign net operating loss carryovers and state tax credit carryovers are available to offset future state taxable earnings. We have provided a valuation allowance to reduce the carrying value of certain of these deferred tax assets, as we have concluded that, based on the available evidence, it is more likely than not that the deferred tax assets will not be fully realized. Valuation allowances were $3 million and $4 million as of December 31, 2018 and 2017, respectively. There were no material changes in valuation allowances in any of the years presented.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activity related to our gross unrecognized tax benefits: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w w:val="91"/>
              </w:rPr>
              <w:t>For the Years Ended 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associated with tax positions taken during the current year</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unrecognized tax benefits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Accrued interest and penalties related to unrecognized tax benefits have been recorded in income tax expense. No expense for accrued interest and penalties was recognized during the years ended December 31, 2018, 2017 and 2016.</w:t>
      </w:r>
    </w:p>
    <w:p>
      <w:pPr>
        <w:spacing w:after="0" w:line="17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Each year we file income tax returns in the various national, state and local income taxing jurisdictions in which we operate. Foreign jurisdictions comprise Canada and China.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 years 2016 and forward remain subject to examination by the IRS. We are not currently under IRS audit.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We are currently subject to a separate company New Jersey state income tax audit for the years 2013 through 2015.</w:t>
      </w:r>
    </w:p>
    <w:p>
      <w:pPr>
        <w:spacing w:after="0" w:line="17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open tax years for our Canadian income taxes are 2014 and forward. The open tax years for our Chinese income taxes are 2015 and forward. We have no current or recent tax audits in either Canada or China.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Taxes Paid: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Taxes paid were $8 million, $7 million and $3 million for the years ended December 31, 2018, 2017 and 2016, respectively.</w:t>
      </w:r>
    </w:p>
    <w:p>
      <w:pPr>
        <w:spacing w:after="0" w:line="22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Our U.S. entities are members of a consolidated U.S. tax entity. The current U.S. federal tax liability of our U.S. entities is aggregated with the other members of the consolidated U.S. tax entity and settled on a net basis by a related party. There is no formal tax sharing arrangement. The settlement of our U.S. federal current tax is recognized directly as a movement in Net Parent deficit in equity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 xml:space="preserve">Our Chief Executive Officer, who has been identified as our Chief Operating Decision Maker (“CODM”), has evaluated how he views and measures our performance.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establishes the standards for reporting information about segments in financial statements. In applying the criteria set forth in ASC 280, and in conjunction with a management realignment in June 2019,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Reynolds Cooking &amp; Baking</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Our Reynolds Cooking &amp; Baking segment produces branded and store brand foil, parchment paper, disposable aluminum pans and slow cooker liners. Our branded products are sold under the Reynolds</w:t>
      </w:r>
      <w:r>
        <w:rPr>
          <w:rFonts w:ascii="Arial" w:cs="Arial" w:eastAsia="Arial" w:hAnsi="Arial"/>
          <w:sz w:val="15"/>
          <w:szCs w:val="15"/>
          <w:color w:val="auto"/>
        </w:rPr>
        <w:t>®</w:t>
      </w:r>
      <w:r>
        <w:rPr>
          <w:rFonts w:ascii="Arial" w:cs="Arial" w:eastAsia="Arial" w:hAnsi="Arial"/>
          <w:sz w:val="18"/>
          <w:szCs w:val="18"/>
          <w:color w:val="auto"/>
        </w:rPr>
        <w:t>, Reynolds KITCHENS and E-Z Foil</w:t>
      </w:r>
      <w:r>
        <w:rPr>
          <w:rFonts w:ascii="Arial" w:cs="Arial" w:eastAsia="Arial" w:hAnsi="Arial"/>
          <w:sz w:val="15"/>
          <w:szCs w:val="15"/>
          <w:color w:val="auto"/>
        </w:rPr>
        <w:t>®</w:t>
      </w:r>
      <w:r>
        <w:rPr>
          <w:rFonts w:ascii="Arial" w:cs="Arial" w:eastAsia="Arial" w:hAnsi="Arial"/>
          <w:sz w:val="18"/>
          <w:szCs w:val="18"/>
          <w:color w:val="auto"/>
        </w:rPr>
        <w:t xml:space="preserve"> brands in the United States, under the ALCAN</w:t>
      </w:r>
      <w:r>
        <w:rPr>
          <w:rFonts w:ascii="Arial" w:cs="Arial" w:eastAsia="Arial" w:hAnsi="Arial"/>
          <w:sz w:val="15"/>
          <w:szCs w:val="15"/>
          <w:color w:val="auto"/>
        </w:rPr>
        <w:t>®</w:t>
      </w:r>
      <w:r>
        <w:rPr>
          <w:rFonts w:ascii="Arial" w:cs="Arial" w:eastAsia="Arial" w:hAnsi="Arial"/>
          <w:sz w:val="18"/>
          <w:szCs w:val="18"/>
          <w:color w:val="auto"/>
        </w:rPr>
        <w:t xml:space="preserve"> brand in Canada and under the Diamond</w:t>
      </w:r>
      <w:r>
        <w:rPr>
          <w:rFonts w:ascii="Arial" w:cs="Arial" w:eastAsia="Arial" w:hAnsi="Arial"/>
          <w:sz w:val="15"/>
          <w:szCs w:val="15"/>
          <w:color w:val="auto"/>
        </w:rPr>
        <w:t>®</w:t>
      </w:r>
      <w:r>
        <w:rPr>
          <w:rFonts w:ascii="Arial" w:cs="Arial" w:eastAsia="Arial" w:hAnsi="Arial"/>
          <w:sz w:val="18"/>
          <w:szCs w:val="18"/>
          <w:color w:val="auto"/>
        </w:rPr>
        <w:t xml:space="preserve"> brand outside of North America.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Hefty Waste &amp; Storage</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products are sold under brand names such as Hefty</w:t>
      </w:r>
      <w:r>
        <w:rPr>
          <w:rFonts w:ascii="Arial" w:cs="Arial" w:eastAsia="Arial" w:hAnsi="Arial"/>
          <w:sz w:val="15"/>
          <w:szCs w:val="15"/>
          <w:color w:val="auto"/>
        </w:rPr>
        <w:t>®</w:t>
      </w:r>
      <w:r>
        <w:rPr>
          <w:rFonts w:ascii="Arial" w:cs="Arial" w:eastAsia="Arial" w:hAnsi="Arial"/>
          <w:sz w:val="18"/>
          <w:szCs w:val="18"/>
          <w:color w:val="auto"/>
        </w:rPr>
        <w:t xml:space="preserve"> Ultra Strong</w:t>
      </w:r>
      <w:r>
        <w:rPr>
          <w:rFonts w:ascii="Arial" w:cs="Arial" w:eastAsia="Arial" w:hAnsi="Arial"/>
          <w:sz w:val="15"/>
          <w:szCs w:val="15"/>
          <w:color w:val="auto"/>
        </w:rPr>
        <w:t>™</w:t>
      </w:r>
      <w:r>
        <w:rPr>
          <w:rFonts w:ascii="Arial" w:cs="Arial" w:eastAsia="Arial" w:hAnsi="Arial"/>
          <w:sz w:val="18"/>
          <w:szCs w:val="18"/>
          <w:color w:val="auto"/>
        </w:rPr>
        <w:t>, Hefty</w:t>
      </w:r>
      <w:r>
        <w:rPr>
          <w:rFonts w:ascii="Arial" w:cs="Arial" w:eastAsia="Arial" w:hAnsi="Arial"/>
          <w:sz w:val="15"/>
          <w:szCs w:val="15"/>
          <w:color w:val="auto"/>
        </w:rPr>
        <w:t>®</w:t>
      </w:r>
      <w:r>
        <w:rPr>
          <w:rFonts w:ascii="Arial" w:cs="Arial" w:eastAsia="Arial" w:hAnsi="Arial"/>
          <w:sz w:val="18"/>
          <w:szCs w:val="18"/>
          <w:color w:val="auto"/>
        </w:rPr>
        <w:t xml:space="preserve"> Strong Trash Bags and Hefty</w:t>
      </w:r>
      <w:r>
        <w:rPr>
          <w:rFonts w:ascii="Arial" w:cs="Arial" w:eastAsia="Arial" w:hAnsi="Arial"/>
          <w:sz w:val="15"/>
          <w:szCs w:val="15"/>
          <w:color w:val="auto"/>
        </w:rPr>
        <w:t>®</w:t>
      </w:r>
      <w:r>
        <w:rPr>
          <w:rFonts w:ascii="Arial" w:cs="Arial" w:eastAsia="Arial" w:hAnsi="Arial"/>
          <w:sz w:val="18"/>
          <w:szCs w:val="18"/>
          <w:color w:val="auto"/>
        </w:rPr>
        <w:t xml:space="preserve"> Slider Bags.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Hefty Tableware</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plates, bowls, platters, cups and cutlery. Our branded products, which include dishes and party cups, are sold under the Hefty</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Presto Products</w:t>
      </w:r>
    </w:p>
    <w:p>
      <w:pPr>
        <w:spacing w:after="0" w:line="117"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Our Presto Products segment primarily sells store brand products in four main categories: food storage bags, trash bags, disposable storage containers and food wrap. Our Presto Products segment also includes our specialty business which sells re-sealable closure systems.</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Information by Segment:</w:t>
      </w:r>
    </w:p>
    <w:p>
      <w:pPr>
        <w:spacing w:after="0" w:line="11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17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Adjusted EBITDA represents each segment’s earnings before interest, tax, depreciation and amortization and is further adjusted to exclude unrealized gains and losses on derivatives, costs associated with rationalizing operations and administrative functions, factoring discounts, defined benefit plan settlement losses, amortization of actuarial gains, operational process engineering related consultancy costs and the allocated related party Management Fee.</w:t>
      </w:r>
    </w:p>
    <w:p>
      <w:pPr>
        <w:spacing w:after="0" w:line="187" w:lineRule="exact"/>
        <w:rPr>
          <w:sz w:val="20"/>
          <w:szCs w:val="20"/>
          <w:color w:val="auto"/>
        </w:rPr>
      </w:pPr>
    </w:p>
    <w:p>
      <w:pPr>
        <w:jc w:val="both"/>
        <w:ind w:left="200" w:right="640"/>
        <w:spacing w:after="0" w:line="264" w:lineRule="auto"/>
        <w:rPr>
          <w:sz w:val="20"/>
          <w:szCs w:val="20"/>
          <w:color w:val="auto"/>
        </w:rPr>
      </w:pPr>
      <w:r>
        <w:rPr>
          <w:rFonts w:ascii="Arial" w:cs="Arial" w:eastAsia="Arial" w:hAnsi="Arial"/>
          <w:sz w:val="18"/>
          <w:szCs w:val="18"/>
          <w:color w:val="auto"/>
        </w:rPr>
        <w:t>Total assets by segment are those assets directly associated with the respective operating activities, comprising inventory and property, plant and equipment. Other assets, such as cash, accounts receivable and other intangible assets, are monitored on an entity-wide basis and not included in segment information that is regularly reviewed by our CODM.</w:t>
      </w:r>
    </w:p>
    <w:p>
      <w:pPr>
        <w:spacing w:after="0" w:line="18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accounting policies applied by our segments are the same as those described in Note 2 - Summary of Significant Accounting Policies. Transactions between segments are at negotiated prices.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14"/>
                <w:szCs w:val="14"/>
                <w:color w:val="auto"/>
              </w:rPr>
            </w:pPr>
          </w:p>
        </w:tc>
        <w:tc>
          <w:tcPr>
            <w:tcW w:w="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Presto</w:t>
            </w:r>
          </w:p>
        </w:tc>
        <w:tc>
          <w:tcPr>
            <w:tcW w:w="860" w:type="dxa"/>
            <w:vAlign w:val="bottom"/>
            <w:gridSpan w:val="2"/>
            <w:vMerge w:val="restart"/>
          </w:tcPr>
          <w:p>
            <w:pPr>
              <w:jc w:val="center"/>
              <w:ind w:left="233"/>
              <w:spacing w:after="0"/>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60" w:type="dxa"/>
            <w:vAlign w:val="bottom"/>
            <w:gridSpan w:val="3"/>
          </w:tcPr>
          <w:p>
            <w:pPr>
              <w:jc w:val="center"/>
              <w:ind w:left="1059"/>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80" w:type="dxa"/>
            <w:vAlign w:val="bottom"/>
            <w:gridSpan w:val="3"/>
          </w:tcPr>
          <w:p>
            <w:pPr>
              <w:jc w:val="center"/>
              <w:ind w:left="237"/>
              <w:spacing w:after="0" w:line="149" w:lineRule="exact"/>
              <w:rPr>
                <w:sz w:val="20"/>
                <w:szCs w:val="20"/>
                <w:color w:val="auto"/>
              </w:rPr>
            </w:pPr>
            <w:r>
              <w:rPr>
                <w:rFonts w:ascii="Arial" w:cs="Arial" w:eastAsia="Arial" w:hAnsi="Arial"/>
                <w:sz w:val="14"/>
                <w:szCs w:val="14"/>
                <w:b w:val="1"/>
                <w:bCs w:val="1"/>
                <w:color w:val="auto"/>
                <w:w w:val="94"/>
              </w:rPr>
              <w:t>Waste &amp;</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 xml:space="preserve">Unallocated </w:t>
            </w:r>
            <w:r>
              <w:rPr>
                <w:rFonts w:ascii="Arial" w:cs="Arial" w:eastAsia="Arial" w:hAnsi="Arial"/>
                <w:sz w:val="12"/>
                <w:szCs w:val="12"/>
                <w:b w:val="1"/>
                <w:bCs w:val="1"/>
                <w:color w:val="auto"/>
              </w:rPr>
              <w:t>(1)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Baking</w:t>
            </w:r>
          </w:p>
        </w:tc>
        <w:tc>
          <w:tcPr>
            <w:tcW w:w="34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Storage</w:t>
            </w:r>
          </w:p>
        </w:tc>
        <w:tc>
          <w:tcPr>
            <w:tcW w:w="98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Tableware</w:t>
            </w:r>
          </w:p>
        </w:tc>
        <w:tc>
          <w:tcPr>
            <w:tcW w:w="90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Products</w:t>
            </w:r>
          </w:p>
        </w:tc>
        <w:tc>
          <w:tcPr>
            <w:tcW w:w="3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4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2018</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687</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539</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$ 3,142</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539</w:t>
            </w:r>
          </w:p>
        </w:tc>
        <w:tc>
          <w:tcPr>
            <w:tcW w:w="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3,151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3,142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163</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881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5,540</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6,421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24"/>
                <w:szCs w:val="24"/>
                <w:color w:val="auto"/>
              </w:rPr>
            </w:pPr>
          </w:p>
        </w:tc>
        <w:tc>
          <w:tcPr>
            <w:tcW w:w="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Presto</w:t>
            </w:r>
          </w:p>
        </w:tc>
        <w:tc>
          <w:tcPr>
            <w:tcW w:w="860" w:type="dxa"/>
            <w:vAlign w:val="bottom"/>
            <w:gridSpan w:val="2"/>
            <w:vMerge w:val="restart"/>
          </w:tcPr>
          <w:p>
            <w:pPr>
              <w:jc w:val="center"/>
              <w:ind w:left="233"/>
              <w:spacing w:after="0"/>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60" w:type="dxa"/>
            <w:vAlign w:val="bottom"/>
            <w:gridSpan w:val="3"/>
          </w:tcPr>
          <w:p>
            <w:pPr>
              <w:jc w:val="center"/>
              <w:ind w:left="1059"/>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80" w:type="dxa"/>
            <w:vAlign w:val="bottom"/>
            <w:gridSpan w:val="3"/>
          </w:tcPr>
          <w:p>
            <w:pPr>
              <w:jc w:val="center"/>
              <w:ind w:left="237"/>
              <w:spacing w:after="0" w:line="149" w:lineRule="exact"/>
              <w:rPr>
                <w:sz w:val="20"/>
                <w:szCs w:val="20"/>
                <w:color w:val="auto"/>
              </w:rPr>
            </w:pPr>
            <w:r>
              <w:rPr>
                <w:rFonts w:ascii="Arial" w:cs="Arial" w:eastAsia="Arial" w:hAnsi="Arial"/>
                <w:sz w:val="14"/>
                <w:szCs w:val="14"/>
                <w:b w:val="1"/>
                <w:bCs w:val="1"/>
                <w:color w:val="auto"/>
                <w:w w:val="94"/>
              </w:rPr>
              <w:t>Waste &amp;</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 xml:space="preserve">Unallocated </w:t>
            </w:r>
            <w:r>
              <w:rPr>
                <w:rFonts w:ascii="Arial" w:cs="Arial" w:eastAsia="Arial" w:hAnsi="Arial"/>
                <w:sz w:val="12"/>
                <w:szCs w:val="12"/>
                <w:b w:val="1"/>
                <w:bCs w:val="1"/>
                <w:color w:val="auto"/>
              </w:rPr>
              <w:t>(1)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Baking</w:t>
            </w:r>
          </w:p>
        </w:tc>
        <w:tc>
          <w:tcPr>
            <w:tcW w:w="34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Storage</w:t>
            </w:r>
          </w:p>
        </w:tc>
        <w:tc>
          <w:tcPr>
            <w:tcW w:w="98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Tableware</w:t>
            </w:r>
          </w:p>
        </w:tc>
        <w:tc>
          <w:tcPr>
            <w:tcW w:w="90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Products</w:t>
            </w:r>
          </w:p>
        </w:tc>
        <w:tc>
          <w:tcPr>
            <w:tcW w:w="3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total</w:t>
            </w:r>
          </w:p>
        </w:tc>
        <w:tc>
          <w:tcPr>
            <w:tcW w:w="14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628</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731</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530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$ 2,957</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2,968</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154</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786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5,125</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5,911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jc w:val="right"/>
              <w:ind w:right="192"/>
              <w:spacing w:after="0"/>
              <w:rPr>
                <w:sz w:val="20"/>
                <w:szCs w:val="20"/>
                <w:color w:val="auto"/>
              </w:rPr>
            </w:pPr>
            <w:r>
              <w:rPr>
                <w:rFonts w:ascii="Arial" w:cs="Arial" w:eastAsia="Arial" w:hAnsi="Arial"/>
                <w:sz w:val="18"/>
                <w:szCs w:val="18"/>
                <w:color w:val="auto"/>
              </w:rPr>
              <w:t>F-32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Reynolds</w:t>
            </w:r>
          </w:p>
        </w:tc>
        <w:tc>
          <w:tcPr>
            <w:tcW w:w="3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Hefty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Hefty</w:t>
            </w:r>
          </w:p>
        </w:tc>
        <w:tc>
          <w:tcPr>
            <w:tcW w:w="340" w:type="dxa"/>
            <w:vAlign w:val="bottom"/>
          </w:tcPr>
          <w:p>
            <w:pPr>
              <w:spacing w:after="0"/>
              <w:rPr>
                <w:sz w:val="14"/>
                <w:szCs w:val="14"/>
                <w:color w:val="auto"/>
              </w:rPr>
            </w:pPr>
          </w:p>
        </w:tc>
        <w:tc>
          <w:tcPr>
            <w:tcW w:w="5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Presto</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60" w:type="dxa"/>
            <w:vAlign w:val="bottom"/>
            <w:gridSpan w:val="2"/>
          </w:tcPr>
          <w:p>
            <w:pPr>
              <w:jc w:val="center"/>
              <w:ind w:left="1054"/>
              <w:spacing w:after="0" w:line="149" w:lineRule="exact"/>
              <w:rPr>
                <w:sz w:val="20"/>
                <w:szCs w:val="20"/>
                <w:color w:val="auto"/>
              </w:rPr>
            </w:pPr>
            <w:r>
              <w:rPr>
                <w:rFonts w:ascii="Arial" w:cs="Arial" w:eastAsia="Arial" w:hAnsi="Arial"/>
                <w:sz w:val="14"/>
                <w:szCs w:val="14"/>
                <w:b w:val="1"/>
                <w:bCs w:val="1"/>
                <w:color w:val="auto"/>
                <w:w w:val="97"/>
              </w:rPr>
              <w:t>Cooking &amp;</w:t>
            </w:r>
          </w:p>
        </w:tc>
        <w:tc>
          <w:tcPr>
            <w:tcW w:w="880" w:type="dxa"/>
            <w:vAlign w:val="bottom"/>
            <w:gridSpan w:val="2"/>
          </w:tcPr>
          <w:p>
            <w:pPr>
              <w:jc w:val="center"/>
              <w:ind w:left="233"/>
              <w:spacing w:after="0" w:line="149" w:lineRule="exact"/>
              <w:rPr>
                <w:sz w:val="20"/>
                <w:szCs w:val="20"/>
                <w:color w:val="auto"/>
              </w:rPr>
            </w:pPr>
            <w:r>
              <w:rPr>
                <w:rFonts w:ascii="Arial" w:cs="Arial" w:eastAsia="Arial" w:hAnsi="Arial"/>
                <w:sz w:val="14"/>
                <w:szCs w:val="14"/>
                <w:b w:val="1"/>
                <w:bCs w:val="1"/>
                <w:color w:val="auto"/>
                <w:w w:val="94"/>
              </w:rPr>
              <w:t>Waste &amp;</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 xml:space="preserve">Unallocated </w:t>
            </w:r>
            <w:r>
              <w:rPr>
                <w:rFonts w:ascii="Arial" w:cs="Arial" w:eastAsia="Arial" w:hAnsi="Arial"/>
                <w:sz w:val="12"/>
                <w:szCs w:val="12"/>
                <w:b w:val="1"/>
                <w:bCs w:val="1"/>
                <w:color w:val="auto"/>
              </w:rPr>
              <w:t>(1)</w:t>
            </w:r>
          </w:p>
        </w:tc>
        <w:tc>
          <w:tcPr>
            <w:tcW w:w="1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Baking</w:t>
            </w:r>
          </w:p>
        </w:tc>
        <w:tc>
          <w:tcPr>
            <w:tcW w:w="3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1"/>
              </w:rPr>
              <w:t>Storage</w:t>
            </w:r>
          </w:p>
        </w:tc>
        <w:tc>
          <w:tcPr>
            <w:tcW w:w="98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Tableware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Products</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1,057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658</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86"/>
              </w:rPr>
              <w:t>710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510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$ 2,935</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Total segment net revenues</w:t>
            </w:r>
          </w:p>
        </w:tc>
        <w:tc>
          <w:tcPr>
            <w:tcW w:w="1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6"/>
              </w:rPr>
              <w:t>710</w:t>
            </w: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2,948</w:t>
            </w: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440"/>
              <w:spacing w:after="0"/>
              <w:rPr>
                <w:sz w:val="20"/>
                <w:szCs w:val="20"/>
                <w:color w:val="auto"/>
              </w:rPr>
            </w:pPr>
            <w:r>
              <w:rPr>
                <w:rFonts w:ascii="Arial" w:cs="Arial" w:eastAsia="Arial" w:hAnsi="Arial"/>
                <w:sz w:val="18"/>
                <w:szCs w:val="18"/>
                <w:color w:val="auto"/>
                <w:w w:val="79"/>
              </w:rPr>
              <w:t>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360" w:hanging="436"/>
        <w:spacing w:after="0" w:line="256" w:lineRule="auto"/>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Unallocated includes eliminations of intersegment revenues, unallocated depreciation and amortization and unallocated assets, which are comprised of cash, accounts receivable, other receivables, entity-wide property, plant and equipment, goodwill, intangible assets, related party receivables and other assets.</w:t>
      </w:r>
    </w:p>
    <w:p>
      <w:pPr>
        <w:ind w:left="640" w:right="320" w:hanging="436"/>
        <w:spacing w:after="0" w:line="255" w:lineRule="auto"/>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each of the years presented, the property, plant and equipment included in our Hefty Tableware segment was contributed to us from RGHL Group. No capital expenditures were incurred by us in relation to these items. Refer to Note 14 - Related Party Transactions for additional information.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a reconciliation of segment Adjusted EBITDA to combined U.S. GAAP income before income taxes: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253"/>
              <w:spacing w:after="0"/>
              <w:rPr>
                <w:sz w:val="20"/>
                <w:szCs w:val="20"/>
                <w:color w:val="auto"/>
              </w:rPr>
            </w:pPr>
            <w:r>
              <w:rPr>
                <w:rFonts w:ascii="Arial" w:cs="Arial" w:eastAsia="Arial" w:hAnsi="Arial"/>
                <w:sz w:val="14"/>
                <w:szCs w:val="14"/>
                <w:b w:val="1"/>
                <w:bCs w:val="1"/>
                <w:color w:val="auto"/>
                <w:w w:val="91"/>
              </w:rPr>
              <w:t>For the 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Corporate / unallocated expenses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i w:val="1"/>
                <w:iCs w:val="1"/>
                <w:color w:val="auto"/>
                <w:w w:val="90"/>
              </w:rPr>
              <w:t>Adjustments to reconcile to U.S. GAAP income before income taxes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Factoring discount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Allocated related party Management Fee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derivatives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Business rationalization costs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 settlement loss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U.S. GAAP income before income taxes</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140" w:type="dxa"/>
            <w:vAlign w:val="bottom"/>
            <w:gridSpan w:val="2"/>
          </w:tcPr>
          <w:p>
            <w:pPr>
              <w:jc w:val="right"/>
              <w:ind w:right="172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Information in Relation to Products: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revenues by product line are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2018</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4"/>
          </w:tcPr>
          <w:p>
            <w:pPr>
              <w:jc w:val="center"/>
              <w:ind w:left="19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Waste and storage products </w:t>
            </w:r>
            <w:r>
              <w:rPr>
                <w:rFonts w:ascii="Arial" w:cs="Arial" w:eastAsia="Arial" w:hAnsi="Arial"/>
                <w:sz w:val="15"/>
                <w:szCs w:val="15"/>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Cooking products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Tableware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0" w:type="dxa"/>
            <w:vAlign w:val="bottom"/>
            <w:shd w:val="clear" w:color="auto" w:fill="CCEEFF"/>
          </w:tcPr>
          <w:p>
            <w:pPr>
              <w:spacing w:after="0"/>
              <w:rPr>
                <w:sz w:val="18"/>
                <w:szCs w:val="18"/>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w:t>
            </w:r>
          </w:p>
        </w:tc>
        <w:tc>
          <w:tcPr>
            <w:tcW w:w="5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Geographic Data:</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Geographic data for net revenues (recognized based on location of our business operations) and long-lived assets (representing property, plant and equipment) are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900" w:type="dxa"/>
            <w:vAlign w:val="bottom"/>
            <w:gridSpan w:val="15"/>
          </w:tcPr>
          <w:p>
            <w:pPr>
              <w:jc w:val="right"/>
              <w:ind w:right="4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3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4"/>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8"/>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$ 3,079</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40" w:type="dxa"/>
            <w:vAlign w:val="bottom"/>
            <w:gridSpan w:val="5"/>
          </w:tcPr>
          <w:p>
            <w:pPr>
              <w:jc w:val="right"/>
              <w:ind w:right="40"/>
              <w:spacing w:after="0"/>
              <w:rPr>
                <w:sz w:val="20"/>
                <w:szCs w:val="20"/>
                <w:color w:val="auto"/>
              </w:rPr>
            </w:pPr>
            <w:r>
              <w:rPr>
                <w:rFonts w:ascii="Arial" w:cs="Arial" w:eastAsia="Arial" w:hAnsi="Arial"/>
                <w:sz w:val="18"/>
                <w:szCs w:val="18"/>
                <w:color w:val="auto"/>
              </w:rPr>
              <w:t>2,862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2,842</w:t>
            </w: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5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$ 3,142</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2,957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2,935</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3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8"/>
              </w:rPr>
              <w:t>As of December 31,</w:t>
            </w:r>
          </w:p>
        </w:tc>
      </w:tr>
      <w:tr>
        <w:trPr>
          <w:trHeight w:val="142"/>
        </w:trPr>
        <w:tc>
          <w:tcPr>
            <w:tcW w:w="3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3"/>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Entity-wide Disclosures:</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Net revenues from our largest customer and its affiliates were 40%, 39% and 38% of total net revenues for the years ended December 31, 2018, 2017 and 2016, respectively. The net revenues from our largest customer were recognized across all of our segments. No other customers accounted for 10% or more of our total net revenues in any of the periods presented. As a result of our participation in RGHL Group’s factoring arrangement, there were no outstanding receivables with this customer as of December 31, 2018 and 2017.</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 Related Party Transactions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parent is RGHL, the ultimate parent is Packaging Holdings Limited, and the ultimate shareholder is Mr. Graeme Hart.</w:t>
      </w: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addition to the allocation of expenses for certain services related to group wide functions provided by RGHL Group discussed in Note 1 - Description of Business and Basis of Presentation, other transactions between us and RGHL Group are described below. As indicated, certain transactions are reflected in equity (deficit) in our combined balance sheets as Net Parent deficit and in our combined statements of cash flows as a financing activity in net transfers from Parent.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the years ended December 31, 2018, 2017 and 2016, revenues from product sold to RGHL Group were $161 million, $148 million and</w:t>
      </w:r>
    </w:p>
    <w:p>
      <w:pPr>
        <w:spacing w:after="0" w:line="35" w:lineRule="exact"/>
        <w:rPr>
          <w:sz w:val="20"/>
          <w:szCs w:val="20"/>
          <w:color w:val="auto"/>
        </w:rPr>
      </w:pPr>
    </w:p>
    <w:p>
      <w:pPr>
        <w:ind w:left="200" w:right="200"/>
        <w:spacing w:after="0" w:line="288" w:lineRule="auto"/>
        <w:rPr>
          <w:sz w:val="20"/>
          <w:szCs w:val="20"/>
          <w:color w:val="auto"/>
        </w:rPr>
      </w:pPr>
      <w:r>
        <w:rPr>
          <w:rFonts w:ascii="Arial" w:cs="Arial" w:eastAsia="Arial" w:hAnsi="Arial"/>
          <w:sz w:val="16"/>
          <w:szCs w:val="16"/>
          <w:color w:val="auto"/>
        </w:rPr>
        <w:t>$143 million, respectively, and the related costs of sales were $155 million, $144 million and $137 million, respectively. For each of the years ended December 31, 2018, 2017 and 2016, we charged RGHL Group $2 million of our warehousing costs, which were included in cost of sales. Current related party receivables were $30 million and $64 million as of December 31, 2018 and 2017, respectively. For the years ended December 31, 2018, 2017 and 2016, products purchased from RGHL Group were $511 million, $492 million and $494 million, respectively. For the years ended December 31, 2018, 2017 and 2016, RGHL Group charged us $143 million, $120 million and $117 million, respectively, of their freight and warehousing costs, which were included in cost of sales. Current related party payables were $268 million and $245 million as of December 31, 2018 and 2017, respectively. These related party receivables and payables are settled regularly with RGHL Group in the normal course of business.</w:t>
      </w:r>
    </w:p>
    <w:p>
      <w:pPr>
        <w:spacing w:after="0" w:line="169"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During the years ended December 31, 2018, 2017 and 2016, property, plant and equipment related to our Hefty Tableware segment of $17 million, $5 million and $4 million, respectively, was contributed to us by RGHL Group.</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written interest-bearing loan agreements in place with RGHL Group which are presented as related party long-term receivables and related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party borrowings on our combined balance sheets. These balances are expected to be settled in cash. Related party long-term receivables were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$2,401 million and $1,929 million as of December 31, 2018 and 2017, respectively. During the year ended December 31, 2017, $162 million of related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party long-term receivables from RGHL Group were offset against current income taxes payable. Related party borrowings were $3,950 million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$3,927 million as of December 31, 2018 and 2017, respectively. Related party accrued interest payable was $576 million and $367 million as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and 2017, respectively. We remit accrued interest payable to RGHL Group as and when requested in conjunction with its cash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management activities. Interest expense and income related to these loan agreements are discussed in Note 6 - Debt and Borrowing Arrangements,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are accrued based on the written loan agreements. During the years ended December 31, 2018, 2017 and 2016 we borrowed $338 million, $416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$634 million ($17 million non-cash), respectively, from RGHL Group and repaid borrowings of $314 million, $456 million ($3 million non-cash)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$261 million ($6 million non-cash), respectively. During the years ended December 31, 2018, 2017 and 2016 we advanced loans of $537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$508 million and $650 million, respectively, to RGHL Group and received repayments of $65 million, $200 million and $109 million, respectively.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year ended December 31, 2016, we incurred $1,350 million of additional borrowings under the Credit Agreement. The cash associated with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additional borrowings, net of $16 million in non-lender fees, was received directly by RGHL Group which resulted in an offsetting reduction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related party borrowings owing to RGHL Group.</w:t>
      </w:r>
    </w:p>
    <w:p>
      <w:pPr>
        <w:spacing w:after="0" w:line="21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weighted average contractual interest rate related to our related party borrowings as of December 31, 2018, 2017 and 2016, was 6.00%, 6.28% and 6.79%, respectively. Below is a schedule of maturity of our related party</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80"/>
          </w:cols>
          <w:pgMar w:left="24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Reynolds Consumer Group</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56"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borrowings as of December 31, 2018. Subsequent to the settlement of certain balances due to and from RGHL Group in June 2019, as discussed in Note 15 - Subsequent Events, the remaining related party borrowings balances all have maturity dates in 2022. The fair value of our related party borrowings as of December 31, 2018 and 2017, which is a Level 2 fair value measurement, approximates the carrying value.</w:t>
      </w:r>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60" w:type="dxa"/>
            <w:vAlign w:val="bottom"/>
            <w:gridSpan w:val="4"/>
          </w:tcPr>
          <w:p>
            <w:pPr>
              <w:ind w:left="2360"/>
              <w:spacing w:after="0"/>
              <w:rPr>
                <w:sz w:val="20"/>
                <w:szCs w:val="20"/>
                <w:color w:val="auto"/>
              </w:rPr>
            </w:pPr>
            <w:r>
              <w:rPr>
                <w:rFonts w:ascii="Arial" w:cs="Arial" w:eastAsia="Arial" w:hAnsi="Arial"/>
                <w:sz w:val="14"/>
                <w:szCs w:val="14"/>
                <w:b w:val="1"/>
                <w:bCs w:val="1"/>
                <w:color w:val="auto"/>
                <w:w w:val="99"/>
              </w:rPr>
              <w:t>(in millions)</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2020</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2022</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Thereafter</w:t>
            </w:r>
          </w:p>
        </w:tc>
        <w:tc>
          <w:tcPr>
            <w:tcW w:w="2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Related party borrowings</w:t>
            </w:r>
          </w:p>
        </w:tc>
        <w:tc>
          <w:tcPr>
            <w:tcW w:w="2580" w:type="dxa"/>
            <w:vAlign w:val="bottom"/>
            <w:gridSpan w:val="2"/>
            <w:shd w:val="clear" w:color="auto" w:fill="CCEEFF"/>
          </w:tcPr>
          <w:p>
            <w:pPr>
              <w:ind w:left="23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The weighted average contractual interest rate related to our non-current related party receivables as of December 31, 2018, 2017 and 2016, was 2.92%, 1.67% and 0.95%, respectively. As of December 31, 2018, these receivables were to mature in 2022, however as discussed in Note 15 - Subsequent Events, in June 2019 they were used to reduce the balances outstanding under various related party borrowings.</w:t>
      </w:r>
    </w:p>
    <w:p>
      <w:pPr>
        <w:spacing w:after="0" w:line="166"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As discussed in Note 2 - Summary of Significant Accounting Policies, we also participate in RGHL Group’s accounts receivable factoring arrangement whereby certain of our accounts receivable are sold at a discount to RGHL Group. Costs for participating in the factoring arrangement are disclosed in Note 9 - Other Expense, Net.</w:t>
      </w:r>
    </w:p>
    <w:p>
      <w:pPr>
        <w:spacing w:after="0" w:line="181" w:lineRule="exact"/>
        <w:rPr>
          <w:sz w:val="20"/>
          <w:szCs w:val="20"/>
          <w:color w:val="auto"/>
        </w:rPr>
      </w:pPr>
    </w:p>
    <w:p>
      <w:pPr>
        <w:jc w:val="both"/>
        <w:ind w:left="200" w:right="400"/>
        <w:spacing w:after="0" w:line="342" w:lineRule="auto"/>
        <w:rPr>
          <w:sz w:val="20"/>
          <w:szCs w:val="20"/>
          <w:color w:val="auto"/>
        </w:rPr>
      </w:pPr>
      <w:r>
        <w:rPr>
          <w:rFonts w:ascii="Arial" w:cs="Arial" w:eastAsia="Arial" w:hAnsi="Arial"/>
          <w:sz w:val="16"/>
          <w:szCs w:val="16"/>
          <w:color w:val="auto"/>
        </w:rPr>
        <w:t>We have obtained a letter of support from RGHL confirming its commitment to provide us with financial support to the extent that other sources of funding are not otherwise available to us, expiring the earliest of (i) December 28, 2020; (ii) a sale of the business; or (iii) an initial public offering.</w:t>
      </w:r>
    </w:p>
    <w:p>
      <w:pPr>
        <w:spacing w:after="0" w:line="124"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 addition, our U.S. entities are members of a consolidated U.S. tax entity. The current U.S. federal tax liability of our U.S. entities is aggregated with the other members of the consolidated U.S. tax entity and settled on a net basis by a related party. There is no formal tax sharing arrangement. The settlement of our current U.S. federal tax is recognized directly as a movement in Net Parent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 Subsequent Events</w:t>
      </w:r>
    </w:p>
    <w:p>
      <w:pPr>
        <w:spacing w:after="0" w:line="12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June 2019, the non-current related party receivables and a portion of current related party receivables were used to reduce the balances outstanding of various related party borrowings, related party accrued interest payable and related party payables. As a result of this process, we net settled related party borrowings of $1,714 million, related party accrued interest payable of $655 million and related party payables of $94 million. Following these settlements, we now have related party borrowings and related party accrued interest payable due to RGHL Group, which as of June 30, 2019 were $2,228 million and $30 million, respectively. The related party borrowings bear interest at rates of 1% to 3% per annum and mature in 2022 and thereafter.</w:t>
      </w:r>
    </w:p>
    <w:p>
      <w:pPr>
        <w:spacing w:after="0" w:line="19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Except as described above, there have been no events subsequent to December 31, 2018 which would require accrual or disclosure in these combined financial statements. Subsequent events have been evaluated through August 28, 2019, the date these combined financial statements were available to be issued.</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117475</wp:posOffset>
            </wp:positionV>
            <wp:extent cx="699770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177165</wp:posOffset>
            </wp:positionV>
            <wp:extent cx="6997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3384550</wp:posOffset>
            </wp:positionV>
            <wp:extent cx="1800860" cy="4800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008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firstLine="441"/>
        <w:spacing w:after="0" w:line="289"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137795</wp:posOffset>
            </wp:positionV>
            <wp:extent cx="6997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189230</wp:posOffset>
            </wp:positionV>
            <wp:extent cx="699770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0980"/>
          </w:cols>
          <w:pgMar w:left="240" w:top="460" w:right="6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Estimated expenses, other than underwriting discounts and commissions, of the sale of our common stock, are as follows (in thousands):</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40" w:type="dxa"/>
            <w:vAlign w:val="bottom"/>
            <w:gridSpan w:val="3"/>
          </w:tcPr>
          <w:p>
            <w:pPr>
              <w:ind w:left="2120"/>
              <w:spacing w:after="0"/>
              <w:rPr>
                <w:sz w:val="20"/>
                <w:szCs w:val="20"/>
                <w:color w:val="auto"/>
              </w:rPr>
            </w:pPr>
            <w:r>
              <w:rPr>
                <w:rFonts w:ascii="Arial" w:cs="Arial" w:eastAsia="Arial" w:hAnsi="Arial"/>
                <w:sz w:val="14"/>
                <w:szCs w:val="14"/>
                <w:b w:val="1"/>
                <w:bCs w:val="1"/>
                <w:color w:val="auto"/>
                <w:w w:val="98"/>
              </w:rPr>
              <w:t>Amount to Be</w:t>
            </w: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Paid</w:t>
            </w: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FINRA filing fee</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Listing fee</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Transfer agent’s fees</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000" w:type="dxa"/>
            <w:vAlign w:val="bottom"/>
            <w:gridSpan w:val="2"/>
          </w:tcPr>
          <w:p>
            <w:pPr>
              <w:spacing w:after="0"/>
              <w:rPr>
                <w:sz w:val="11"/>
                <w:szCs w:val="11"/>
                <w:color w:val="auto"/>
              </w:rPr>
            </w:pPr>
          </w:p>
        </w:tc>
        <w:tc>
          <w:tcPr>
            <w:tcW w:w="2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6220" w:type="dxa"/>
            <w:vAlign w:val="bottom"/>
            <w:gridSpan w:val="4"/>
          </w:tcPr>
          <w:p>
            <w:pPr>
              <w:spacing w:after="0"/>
              <w:rPr>
                <w:sz w:val="20"/>
                <w:szCs w:val="20"/>
                <w:color w:val="auto"/>
              </w:rPr>
            </w:pPr>
            <w:r>
              <w:rPr>
                <w:rFonts w:ascii="Arial" w:cs="Arial" w:eastAsia="Arial" w:hAnsi="Arial"/>
                <w:sz w:val="18"/>
                <w:szCs w:val="18"/>
                <w:color w:val="auto"/>
              </w:rPr>
              <w:t>*  To be completed by amendment.</w:t>
            </w:r>
          </w:p>
        </w:tc>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amounts set forth above, other than the registration fee and the FINRA filing fee, is an estimate.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amended and restated bylaws provides for indemnification by the registrant of its directors, officers and employees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8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w:t>
      </w:r>
    </w:p>
    <w:p>
      <w:pPr>
        <w:spacing w:after="0" w:line="19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registrant with respect to payments which may be made by the registrant to such officers and directors pursuant to the above indemnification provision or otherwise as a matter of law.</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20" w:type="dxa"/>
            <w:vAlign w:val="bottom"/>
            <w:gridSpan w:val="3"/>
            <w:vMerge w:val="restart"/>
          </w:tcPr>
          <w:p>
            <w:pPr>
              <w:ind w:left="3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21.1</w:t>
            </w:r>
          </w:p>
        </w:tc>
        <w:tc>
          <w:tcPr>
            <w:tcW w:w="6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0000EE"/>
              </w:rPr>
              <w:t>List of subsidiaries</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23.1</w:t>
            </w:r>
          </w:p>
        </w:tc>
        <w:tc>
          <w:tcPr>
            <w:tcW w:w="6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23.2</w:t>
            </w:r>
          </w:p>
        </w:tc>
        <w:tc>
          <w:tcPr>
            <w:tcW w:w="6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Consent of Davis Polk &amp; Wardwell LLP (included in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24.1</w:t>
            </w:r>
          </w:p>
        </w:tc>
        <w:tc>
          <w:tcPr>
            <w:tcW w:w="64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w w:val="90"/>
              </w:rPr>
              <w:t>Power of Attorney (included on signature page to the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20" w:hanging="216"/>
        <w:spacing w:after="0"/>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rFonts w:ascii="Arial" w:cs="Arial" w:eastAsia="Arial" w:hAnsi="Arial"/>
          <w:sz w:val="18"/>
          <w:szCs w:val="18"/>
          <w:color w:val="auto"/>
        </w:rPr>
      </w:pPr>
    </w:p>
    <w:p>
      <w:pPr>
        <w:ind w:left="640" w:right="8100" w:firstLine="4"/>
        <w:spacing w:after="0" w:line="528" w:lineRule="auto"/>
        <w:tabs>
          <w:tab w:leader="none" w:pos="89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200" w:firstLine="444"/>
        <w:spacing w:after="0" w:line="290" w:lineRule="auto"/>
        <w:tabs>
          <w:tab w:leader="none" w:pos="8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900" w:hanging="25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640" w:firstLine="428"/>
        <w:spacing w:after="0" w:line="291" w:lineRule="auto"/>
        <w:tabs>
          <w:tab w:leader="none" w:pos="131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640"/>
        <w:spacing w:after="0"/>
        <w:rPr>
          <w:rFonts w:ascii="Arial" w:cs="Arial" w:eastAsia="Arial" w:hAnsi="Arial"/>
          <w:sz w:val="16"/>
          <w:szCs w:val="16"/>
          <w:color w:val="auto"/>
        </w:rPr>
      </w:pPr>
      <w:r>
        <w:rPr>
          <w:rFonts w:ascii="Arial" w:cs="Arial" w:eastAsia="Arial" w:hAnsi="Arial"/>
          <w:sz w:val="17"/>
          <w:szCs w:val="17"/>
          <w:color w:val="auto"/>
        </w:rPr>
        <w:t>(1) or (4) or 497(h) under the Securities Act shall be deemed to be part of this registration statement as of the time it was declared effective.</w:t>
      </w:r>
    </w:p>
    <w:p>
      <w:pPr>
        <w:spacing w:after="0" w:line="114" w:lineRule="exact"/>
        <w:rPr>
          <w:rFonts w:ascii="Arial" w:cs="Arial" w:eastAsia="Arial" w:hAnsi="Arial"/>
          <w:sz w:val="16"/>
          <w:szCs w:val="16"/>
          <w:color w:val="auto"/>
        </w:rPr>
      </w:pPr>
    </w:p>
    <w:p>
      <w:pPr>
        <w:ind w:left="640" w:right="200" w:firstLine="428"/>
        <w:spacing w:after="0" w:line="264" w:lineRule="auto"/>
        <w:tabs>
          <w:tab w:leader="none" w:pos="131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24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700" w:type="dxa"/>
            <w:vAlign w:val="bottom"/>
          </w:tcPr>
          <w:p>
            <w:pPr>
              <w:spacing w:after="0"/>
              <w:rPr>
                <w:sz w:val="14"/>
                <w:szCs w:val="14"/>
                <w:color w:val="auto"/>
              </w:rPr>
            </w:pPr>
          </w:p>
        </w:tc>
        <w:tc>
          <w:tcPr>
            <w:tcW w:w="7300" w:type="dxa"/>
            <w:vAlign w:val="bottom"/>
            <w:gridSpan w:val="3"/>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Sequentially</w:t>
            </w:r>
          </w:p>
        </w:tc>
        <w:tc>
          <w:tcPr>
            <w:tcW w:w="0" w:type="dxa"/>
            <w:vAlign w:val="bottom"/>
          </w:tcPr>
          <w:p>
            <w:pPr>
              <w:spacing w:after="0"/>
              <w:rPr>
                <w:sz w:val="1"/>
                <w:szCs w:val="1"/>
                <w:color w:val="auto"/>
              </w:rPr>
            </w:pPr>
          </w:p>
        </w:tc>
      </w:tr>
      <w:tr>
        <w:trPr>
          <w:trHeight w:val="17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700" w:type="dxa"/>
            <w:vAlign w:val="bottom"/>
          </w:tcPr>
          <w:p>
            <w:pPr>
              <w:spacing w:after="0"/>
              <w:rPr>
                <w:sz w:val="14"/>
                <w:szCs w:val="14"/>
                <w:color w:val="auto"/>
              </w:rPr>
            </w:pPr>
          </w:p>
        </w:tc>
        <w:tc>
          <w:tcPr>
            <w:tcW w:w="7300" w:type="dxa"/>
            <w:vAlign w:val="bottom"/>
            <w:gridSpan w:val="3"/>
            <w:vMerge w:val="continue"/>
          </w:tcPr>
          <w:p>
            <w:pPr>
              <w:spacing w:after="0"/>
              <w:rPr>
                <w:sz w:val="14"/>
                <w:szCs w:val="14"/>
                <w:color w:val="auto"/>
              </w:rPr>
            </w:pPr>
          </w:p>
        </w:tc>
        <w:tc>
          <w:tcPr>
            <w:tcW w:w="2480" w:type="dxa"/>
            <w:vAlign w:val="bottom"/>
            <w:gridSpan w:val="2"/>
          </w:tcPr>
          <w:p>
            <w:pPr>
              <w:jc w:val="center"/>
              <w:ind w:left="1388"/>
              <w:spacing w:after="0"/>
              <w:rPr>
                <w:sz w:val="20"/>
                <w:szCs w:val="20"/>
                <w:color w:val="auto"/>
              </w:rPr>
            </w:pPr>
            <w:r>
              <w:rPr>
                <w:rFonts w:ascii="Arial" w:cs="Arial" w:eastAsia="Arial" w:hAnsi="Arial"/>
                <w:sz w:val="14"/>
                <w:szCs w:val="14"/>
                <w:b w:val="1"/>
                <w:bCs w:val="1"/>
                <w:color w:val="auto"/>
                <w:w w:val="91"/>
              </w:rPr>
              <w:t>Numbered Page</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4"/>
                <w:szCs w:val="24"/>
                <w:color w:val="auto"/>
              </w:rPr>
            </w:pPr>
          </w:p>
        </w:tc>
        <w:tc>
          <w:tcPr>
            <w:tcW w:w="3780" w:type="dxa"/>
            <w:vAlign w:val="bottom"/>
          </w:tcPr>
          <w:p>
            <w:pPr>
              <w:ind w:left="260"/>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7300" w:type="dxa"/>
            <w:vAlign w:val="bottom"/>
            <w:gridSpan w:val="3"/>
          </w:tcPr>
          <w:p>
            <w:pPr>
              <w:ind w:left="260"/>
              <w:spacing w:after="0"/>
              <w:rPr>
                <w:sz w:val="20"/>
                <w:szCs w:val="20"/>
                <w:color w:val="auto"/>
              </w:rPr>
            </w:pPr>
            <w:r>
              <w:rPr>
                <w:rFonts w:ascii="Arial" w:cs="Arial" w:eastAsia="Arial" w:hAnsi="Arial"/>
                <w:sz w:val="18"/>
                <w:szCs w:val="18"/>
                <w:color w:val="auto"/>
              </w:rPr>
              <w:t>Amended and Restated Certificate of Incorporation*</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7300" w:type="dxa"/>
            <w:vAlign w:val="bottom"/>
            <w:gridSpan w:val="3"/>
          </w:tcPr>
          <w:p>
            <w:pPr>
              <w:ind w:left="260"/>
              <w:spacing w:after="0"/>
              <w:rPr>
                <w:sz w:val="20"/>
                <w:szCs w:val="20"/>
                <w:color w:val="auto"/>
              </w:rPr>
            </w:pPr>
            <w:r>
              <w:rPr>
                <w:rFonts w:ascii="Arial" w:cs="Arial" w:eastAsia="Arial" w:hAnsi="Arial"/>
                <w:sz w:val="18"/>
                <w:szCs w:val="18"/>
                <w:color w:val="auto"/>
              </w:rPr>
              <w:t>Amended and Restated By-Laws*</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7300" w:type="dxa"/>
            <w:vAlign w:val="bottom"/>
            <w:gridSpan w:val="3"/>
          </w:tcPr>
          <w:p>
            <w:pPr>
              <w:ind w:left="260"/>
              <w:spacing w:after="0"/>
              <w:rPr>
                <w:sz w:val="20"/>
                <w:szCs w:val="20"/>
                <w:color w:val="auto"/>
              </w:rPr>
            </w:pPr>
            <w:r>
              <w:rPr>
                <w:rFonts w:ascii="Arial" w:cs="Arial" w:eastAsia="Arial" w:hAnsi="Arial"/>
                <w:sz w:val="18"/>
                <w:szCs w:val="18"/>
                <w:color w:val="auto"/>
              </w:rPr>
              <w:t>Form of Common Stock Certificate*</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7300" w:type="dxa"/>
            <w:vAlign w:val="bottom"/>
            <w:gridSpan w:val="3"/>
          </w:tcPr>
          <w:p>
            <w:pPr>
              <w:ind w:left="260"/>
              <w:spacing w:after="0"/>
              <w:rPr>
                <w:sz w:val="20"/>
                <w:szCs w:val="20"/>
                <w:color w:val="auto"/>
              </w:rPr>
            </w:pPr>
            <w:r>
              <w:rPr>
                <w:rFonts w:ascii="Arial" w:cs="Arial" w:eastAsia="Arial" w:hAnsi="Arial"/>
                <w:sz w:val="18"/>
                <w:szCs w:val="18"/>
                <w:color w:val="auto"/>
              </w:rPr>
              <w:t>Opinion of Davis Polk &amp; Wardwell LLP*</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21.1</w:t>
            </w:r>
          </w:p>
        </w:tc>
        <w:tc>
          <w:tcPr>
            <w:tcW w:w="700" w:type="dxa"/>
            <w:vAlign w:val="bottom"/>
          </w:tcPr>
          <w:p>
            <w:pPr>
              <w:spacing w:after="0"/>
              <w:rPr>
                <w:sz w:val="24"/>
                <w:szCs w:val="24"/>
                <w:color w:val="auto"/>
              </w:rPr>
            </w:pPr>
          </w:p>
        </w:tc>
        <w:tc>
          <w:tcPr>
            <w:tcW w:w="7300" w:type="dxa"/>
            <w:vAlign w:val="bottom"/>
            <w:gridSpan w:val="3"/>
          </w:tcPr>
          <w:p>
            <w:pPr>
              <w:ind w:left="260"/>
              <w:spacing w:after="0"/>
              <w:rPr>
                <w:sz w:val="20"/>
                <w:szCs w:val="20"/>
                <w:color w:val="auto"/>
              </w:rPr>
            </w:pPr>
            <w:r>
              <w:rPr>
                <w:rFonts w:ascii="Arial" w:cs="Arial" w:eastAsia="Arial" w:hAnsi="Arial"/>
                <w:sz w:val="18"/>
                <w:szCs w:val="18"/>
                <w:color w:val="auto"/>
              </w:rPr>
              <w:t>List of subsidiaries</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23.1</w:t>
            </w:r>
          </w:p>
        </w:tc>
        <w:tc>
          <w:tcPr>
            <w:tcW w:w="700" w:type="dxa"/>
            <w:vAlign w:val="bottom"/>
          </w:tcPr>
          <w:p>
            <w:pPr>
              <w:spacing w:after="0"/>
              <w:rPr>
                <w:sz w:val="24"/>
                <w:szCs w:val="24"/>
                <w:color w:val="auto"/>
              </w:rPr>
            </w:pPr>
          </w:p>
        </w:tc>
        <w:tc>
          <w:tcPr>
            <w:tcW w:w="7300" w:type="dxa"/>
            <w:vAlign w:val="bottom"/>
            <w:gridSpan w:val="3"/>
          </w:tcPr>
          <w:p>
            <w:pPr>
              <w:ind w:left="260"/>
              <w:spacing w:after="0"/>
              <w:rPr>
                <w:sz w:val="20"/>
                <w:szCs w:val="20"/>
                <w:color w:val="auto"/>
              </w:rPr>
            </w:pPr>
            <w:r>
              <w:rPr>
                <w:rFonts w:ascii="Arial" w:cs="Arial" w:eastAsia="Arial" w:hAnsi="Arial"/>
                <w:sz w:val="18"/>
                <w:szCs w:val="18"/>
                <w:color w:val="auto"/>
              </w:rPr>
              <w:t>Consent of PricewaterhouseCoopers LLP*</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23.2</w:t>
            </w:r>
          </w:p>
        </w:tc>
        <w:tc>
          <w:tcPr>
            <w:tcW w:w="700" w:type="dxa"/>
            <w:vAlign w:val="bottom"/>
          </w:tcPr>
          <w:p>
            <w:pPr>
              <w:spacing w:after="0"/>
              <w:rPr>
                <w:sz w:val="24"/>
                <w:szCs w:val="24"/>
                <w:color w:val="auto"/>
              </w:rPr>
            </w:pPr>
          </w:p>
        </w:tc>
        <w:tc>
          <w:tcPr>
            <w:tcW w:w="7300" w:type="dxa"/>
            <w:vAlign w:val="bottom"/>
            <w:gridSpan w:val="3"/>
          </w:tcPr>
          <w:p>
            <w:pPr>
              <w:ind w:left="260"/>
              <w:spacing w:after="0"/>
              <w:rPr>
                <w:sz w:val="20"/>
                <w:szCs w:val="20"/>
                <w:color w:val="auto"/>
              </w:rPr>
            </w:pPr>
            <w:r>
              <w:rPr>
                <w:rFonts w:ascii="Arial" w:cs="Arial" w:eastAsia="Arial" w:hAnsi="Arial"/>
                <w:sz w:val="18"/>
                <w:szCs w:val="18"/>
                <w:color w:val="auto"/>
              </w:rPr>
              <w:t>Consent of Davis Polk &amp; Wardwell LLP (included in Exhibit 5.1)*</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24.1</w:t>
            </w:r>
          </w:p>
        </w:tc>
        <w:tc>
          <w:tcPr>
            <w:tcW w:w="700" w:type="dxa"/>
            <w:vAlign w:val="bottom"/>
          </w:tcPr>
          <w:p>
            <w:pPr>
              <w:spacing w:after="0"/>
              <w:rPr>
                <w:sz w:val="24"/>
                <w:szCs w:val="24"/>
                <w:color w:val="auto"/>
              </w:rPr>
            </w:pPr>
          </w:p>
        </w:tc>
        <w:tc>
          <w:tcPr>
            <w:tcW w:w="7300" w:type="dxa"/>
            <w:vAlign w:val="bottom"/>
            <w:gridSpan w:val="3"/>
          </w:tcPr>
          <w:p>
            <w:pPr>
              <w:ind w:left="260"/>
              <w:spacing w:after="0"/>
              <w:rPr>
                <w:sz w:val="20"/>
                <w:szCs w:val="20"/>
                <w:color w:val="auto"/>
              </w:rPr>
            </w:pPr>
            <w:r>
              <w:rPr>
                <w:rFonts w:ascii="Arial" w:cs="Arial" w:eastAsia="Arial" w:hAnsi="Arial"/>
                <w:sz w:val="18"/>
                <w:szCs w:val="18"/>
                <w:color w:val="auto"/>
              </w:rPr>
              <w:t>Power of Attorney (included on signature page to the registration statement)*</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gridSpan w:val="3"/>
          </w:tcPr>
          <w:p>
            <w:pPr>
              <w:spacing w:after="0"/>
              <w:rPr>
                <w:sz w:val="11"/>
                <w:szCs w:val="11"/>
                <w:color w:val="auto"/>
              </w:rPr>
            </w:pPr>
          </w:p>
        </w:tc>
        <w:tc>
          <w:tcPr>
            <w:tcW w:w="7300" w:type="dxa"/>
            <w:vAlign w:val="bottom"/>
            <w:gridSpan w:val="3"/>
          </w:tcPr>
          <w:p>
            <w:pPr>
              <w:spacing w:after="0"/>
              <w:rPr>
                <w:sz w:val="11"/>
                <w:szCs w:val="11"/>
                <w:color w:val="auto"/>
              </w:rPr>
            </w:pPr>
          </w:p>
        </w:tc>
        <w:tc>
          <w:tcPr>
            <w:tcW w:w="1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520" w:type="dxa"/>
            <w:vAlign w:val="bottom"/>
            <w:gridSpan w:val="6"/>
          </w:tcPr>
          <w:p>
            <w:pPr>
              <w:spacing w:after="0"/>
              <w:rPr>
                <w:sz w:val="20"/>
                <w:szCs w:val="20"/>
                <w:color w:val="auto"/>
              </w:rPr>
            </w:pPr>
            <w:r>
              <w:rPr>
                <w:rFonts w:ascii="Arial" w:cs="Arial" w:eastAsia="Arial" w:hAnsi="Arial"/>
                <w:sz w:val="18"/>
                <w:szCs w:val="18"/>
                <w:color w:val="auto"/>
              </w:rPr>
              <w:t>*  To be filed by amendment</w:t>
            </w:r>
          </w:p>
        </w:tc>
        <w:tc>
          <w:tcPr>
            <w:tcW w:w="1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gridSpan w:val="2"/>
          </w:tcPr>
          <w:p>
            <w:pPr>
              <w:ind w:left="500"/>
              <w:spacing w:after="0"/>
              <w:rPr>
                <w:sz w:val="20"/>
                <w:szCs w:val="20"/>
                <w:color w:val="auto"/>
              </w:rPr>
            </w:pPr>
            <w:r>
              <w:rPr>
                <w:rFonts w:ascii="Arial" w:cs="Arial" w:eastAsia="Arial" w:hAnsi="Arial"/>
                <w:sz w:val="18"/>
                <w:szCs w:val="18"/>
                <w:color w:val="auto"/>
              </w:rPr>
              <w:t>II-4</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State of Delaware, on the   day of</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2019.</w:t>
            </w:r>
          </w:p>
        </w:tc>
        <w:tc>
          <w:tcPr>
            <w:tcW w:w="3340" w:type="dxa"/>
            <w:vAlign w:val="bottom"/>
          </w:tcPr>
          <w:p>
            <w:pPr>
              <w:spacing w:after="0"/>
              <w:rPr>
                <w:sz w:val="20"/>
                <w:szCs w:val="20"/>
                <w:color w:val="auto"/>
              </w:rPr>
            </w:pPr>
          </w:p>
        </w:tc>
      </w:tr>
      <w:tr>
        <w:trPr>
          <w:trHeight w:val="445"/>
        </w:trPr>
        <w:tc>
          <w:tcPr>
            <w:tcW w:w="6400" w:type="dxa"/>
            <w:vAlign w:val="bottom"/>
          </w:tcPr>
          <w:p>
            <w:pPr>
              <w:spacing w:after="0"/>
              <w:rPr>
                <w:sz w:val="24"/>
                <w:szCs w:val="24"/>
                <w:color w:val="auto"/>
              </w:rPr>
            </w:pP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REYNOLDS CONSUMER PRODUCTS INC.</w:t>
            </w:r>
          </w:p>
        </w:tc>
      </w:tr>
      <w:tr>
        <w:trPr>
          <w:trHeight w:val="432"/>
        </w:trPr>
        <w:tc>
          <w:tcPr>
            <w:tcW w:w="640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3340" w:type="dxa"/>
            <w:vAlign w:val="bottom"/>
          </w:tcPr>
          <w:p>
            <w:pPr>
              <w:spacing w:after="0"/>
              <w:rPr>
                <w:sz w:val="24"/>
                <w:szCs w:val="24"/>
                <w:color w:val="auto"/>
              </w:rPr>
            </w:pPr>
          </w:p>
        </w:tc>
      </w:tr>
      <w:tr>
        <w:trPr>
          <w:trHeight w:val="209"/>
        </w:trPr>
        <w:tc>
          <w:tcPr>
            <w:tcW w:w="6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Lance Mitchell</w:t>
            </w:r>
          </w:p>
        </w:tc>
      </w:tr>
      <w:tr>
        <w:trPr>
          <w:trHeight w:val="230"/>
        </w:trPr>
        <w:tc>
          <w:tcPr>
            <w:tcW w:w="6400" w:type="dxa"/>
            <w:vAlign w:val="bottom"/>
          </w:tcPr>
          <w:p>
            <w:pPr>
              <w:spacing w:after="0"/>
              <w:rPr>
                <w:sz w:val="20"/>
                <w:szCs w:val="20"/>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Title:</w:t>
            </w:r>
          </w:p>
        </w:tc>
        <w:tc>
          <w:tcPr>
            <w:tcW w:w="33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Confidential Treatment Requested by Reynolds Consumer Products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Lance Mitchell, Michael Graham and Joseph Doyle,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9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342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6"/>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180" w:type="dxa"/>
            <w:vAlign w:val="bottom"/>
            <w:gridSpan w:val="3"/>
          </w:tcPr>
          <w:p>
            <w:pPr>
              <w:jc w:val="center"/>
              <w:ind w:right="960"/>
              <w:spacing w:after="0"/>
              <w:rPr>
                <w:sz w:val="20"/>
                <w:szCs w:val="20"/>
                <w:color w:val="auto"/>
              </w:rPr>
            </w:pPr>
            <w:r>
              <w:rPr>
                <w:rFonts w:ascii="Arial" w:cs="Arial" w:eastAsia="Arial" w:hAnsi="Arial"/>
                <w:sz w:val="18"/>
                <w:szCs w:val="18"/>
                <w:color w:val="auto"/>
                <w:w w:val="92"/>
              </w:rPr>
              <w:t>Chief Executive Officer and 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36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Lance Mitchell</w:t>
            </w:r>
          </w:p>
        </w:tc>
        <w:tc>
          <w:tcPr>
            <w:tcW w:w="6180" w:type="dxa"/>
            <w:vAlign w:val="bottom"/>
            <w:gridSpan w:val="3"/>
          </w:tcPr>
          <w:p>
            <w:pPr>
              <w:jc w:val="center"/>
              <w:ind w:right="960"/>
              <w:spacing w:after="0"/>
              <w:rPr>
                <w:sz w:val="20"/>
                <w:szCs w:val="20"/>
                <w:color w:val="auto"/>
              </w:rPr>
            </w:pPr>
            <w:r>
              <w:rPr>
                <w:rFonts w:ascii="Arial" w:cs="Arial" w:eastAsia="Arial" w:hAnsi="Arial"/>
                <w:sz w:val="18"/>
                <w:szCs w:val="18"/>
                <w:color w:val="auto"/>
                <w:w w:val="94"/>
              </w:rPr>
              <w:t>(principal executive officer)</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180" w:type="dxa"/>
            <w:vAlign w:val="bottom"/>
            <w:gridSpan w:val="3"/>
          </w:tcPr>
          <w:p>
            <w:pPr>
              <w:jc w:val="center"/>
              <w:ind w:right="960"/>
              <w:spacing w:after="0"/>
              <w:rPr>
                <w:sz w:val="20"/>
                <w:szCs w:val="20"/>
                <w:color w:val="auto"/>
              </w:rPr>
            </w:pPr>
            <w:r>
              <w:rPr>
                <w:rFonts w:ascii="Arial" w:cs="Arial" w:eastAsia="Arial" w:hAnsi="Arial"/>
                <w:sz w:val="18"/>
                <w:szCs w:val="18"/>
                <w:color w:val="auto"/>
                <w:w w:val="93"/>
              </w:rPr>
              <w:t>Chief Financial Officer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36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Michael Graham</w:t>
            </w:r>
          </w:p>
        </w:tc>
        <w:tc>
          <w:tcPr>
            <w:tcW w:w="6180" w:type="dxa"/>
            <w:vAlign w:val="bottom"/>
            <w:gridSpan w:val="3"/>
          </w:tcPr>
          <w:p>
            <w:pPr>
              <w:jc w:val="center"/>
              <w:ind w:right="960"/>
              <w:spacing w:after="0"/>
              <w:rPr>
                <w:sz w:val="20"/>
                <w:szCs w:val="20"/>
                <w:color w:val="auto"/>
              </w:rPr>
            </w:pPr>
            <w:r>
              <w:rPr>
                <w:rFonts w:ascii="Arial" w:cs="Arial" w:eastAsia="Arial" w:hAnsi="Arial"/>
                <w:sz w:val="18"/>
                <w:szCs w:val="18"/>
                <w:color w:val="auto"/>
                <w:w w:val="95"/>
              </w:rPr>
              <w:t>(principal financial officer)</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1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60"/>
          </w:cols>
          <w:pgMar w:left="240" w:top="459" w:right="59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Subsidiaries of Reynolds Consumer Products Inc.</w:t>
      </w:r>
    </w:p>
    <w:p>
      <w:pPr>
        <w:spacing w:after="0" w:line="235"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Jurisdiction of</w:t>
            </w:r>
          </w:p>
        </w:tc>
      </w:tr>
      <w:tr>
        <w:trPr>
          <w:trHeight w:val="171"/>
        </w:trPr>
        <w:tc>
          <w:tcPr>
            <w:tcW w:w="618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Organization</w:t>
            </w: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Legal Name of Subsidiary</w:t>
            </w:r>
          </w:p>
        </w:tc>
        <w:tc>
          <w:tcPr>
            <w:tcW w:w="1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Reynolds Consumer Products Canada Inc.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Ontario, Canada</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Reynolds Consumer Products Holdings LLC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Reynolds Consumer Products LLC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Reynolds Europe Services LLC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Reynolds Manufacturing, Inc.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Reynolds Metals (Shanghai) Ltd.</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China</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Reynolds Presto Products Inc.</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Trans Western Polymers, Inc.</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California</w:t>
            </w:r>
          </w:p>
        </w:tc>
      </w:tr>
    </w:tbl>
    <w:p>
      <w:pPr>
        <w:spacing w:after="0" w:line="1" w:lineRule="exact"/>
        <w:rPr>
          <w:sz w:val="20"/>
          <w:szCs w:val="20"/>
          <w:color w:val="auto"/>
        </w:rPr>
      </w:pPr>
    </w:p>
    <w:sectPr>
      <w:pgSz w:w="11900" w:h="16838" w:orient="portrait"/>
      <w:cols w:equalWidth="0" w:num="1">
        <w:col w:w="10020"/>
      </w:cols>
      <w:pgMar w:left="1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2"/>
    </w:lvl>
  </w:abstractNum>
  <w:abstractNum w:abstractNumId="1">
    <w:nsid w:val="235BA861"/>
    <w:multiLevelType w:val="hybridMultilevel"/>
    <w:lvl w:ilvl="0">
      <w:lvlJc w:val="left"/>
      <w:lvlText w:val="(%1)"/>
      <w:numFmt w:val="decimal"/>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3"/>
    </w:lvl>
  </w:abstractNum>
  <w:abstractNum w:abstractNumId="16">
    <w:nsid w:val="25A70BF7"/>
    <w:multiLevelType w:val="hybridMultilevel"/>
    <w:lvl w:ilvl="0">
      <w:lvlJc w:val="left"/>
      <w:lvlText w:val="(%1)"/>
      <w:numFmt w:val="decimal"/>
      <w:start w:val="4"/>
    </w:lvl>
  </w:abstractNum>
  <w:abstractNum w:abstractNumId="17">
    <w:nsid w:val="1DBABF00"/>
    <w:multiLevelType w:val="hybridMultilevel"/>
    <w:lvl w:ilvl="0">
      <w:lvlJc w:val="left"/>
      <w:lvlText w:val="%1"/>
      <w:numFmt w:val="decimal"/>
      <w:start w:val="1"/>
    </w:lvl>
    <w:lvl w:ilvl="1">
      <w:lvlJc w:val="left"/>
      <w:lvlText w:val="(%2)"/>
      <w:numFmt w:val="lowerLetter"/>
      <w:start w:val="1"/>
    </w:lvl>
  </w:abstractNum>
  <w:abstractNum w:abstractNumId="18">
    <w:nsid w:val="4AD084E9"/>
    <w:multiLevelType w:val="hybridMultilevel"/>
    <w:lvl w:ilvl="0">
      <w:lvlJc w:val="left"/>
      <w:lvlText w:val="(%1)"/>
      <w:numFmt w:val="decimal"/>
      <w:start w:val="5"/>
    </w:lvl>
    <w:lvl w:ilvl="1">
      <w:lvlJc w:val="left"/>
      <w:lvlText w:val="%2"/>
      <w:numFmt w:val="lowerLetter"/>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lvl w:ilvl="1">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1)"/>
      <w:numFmt w:val="decimal"/>
      <w:start w:val="4"/>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1)"/>
      <w:numFmt w:val="decimal"/>
      <w:start w:val="1"/>
    </w:lvl>
  </w:abstractNum>
  <w:abstractNum w:abstractNumId="40">
    <w:nsid w:val="42963E5A"/>
    <w:multiLevelType w:val="hybridMultilevel"/>
    <w:lvl w:ilvl="0">
      <w:lvlJc w:val="left"/>
      <w:lvlText w:val="(%1)"/>
      <w:numFmt w:val="decimal"/>
      <w:start w:val="3"/>
    </w:lvl>
  </w:abstractNum>
  <w:abstractNum w:abstractNumId="41">
    <w:nsid w:val="A0382C5"/>
    <w:multiLevelType w:val="hybridMultilevel"/>
    <w:lvl w:ilvl="0">
      <w:lvlJc w:val="left"/>
      <w:lvlText w:val="(%1)"/>
      <w:numFmt w:val="decimal"/>
      <w:start w:val="5"/>
    </w:lvl>
  </w:abstractNum>
  <w:abstractNum w:abstractNumId="42">
    <w:nsid w:val="8F2B15E"/>
    <w:multiLevelType w:val="hybridMultilevel"/>
    <w:lvl w:ilvl="0">
      <w:lvlJc w:val="left"/>
      <w:lvlText w:val="(%1)"/>
      <w:numFmt w:val="decimal"/>
      <w:start w:val="6"/>
    </w:lvl>
  </w:abstractNum>
  <w:abstractNum w:abstractNumId="43">
    <w:nsid w:val="1A32234B"/>
    <w:multiLevelType w:val="hybridMultilevel"/>
    <w:lvl w:ilvl="0">
      <w:lvlJc w:val="left"/>
      <w:lvlText w:val="(%1)"/>
      <w:numFmt w:val="decimal"/>
      <w:start w:val="7"/>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lowerRoman"/>
      <w:start w:val="2"/>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lvl w:ilvl="1">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decimal"/>
      <w:start w:val="2"/>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lowerRoman"/>
      <w:start w:val="1"/>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2"/>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1)"/>
      <w:numFmt w:val="lowerRoman"/>
      <w:start w:val="2"/>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
      <w:numFmt w:val="bullet"/>
      <w:start w:val="1"/>
    </w:lvl>
  </w:abstractNum>
  <w:abstractNum w:abstractNumId="106">
    <w:nsid w:val="1CA0C5FA"/>
    <w:multiLevelType w:val="hybridMultilevel"/>
    <w:lvl w:ilvl="0">
      <w:lvlJc w:val="left"/>
      <w:lvlText w:val="•"/>
      <w:numFmt w:val="bullet"/>
      <w:start w:val="1"/>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
      <w:numFmt w:val="bullet"/>
      <w:start w:val="1"/>
    </w:lvl>
    <w:lvl w:ilvl="1">
      <w:lvlJc w:val="left"/>
      <w:lvlText w:val="(%2)"/>
      <w:numFmt w:val="lowerLetter"/>
      <w:start w:val="2"/>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2019-12-04T22:59:58Z</dcterms:created>
  <dcterms:modified xsi:type="dcterms:W3CDTF">2019-12-04T22:59:58Z</dcterms:modified>
</cp:coreProperties>
</file>