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325120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472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6" w:lineRule="exact"/>
        <w:rPr>
          <w:sz w:val="24"/>
          <w:szCs w:val="24"/>
          <w:color w:val="auto"/>
        </w:rPr>
      </w:pPr>
    </w:p>
    <w:p>
      <w:pPr>
        <w:ind w:left="460" w:hanging="441"/>
        <w:spacing w:after="0"/>
        <w:tabs>
          <w:tab w:leader="none" w:pos="46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4"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4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001-39205</w:t>
      </w:r>
    </w:p>
    <w:p>
      <w:pPr>
        <w:spacing w:after="0" w:line="5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REYNOLDS CONSUMER PRODUCTS INC.</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w:t>
      </w:r>
    </w:p>
    <w:p>
      <w:pPr>
        <w:sectPr>
          <w:pgSz w:w="11900" w:h="16838" w:orient="portrait"/>
          <w:cols w:equalWidth="0" w:num="1">
            <w:col w:w="11280"/>
          </w:cols>
          <w:pgMar w:left="300" w:top="210" w:right="319" w:bottom="1440" w:gutter="0" w:footer="0" w:header="0"/>
        </w:sectPr>
      </w:pPr>
    </w:p>
    <w:p>
      <w:pPr>
        <w:spacing w:after="0" w:line="4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45-3464426</w:t>
      </w:r>
    </w:p>
    <w:p>
      <w:pPr>
        <w:spacing w:after="0" w:line="42" w:lineRule="exact"/>
        <w:rPr>
          <w:sz w:val="24"/>
          <w:szCs w:val="24"/>
          <w:color w:val="auto"/>
        </w:rPr>
      </w:pPr>
    </w:p>
    <w:p>
      <w:pPr>
        <w:sectPr>
          <w:pgSz w:w="11900" w:h="16838" w:orient="portrait"/>
          <w:cols w:equalWidth="0" w:num="2">
            <w:col w:w="7400" w:space="720"/>
            <w:col w:w="3160"/>
          </w:cols>
          <w:pgMar w:left="300" w:top="210" w:right="319" w:bottom="1440" w:gutter="0" w:footer="0" w:header="0"/>
          <w:type w:val="continuous"/>
        </w:sectPr>
      </w:pPr>
    </w:p>
    <w:p>
      <w:pPr>
        <w:ind w:left="218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1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4"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9"/>
          <w:szCs w:val="9"/>
          <w:b w:val="1"/>
          <w:bCs w:val="1"/>
          <w:color w:val="auto"/>
        </w:rPr>
        <w:t>Identification Number)</w:t>
      </w:r>
    </w:p>
    <w:p>
      <w:pPr>
        <w:spacing w:after="0" w:line="85" w:lineRule="exact"/>
        <w:rPr>
          <w:sz w:val="24"/>
          <w:szCs w:val="24"/>
          <w:color w:val="auto"/>
        </w:rPr>
      </w:pPr>
    </w:p>
    <w:p>
      <w:pPr>
        <w:sectPr>
          <w:pgSz w:w="11900" w:h="16838" w:orient="portrait"/>
          <w:cols w:equalWidth="0" w:num="2">
            <w:col w:w="7260" w:space="720"/>
            <w:col w:w="3300"/>
          </w:cols>
          <w:pgMar w:left="300" w:top="21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1900 W. Field Court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Lake Forest, Illinois 60045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(800) 879-5067</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4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w:t>
      </w:r>
    </w:p>
    <w:p>
      <w:pPr>
        <w:sectPr>
          <w:pgSz w:w="11900" w:h="16838" w:orient="portrait"/>
          <w:cols w:equalWidth="0" w:num="1">
            <w:col w:w="11280"/>
          </w:cols>
          <w:pgMar w:left="300" w:top="210" w:right="319" w:bottom="1440" w:gutter="0" w:footer="0" w:header="0"/>
          <w:type w:val="continuous"/>
        </w:sectPr>
      </w:pP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3720" w:type="dxa"/>
            <w:vAlign w:val="bottom"/>
          </w:tcPr>
          <w:p>
            <w:pPr>
              <w:spacing w:after="0"/>
              <w:rPr>
                <w:sz w:val="11"/>
                <w:szCs w:val="11"/>
                <w:color w:val="auto"/>
              </w:rPr>
            </w:pPr>
          </w:p>
        </w:tc>
      </w:tr>
      <w:tr>
        <w:trPr>
          <w:trHeight w:val="169"/>
        </w:trPr>
        <w:tc>
          <w:tcPr>
            <w:tcW w:w="4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65"/>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$0.001 par value</w:t>
            </w:r>
          </w:p>
        </w:tc>
        <w:tc>
          <w:tcPr>
            <w:tcW w:w="120" w:type="dxa"/>
            <w:vAlign w:val="bottom"/>
          </w:tcPr>
          <w:p>
            <w:pPr>
              <w:spacing w:after="0"/>
              <w:rPr>
                <w:sz w:val="14"/>
                <w:szCs w:val="14"/>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REYN</w:t>
            </w:r>
          </w:p>
        </w:tc>
        <w:tc>
          <w:tcPr>
            <w:tcW w:w="140" w:type="dxa"/>
            <w:vAlign w:val="bottom"/>
          </w:tcPr>
          <w:p>
            <w:pPr>
              <w:spacing w:after="0"/>
              <w:rPr>
                <w:sz w:val="14"/>
                <w:szCs w:val="14"/>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89" w:lineRule="exact"/>
        <w:rPr>
          <w:sz w:val="24"/>
          <w:szCs w:val="24"/>
          <w:color w:val="auto"/>
        </w:rPr>
      </w:pPr>
    </w:p>
    <w:p>
      <w:pPr>
        <w:ind w:right="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6"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6"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4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Accelerated filer</w:t>
            </w:r>
          </w:p>
        </w:tc>
        <w:tc>
          <w:tcPr>
            <w:tcW w:w="260" w:type="dxa"/>
            <w:vAlign w:val="bottom"/>
          </w:tcPr>
          <w:p>
            <w:pPr>
              <w:ind w:left="160"/>
              <w:spacing w:after="0"/>
              <w:rPr>
                <w:sz w:val="20"/>
                <w:szCs w:val="20"/>
                <w:color w:val="auto"/>
              </w:rPr>
            </w:pPr>
            <w:r>
              <w:rPr>
                <w:rFonts w:ascii="Wingdings" w:cs="Wingdings" w:eastAsia="Wingdings" w:hAnsi="Wingdings"/>
                <w:sz w:val="12"/>
                <w:szCs w:val="12"/>
                <w:b w:val="1"/>
                <w:bCs w:val="1"/>
                <w:color w:val="auto"/>
                <w:w w:val="74"/>
              </w:rPr>
              <w:t>o</w:t>
            </w:r>
          </w:p>
        </w:tc>
      </w:tr>
      <w:tr>
        <w:trPr>
          <w:trHeight w:val="21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408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60" w:type="dxa"/>
            <w:vAlign w:val="bottom"/>
          </w:tcPr>
          <w:p>
            <w:pPr>
              <w:ind w:left="160"/>
              <w:spacing w:after="0"/>
              <w:rPr>
                <w:sz w:val="20"/>
                <w:szCs w:val="20"/>
                <w:color w:val="auto"/>
              </w:rPr>
            </w:pPr>
            <w:r>
              <w:rPr>
                <w:rFonts w:ascii="Wingdings" w:cs="Wingdings" w:eastAsia="Wingdings" w:hAnsi="Wingdings"/>
                <w:sz w:val="12"/>
                <w:szCs w:val="12"/>
                <w:b w:val="1"/>
                <w:bCs w:val="1"/>
                <w:color w:val="auto"/>
                <w:w w:val="74"/>
              </w:rPr>
              <w:t>o</w:t>
            </w:r>
          </w:p>
        </w:tc>
      </w:tr>
      <w:tr>
        <w:trPr>
          <w:trHeight w:val="23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408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89"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ind w:right="4800"/>
        <w:spacing w:after="0" w:line="19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May 1, 2026, the registrant had 210,767,377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535940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040" w:type="dxa"/>
            <w:vAlign w:val="bottom"/>
            <w:vMerge w:val="continue"/>
          </w:tcPr>
          <w:p>
            <w:pPr>
              <w:spacing w:after="0"/>
              <w:rPr>
                <w:sz w:val="13"/>
                <w:szCs w:val="13"/>
                <w:color w:val="auto"/>
              </w:rPr>
            </w:pPr>
          </w:p>
        </w:tc>
        <w:tc>
          <w:tcPr>
            <w:tcW w:w="1780" w:type="dxa"/>
            <w:vAlign w:val="bottom"/>
            <w:tcBorders>
              <w:bottom w:val="single" w:sz="8" w:color="0000FF"/>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800" w:type="dxa"/>
            <w:vAlign w:val="bottom"/>
            <w:gridSpan w:val="12"/>
          </w:tcPr>
          <w:p>
            <w:pPr>
              <w:spacing w:after="0"/>
              <w:rPr>
                <w:sz w:val="13"/>
                <w:szCs w:val="13"/>
                <w:color w:val="auto"/>
              </w:rPr>
            </w:pPr>
          </w:p>
        </w:tc>
        <w:tc>
          <w:tcPr>
            <w:tcW w:w="6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Financial Statements (Unaudited)</w:t>
            </w:r>
          </w:p>
        </w:tc>
        <w:tc>
          <w:tcPr>
            <w:tcW w:w="7680" w:type="dxa"/>
            <w:vAlign w:val="bottom"/>
            <w:gridSpan w:val="10"/>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Income for the three months ended March 31, 2026 and 2025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 w:type="dxa"/>
            <w:vAlign w:val="bottom"/>
          </w:tcPr>
          <w:p>
            <w:pPr>
              <w:spacing w:after="0"/>
              <w:rPr>
                <w:sz w:val="16"/>
                <w:szCs w:val="16"/>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months ended March 31, 2026 and 2025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66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March 31, 2026 and December 31, 202</w:t>
            </w:r>
            <w:r>
              <w:rPr>
                <w:rFonts w:ascii="Times New Roman" w:cs="Times New Roman" w:eastAsia="Times New Roman" w:hAnsi="Times New Roman"/>
                <w:sz w:val="14"/>
                <w:szCs w:val="14"/>
                <w:color w:val="000000"/>
              </w:rPr>
              <w:t>5</w:t>
            </w:r>
          </w:p>
        </w:tc>
        <w:tc>
          <w:tcPr>
            <w:tcW w:w="2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 w:type="dxa"/>
            <w:vAlign w:val="bottom"/>
          </w:tcPr>
          <w:p>
            <w:pPr>
              <w:spacing w:after="0"/>
              <w:rPr>
                <w:sz w:val="16"/>
                <w:szCs w:val="16"/>
                <w:color w:val="auto"/>
              </w:rPr>
            </w:pPr>
          </w:p>
        </w:tc>
        <w:tc>
          <w:tcPr>
            <w:tcW w:w="65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months ended March 31, 2026 and 2025</w:t>
            </w:r>
          </w:p>
        </w:tc>
        <w:tc>
          <w:tcPr>
            <w:tcW w:w="3080" w:type="dxa"/>
            <w:vAlign w:val="bottom"/>
            <w:gridSpan w:val="2"/>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March 31, 2026 and 2025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59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3620" w:type="dxa"/>
            <w:vAlign w:val="bottom"/>
            <w:gridSpan w:val="3"/>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500" w:type="dxa"/>
            <w:vAlign w:val="bottom"/>
            <w:gridSpan w:val="5"/>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140" w:type="dxa"/>
            <w:vAlign w:val="bottom"/>
            <w:gridSpan w:val="8"/>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80" w:type="dxa"/>
            <w:vAlign w:val="bottom"/>
            <w:gridSpan w:val="14"/>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8"/>
              </w:rPr>
              <w:t>OTHER INFORMATION</w:t>
            </w:r>
          </w:p>
        </w:tc>
        <w:tc>
          <w:tcPr>
            <w:tcW w:w="8100" w:type="dxa"/>
            <w:vAlign w:val="bottom"/>
            <w:gridSpan w:val="13"/>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520" w:type="dxa"/>
            <w:vAlign w:val="bottom"/>
            <w:gridSpan w:val="16"/>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95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3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160" w:type="dxa"/>
            <w:vAlign w:val="bottom"/>
            <w:gridSpan w:val="9"/>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95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1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760" w:type="dxa"/>
            <w:vAlign w:val="bottom"/>
            <w:gridSpan w:val="11"/>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340" w:type="dxa"/>
            <w:vAlign w:val="bottom"/>
            <w:tcBorders>
              <w:top w:val="single" w:sz="8" w:color="0000FF"/>
            </w:tcBorders>
            <w:gridSpan w:val="2"/>
          </w:tcPr>
          <w:p>
            <w:pPr>
              <w:spacing w:after="0"/>
              <w:rPr>
                <w:sz w:val="16"/>
                <w:szCs w:val="16"/>
                <w:color w:val="auto"/>
              </w:rPr>
            </w:pPr>
          </w:p>
        </w:tc>
        <w:tc>
          <w:tcPr>
            <w:tcW w:w="8200" w:type="dxa"/>
            <w:vAlign w:val="bottom"/>
            <w:gridSpan w:val="15"/>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9100" w:type="dxa"/>
            <w:vAlign w:val="bottom"/>
            <w:gridSpan w:val="20"/>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8980" w:type="dxa"/>
            <w:vAlign w:val="bottom"/>
            <w:gridSpan w:val="19"/>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“anticipates,” “believes,” “estimates,” “predicts,” “model,” “assumes,” “confident,”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2025 and as updated in our Quarterly Reports on Form 10-Q. You should specifically consider the numerous risks outlined in the “Risk Factors” sections. These risks and uncertainties include factors related to:</w:t>
      </w:r>
    </w:p>
    <w:p>
      <w:pPr>
        <w:spacing w:after="0" w:line="168" w:lineRule="exact"/>
        <w:rPr>
          <w:sz w:val="20"/>
          <w:szCs w:val="20"/>
          <w:color w:val="auto"/>
        </w:rPr>
      </w:pPr>
    </w:p>
    <w:p>
      <w:pPr>
        <w:ind w:left="700" w:right="280" w:hanging="349"/>
        <w:spacing w:after="0" w:line="287" w:lineRule="auto"/>
        <w:tabs>
          <w:tab w:leader="none" w:pos="69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lifestyle, economic circumstances and environmental concerns, as well as changes in current or future laws and regulations related to environmental matters;</w:t>
      </w:r>
    </w:p>
    <w:p>
      <w:pPr>
        <w:spacing w:after="0" w:line="39"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relationships with our major customers, consolidation of our customer bases and loss of a significant customer;</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pricing pressures;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disruption at, any of our key manufacturing facilities;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of raw materials and any interruption in our supply of raw materials;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due to an accident, labor issues, weather conditions, natural disaster, or disease outbreak, including epidemics, pandemics or similar widespread public health concerns;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raw materials, energy, labor and freight, including the impact of tariffs, trade sanctions and similar matters affecting our importation of certain raw materials and other products;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shortages and increased labor costs;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brands that are critical to our success;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in our target markets;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businesses;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inflationary trends;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meeting our sales growth objectives and innovation goals; and</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interest rates and the availability of capital.</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 information about these factors and about the material factors or assumptions underlying such forward-looking statements is included in our Annual Report on Form 10-K for the fiscal year ended December 31, 2025, which was filed on February 4, 2026, under Part I, Item 1A. “Risk Factors” and as updated in our Quarterly Reports on Form 10-Q.</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9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Reynolds Consumer Products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3"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22"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8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02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net revenues</w:t>
            </w:r>
          </w:p>
        </w:tc>
        <w:tc>
          <w:tcPr>
            <w:tcW w:w="10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10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w:t>
            </w: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w:t>
            </w: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2"/>
        </w:trPr>
        <w:tc>
          <w:tcPr>
            <w:tcW w:w="8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22"/>
        </w:trPr>
        <w:tc>
          <w:tcPr>
            <w:tcW w:w="8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expense</w:t>
            </w:r>
          </w:p>
        </w:tc>
        <w:tc>
          <w:tcPr>
            <w:tcW w:w="10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02"/>
        </w:trPr>
        <w:tc>
          <w:tcPr>
            <w:tcW w:w="8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r>
      <w:tr>
        <w:trPr>
          <w:trHeight w:val="22"/>
        </w:trPr>
        <w:tc>
          <w:tcPr>
            <w:tcW w:w="8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2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r>
      <w:tr>
        <w:trPr>
          <w:trHeight w:val="212"/>
        </w:trPr>
        <w:tc>
          <w:tcPr>
            <w:tcW w:w="8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22"/>
        </w:trPr>
        <w:tc>
          <w:tcPr>
            <w:tcW w:w="8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1"/>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22"/>
        </w:trPr>
        <w:tc>
          <w:tcPr>
            <w:tcW w:w="8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Reynolds Consumer Products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3"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p>
      <w:pPr>
        <w:spacing w:after="0" w:line="22"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8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31</w:t>
            </w:r>
          </w:p>
        </w:tc>
      </w:tr>
      <w:tr>
        <w:trPr>
          <w:trHeight w:val="19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income taxes: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8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benefit plans</w:t>
            </w: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(1)</w:t>
            </w:r>
          </w:p>
        </w:tc>
      </w:tr>
      <w:tr>
        <w:trPr>
          <w:trHeight w:val="22"/>
        </w:trPr>
        <w:tc>
          <w:tcPr>
            <w:tcW w:w="8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1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7"/>
              </w:rPr>
              <w:t>(5)</w:t>
            </w: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taxes</w:t>
            </w:r>
          </w:p>
        </w:tc>
        <w:tc>
          <w:tcPr>
            <w:tcW w:w="1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7"/>
              </w:rPr>
              <w:t>(6)</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b w:val="1"/>
                <w:bCs w:val="1"/>
                <w:color w:val="auto"/>
              </w:rPr>
              <w:t>25</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Reynolds Consumer Products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40" w:type="dxa"/>
            <w:vAlign w:val="bottom"/>
          </w:tcPr>
          <w:p>
            <w:pPr>
              <w:spacing w:after="0"/>
              <w:rPr>
                <w:sz w:val="11"/>
                <w:szCs w:val="11"/>
                <w:color w:val="auto"/>
              </w:rPr>
            </w:pP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restart"/>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7"/>
        </w:trPr>
        <w:tc>
          <w:tcPr>
            <w:tcW w:w="7740" w:type="dxa"/>
            <w:vAlign w:val="bottom"/>
          </w:tcPr>
          <w:p>
            <w:pPr>
              <w:spacing w:after="0"/>
              <w:rPr>
                <w:sz w:val="11"/>
                <w:szCs w:val="11"/>
                <w:color w:val="auto"/>
              </w:rPr>
            </w:pP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7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8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80" w:type="dxa"/>
            <w:vAlign w:val="bottom"/>
          </w:tcPr>
          <w:p>
            <w:pPr>
              <w:jc w:val="right"/>
              <w:ind w:right="1035"/>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 and $2)</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1,105</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 of $1,059 and $1,034)</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8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4,936</w:t>
            </w:r>
          </w:p>
        </w:tc>
        <w:tc>
          <w:tcPr>
            <w:tcW w:w="0" w:type="dxa"/>
            <w:vAlign w:val="bottom"/>
          </w:tcPr>
          <w:p>
            <w:pPr>
              <w:spacing w:after="0"/>
              <w:rPr>
                <w:sz w:val="1"/>
                <w:szCs w:val="1"/>
                <w:color w:val="auto"/>
              </w:rPr>
            </w:pPr>
          </w:p>
        </w:tc>
      </w:tr>
      <w:tr>
        <w:trPr>
          <w:trHeight w:val="161"/>
        </w:trPr>
        <w:tc>
          <w:tcPr>
            <w:tcW w:w="7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18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577</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postretirement benefit obligation</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18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2,665</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2,683</w:t>
            </w: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$0.001 par value; 2,000 shares authorized; 210.7 shares issued and outstanding</w:t>
            </w:r>
          </w:p>
        </w:tc>
        <w:tc>
          <w:tcPr>
            <w:tcW w:w="1180" w:type="dxa"/>
            <w:vAlign w:val="bottom"/>
          </w:tcPr>
          <w:p>
            <w:pPr>
              <w:spacing w:after="0"/>
              <w:rPr>
                <w:sz w:val="16"/>
                <w:szCs w:val="16"/>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2,265</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2,253</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18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4,930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4,936</w:t>
            </w:r>
          </w:p>
        </w:tc>
        <w:tc>
          <w:tcPr>
            <w:tcW w:w="0" w:type="dxa"/>
            <w:vAlign w:val="bottom"/>
          </w:tcPr>
          <w:p>
            <w:pPr>
              <w:spacing w:after="0"/>
              <w:rPr>
                <w:sz w:val="1"/>
                <w:szCs w:val="1"/>
                <w:color w:val="auto"/>
              </w:rPr>
            </w:pPr>
          </w:p>
        </w:tc>
      </w:tr>
      <w:tr>
        <w:trPr>
          <w:trHeight w:val="21"/>
        </w:trPr>
        <w:tc>
          <w:tcPr>
            <w:tcW w:w="77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Reynolds Consumer Products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1060" w:type="dxa"/>
            <w:vAlign w:val="bottom"/>
            <w:vMerge w:val="restart"/>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8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11"/>
                <w:szCs w:val="1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20" w:type="dxa"/>
            <w:vAlign w:val="bottom"/>
          </w:tcPr>
          <w:p>
            <w:pPr>
              <w:spacing w:after="0"/>
              <w:rPr>
                <w:sz w:val="11"/>
                <w:szCs w:val="11"/>
                <w:color w:val="auto"/>
              </w:rPr>
            </w:pPr>
          </w:p>
        </w:tc>
        <w:tc>
          <w:tcPr>
            <w:tcW w:w="1100" w:type="dxa"/>
            <w:vAlign w:val="bottom"/>
            <w:vMerge w:val="restart"/>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6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2,142</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income taxes</w:t>
            </w: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($0.23 per share declared and paid)</w:t>
            </w:r>
          </w:p>
        </w:tc>
        <w:tc>
          <w:tcPr>
            <w:tcW w:w="106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06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2,122</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06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1,431</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802</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2,253</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6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($0.23 per share declared and paid)</w:t>
            </w: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Reynolds Consumer Products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8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provided by operating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operating cash flows: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 receivables</w:t>
            </w:r>
          </w:p>
        </w:tc>
        <w:tc>
          <w:tcPr>
            <w:tcW w:w="10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Related party payables</w:t>
            </w:r>
          </w:p>
        </w:tc>
        <w:tc>
          <w:tcPr>
            <w:tcW w:w="10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 / receivable</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used in investing activities</w:t>
            </w:r>
          </w:p>
        </w:tc>
        <w:tc>
          <w:tcPr>
            <w:tcW w:w="10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used in financing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12"/>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term loan refinancing</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21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existing term loan</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r>
      <w:tr>
        <w:trPr>
          <w:trHeight w:val="18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0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2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r>
      <w:tr>
        <w:trPr>
          <w:trHeight w:val="202"/>
        </w:trPr>
        <w:tc>
          <w:tcPr>
            <w:tcW w:w="8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 long-term debt, net of interest rate swaps</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81" w:lineRule="exact"/>
        <w:rPr>
          <w:sz w:val="20"/>
          <w:szCs w:val="20"/>
          <w:color w:val="auto"/>
        </w:rPr>
      </w:pPr>
    </w:p>
    <w:p>
      <w:pPr>
        <w:ind w:left="340" w:hanging="335"/>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inflows and outflows due to changes in term loan lender composition.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Reynolds Consumer Products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 and 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Kitchen Essentials; Hefty Waste &amp; Clean-Up; Hefty Home &amp; Tableware; and Hefty Storage &amp; Organization. Refer to Note 9 - Segment Information for details of a segment reorganization that took place during the three months ended March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accounting policies described in our Annual Report on Form 10-K for the year ended December 31, 2025,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Non-Cash Lease Transactions: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$4 million and $15 million in new operating lease right-of-use assets obtained in exchange for lease liabilities during the three months ended March 31, 2026 and March 31,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Financing: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outstanding amounts related to suppliers participating in the SCF are recorded within accounts payable in the condensed consolidated balance sheet and associated payments are included as an operating cash flow in the condensed consolidated statement of cash flows. The amount of obligations outstanding that we have confirmed as valid under the SCF was $9 million as of each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212529"/>
        </w:rPr>
        <w:t>Accounts Receivable Factoring:</w:t>
      </w:r>
    </w:p>
    <w:p>
      <w:pPr>
        <w:spacing w:after="0" w:line="3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are party to a factoring agreement with a global financial institution to sell certain accounts receivable up to </w:t>
      </w:r>
      <w:r>
        <w:rPr>
          <w:rFonts w:ascii="Times New Roman" w:cs="Times New Roman" w:eastAsia="Times New Roman" w:hAnsi="Times New Roman"/>
          <w:sz w:val="14"/>
          <w:szCs w:val="14"/>
          <w:color w:val="212529"/>
        </w:rPr>
        <w:t>$95 million. We had no factored receivables as of</w:t>
      </w:r>
      <w:r>
        <w:rPr>
          <w:rFonts w:ascii="Times New Roman" w:cs="Times New Roman" w:eastAsia="Times New Roman" w:hAnsi="Times New Roman"/>
          <w:sz w:val="14"/>
          <w:szCs w:val="14"/>
          <w:color w:val="auto"/>
        </w:rPr>
        <w:t xml:space="preserve"> March 31, 2026</w:t>
      </w:r>
      <w:r>
        <w:rPr>
          <w:rFonts w:ascii="Times New Roman" w:cs="Times New Roman" w:eastAsia="Times New Roman" w:hAnsi="Times New Roman"/>
          <w:sz w:val="14"/>
          <w:szCs w:val="14"/>
          <w:color w:val="212529"/>
        </w:rPr>
        <w:t>. Transactions under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this agreement are accounted for as sales of accounts receivable, and the receivables sold are 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Guidance Issued But Not Yet Adopted:</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Financial Accounting Standards Board ("FASB") issued Accounting Standards Update ("ASU") 2024-03, </w:t>
      </w:r>
      <w:r>
        <w:rPr>
          <w:rFonts w:ascii="Times New Roman" w:cs="Times New Roman" w:eastAsia="Times New Roman" w:hAnsi="Times New Roman"/>
          <w:sz w:val="14"/>
          <w:szCs w:val="14"/>
          <w:i w:val="1"/>
          <w:iCs w:val="1"/>
          <w:color w:val="auto"/>
        </w:rPr>
        <w:t>Income Statement - Reporting Comprehensive Income -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Disclosures (Subtopic 220-40)</w:t>
      </w:r>
      <w:r>
        <w:rPr>
          <w:rFonts w:ascii="Times New Roman" w:cs="Times New Roman" w:eastAsia="Times New Roman" w:hAnsi="Times New Roman"/>
          <w:sz w:val="14"/>
          <w:szCs w:val="14"/>
          <w:color w:val="auto"/>
        </w:rPr>
        <w:t>, which will require additional disclosure about specific expense categories included in the income statement. Annual disclosure requirements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for us in our Annual Report on Form 10-K for the fiscal year ending December 31, 2026, and quarterly disclosure requirements will be effective for us in the first quarter of 2027, with early adoption permitted. We are currently assessing the impact of this standard on our condensed consolidated financial statements and related disclosures.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September 2025, FASB issued ASU 2025-06, </w:t>
      </w:r>
      <w:r>
        <w:rPr>
          <w:rFonts w:ascii="Times New Roman" w:cs="Times New Roman" w:eastAsia="Times New Roman" w:hAnsi="Times New Roman"/>
          <w:sz w:val="14"/>
          <w:szCs w:val="14"/>
          <w:i w:val="1"/>
          <w:iCs w:val="1"/>
          <w:color w:val="auto"/>
        </w:rPr>
        <w:t>Intangibles - Goodwill and Other - Internal-Use Software (Subtopic 350-40),</w:t>
      </w:r>
      <w:r>
        <w:rPr>
          <w:rFonts w:ascii="Times New Roman" w:cs="Times New Roman" w:eastAsia="Times New Roman" w:hAnsi="Times New Roman"/>
          <w:sz w:val="14"/>
          <w:szCs w:val="14"/>
          <w:color w:val="auto"/>
        </w:rPr>
        <w:t xml:space="preserve"> which updates the accounting for internal-use software costs by increasing the operability of the recognition guidance considering different methods of software development. This ASU is effective for annual reporting periods beginning after December 15, 2027, and interim reporting periods within those annual reporting periods, with early adoption permitted. We are currently assessing the impact of this standard on our condensed consolidated financial statements.</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November 2025, FASB issued ASU 2025-09, </w:t>
      </w:r>
      <w:r>
        <w:rPr>
          <w:rFonts w:ascii="Times New Roman" w:cs="Times New Roman" w:eastAsia="Times New Roman" w:hAnsi="Times New Roman"/>
          <w:sz w:val="14"/>
          <w:szCs w:val="14"/>
          <w:i w:val="1"/>
          <w:iCs w:val="1"/>
          <w:color w:val="auto"/>
        </w:rPr>
        <w:t>Derivatives and Hedging (Topic 815): Hedge Accounting Improvements</w:t>
      </w:r>
      <w:r>
        <w:rPr>
          <w:rFonts w:ascii="Times New Roman" w:cs="Times New Roman" w:eastAsia="Times New Roman" w:hAnsi="Times New Roman"/>
          <w:sz w:val="14"/>
          <w:szCs w:val="14"/>
          <w:color w:val="auto"/>
        </w:rPr>
        <w:t>, which updates hedge accounting requirements. This ASU is effective for annual reporting periods beginning after December 15, 2026, and interim reporting periods within those annual reporting periods, with early adoption permitted. We are currently assessing the impact of this standard on our condensed consolidated financial statements.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2025, FASB issued ASU 2025-11, </w:t>
      </w:r>
      <w:r>
        <w:rPr>
          <w:rFonts w:ascii="Times New Roman" w:cs="Times New Roman" w:eastAsia="Times New Roman" w:hAnsi="Times New Roman"/>
          <w:sz w:val="14"/>
          <w:szCs w:val="14"/>
          <w:i w:val="1"/>
          <w:iCs w:val="1"/>
          <w:color w:val="auto"/>
        </w:rPr>
        <w:t>Interim Reporting (Topic 270): Narrow Scope Improvements,</w:t>
      </w:r>
      <w:r>
        <w:rPr>
          <w:rFonts w:ascii="Times New Roman" w:cs="Times New Roman" w:eastAsia="Times New Roman" w:hAnsi="Times New Roman"/>
          <w:sz w:val="14"/>
          <w:szCs w:val="14"/>
          <w:color w:val="auto"/>
        </w:rPr>
        <w:t xml:space="preserve"> which clarifies interim disclosure requirements. This ASU is effective for interim reporting periods beginning after December 15, 2027, with early adoption permitted. We are currently assessing the impact of this standard on our condensed consolidated financial statements and related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Inventories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3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12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3300" w:type="dxa"/>
            <w:vAlign w:val="bottom"/>
          </w:tcPr>
          <w:p>
            <w:pPr>
              <w:spacing w:after="0"/>
              <w:rPr>
                <w:sz w:val="12"/>
                <w:szCs w:val="12"/>
                <w:color w:val="auto"/>
              </w:rPr>
            </w:pPr>
          </w:p>
        </w:tc>
        <w:tc>
          <w:tcPr>
            <w:tcW w:w="6040" w:type="dxa"/>
            <w:vAlign w:val="bottom"/>
            <w:gridSpan w:val="2"/>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40"/>
        </w:trPr>
        <w:tc>
          <w:tcPr>
            <w:tcW w:w="33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41"/>
        </w:trPr>
        <w:tc>
          <w:tcPr>
            <w:tcW w:w="3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tcPr>
          <w:p>
            <w:pPr>
              <w:spacing w:after="0"/>
              <w:rPr>
                <w:sz w:val="12"/>
                <w:szCs w:val="12"/>
                <w:color w:val="auto"/>
              </w:rPr>
            </w:pPr>
          </w:p>
        </w:tc>
      </w:tr>
      <w:tr>
        <w:trPr>
          <w:trHeight w:val="30"/>
        </w:trPr>
        <w:tc>
          <w:tcPr>
            <w:tcW w:w="3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6040" w:type="dxa"/>
            <w:vAlign w:val="bottom"/>
            <w:tcBorders>
              <w:bottom w:val="single" w:sz="8" w:color="CCEEFF"/>
            </w:tcBorders>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progress</w:t>
            </w:r>
          </w:p>
        </w:tc>
        <w:tc>
          <w:tcPr>
            <w:tcW w:w="4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2"/>
        </w:trPr>
        <w:tc>
          <w:tcPr>
            <w:tcW w:w="33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49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Spare parts</w:t>
            </w:r>
          </w:p>
        </w:tc>
        <w:tc>
          <w:tcPr>
            <w:tcW w:w="4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6040" w:type="dxa"/>
            <w:vAlign w:val="bottom"/>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w:t>
            </w:r>
          </w:p>
        </w:tc>
      </w:tr>
      <w:tr>
        <w:trPr>
          <w:trHeight w:val="878"/>
        </w:trPr>
        <w:tc>
          <w:tcPr>
            <w:tcW w:w="3300" w:type="dxa"/>
            <w:vAlign w:val="bottom"/>
            <w:tcBorders>
              <w:top w:val="single" w:sz="8" w:color="CCEEFF"/>
            </w:tcBorders>
          </w:tcPr>
          <w:p>
            <w:pPr>
              <w:spacing w:after="0"/>
              <w:rPr>
                <w:sz w:val="24"/>
                <w:szCs w:val="24"/>
                <w:color w:val="auto"/>
              </w:rPr>
            </w:pPr>
          </w:p>
        </w:tc>
        <w:tc>
          <w:tcPr>
            <w:tcW w:w="4920" w:type="dxa"/>
            <w:vAlign w:val="bottom"/>
            <w:tcBorders>
              <w:top w:val="single" w:sz="8" w:color="CCEEFF"/>
            </w:tcBorders>
          </w:tcPr>
          <w:p>
            <w:pPr>
              <w:jc w:val="right"/>
              <w:ind w:right="2473"/>
              <w:spacing w:after="0"/>
              <w:rPr>
                <w:sz w:val="20"/>
                <w:szCs w:val="20"/>
                <w:color w:val="auto"/>
              </w:rPr>
            </w:pPr>
            <w:r>
              <w:rPr>
                <w:rFonts w:ascii="Times New Roman" w:cs="Times New Roman" w:eastAsia="Times New Roman" w:hAnsi="Times New Roman"/>
                <w:sz w:val="14"/>
                <w:szCs w:val="14"/>
                <w:color w:val="auto"/>
              </w:rPr>
              <w:t>8</w:t>
            </w:r>
          </w:p>
        </w:tc>
        <w:tc>
          <w:tcPr>
            <w:tcW w:w="1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87"/>
        </w:trPr>
        <w:tc>
          <w:tcPr>
            <w:tcW w:w="3300" w:type="dxa"/>
            <w:vAlign w:val="bottom"/>
            <w:tcBorders>
              <w:bottom w:val="single" w:sz="8" w:color="9A9A9A"/>
            </w:tcBorders>
          </w:tcPr>
          <w:p>
            <w:pPr>
              <w:spacing w:after="0"/>
              <w:rPr>
                <w:sz w:val="7"/>
                <w:szCs w:val="7"/>
                <w:color w:val="auto"/>
              </w:rPr>
            </w:pPr>
          </w:p>
        </w:tc>
        <w:tc>
          <w:tcPr>
            <w:tcW w:w="49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Note 4 – Debt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320" w:type="dxa"/>
            <w:vAlign w:val="bottom"/>
          </w:tcPr>
          <w:p>
            <w:pPr>
              <w:spacing w:after="0"/>
              <w:rPr>
                <w:sz w:val="11"/>
                <w:szCs w:val="11"/>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40"/>
        </w:trPr>
        <w:tc>
          <w:tcPr>
            <w:tcW w:w="8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41"/>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facility</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transaction costs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1,580</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External Debt Facilities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the three months ended March 31, 2025, comprised of $12 million of new fees allocated to modified loans and $1 million of deferred financing transaction costs and original issue discount expensed related to extinguished loans. This expense is presented separately in our condensed consolidated statements of income.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during the three months ended March 31,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Loan Facility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Loan Facility matures in March 2032. The Term Loan Facility amortizes in equal quarterly installments of $4 million, which commenced in June 2025, with the balance payable on maturity. During the three months ended March 31, 2026, we made a voluntary principal repayment of $50 million. As a result of voluntary principal repayments made, the Term Loan Facility has no quarterly amortization payments due until December 2031, when the quarterly amortization payments will recommence.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color w:val="auto"/>
        </w:rPr>
        <w:t>Revolving Facility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Revolving Facility matures in October 2029 and includes a sub-facility for letters of credit. As of March 31, 2026, we had no outstanding borrowings under the Revolving Facility, and we had $7 million of letters of credit outstanding, which reduces the borrowing capacity under the Revolving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Our Long-Term Debt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our long-term debt as of March 31, 2026, which is a Level 2 fair value measurement, approximates the carrying value due to the variable market interest rate and the stability of our credit profile.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Financial Instruments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Derivatives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entered into a series of interest rate swaps to fix the SOFR of our External Debt Facilities. During the year ended December 31, 2025, we entered into additional forward-starting interest rate swaps with start dates beginning in February 2026 that had an aggregate notional value of $900 million. These swaps fix the SOFR at annual rates ranging from 3.33% to 3.41% (resulting in annual effective interest rates of 5.08% to 5.16%, including margin), have maturity dates between March 2028 and March 2031, and carry a weighted average effective rate of 5.12%. As of March 31, 2026 and December 31, 2025, the aggregate notional amount of interest rate swaps outstanding was $900 million and $1,000 million, respectively.</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interest rate swaps outstanding as of March 31, 2026 hedge a portion of the interest rate exposure resulting from borrowings under our Term Loan Facility. We have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assets and liabilities associated with our interest rate swaps, as reflected gross in the condensed consolidated balance sheets,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40" w:type="dxa"/>
            <w:vAlign w:val="bottom"/>
          </w:tcPr>
          <w:p>
            <w:pPr>
              <w:spacing w:after="0"/>
              <w:rPr>
                <w:sz w:val="11"/>
                <w:szCs w:val="11"/>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40" w:type="dxa"/>
            <w:vAlign w:val="bottom"/>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9"/>
        </w:trPr>
        <w:tc>
          <w:tcPr>
            <w:tcW w:w="6440" w:type="dxa"/>
            <w:vAlign w:val="bottom"/>
          </w:tcPr>
          <w:p>
            <w:pPr>
              <w:spacing w:after="0"/>
              <w:rPr>
                <w:sz w:val="12"/>
                <w:szCs w:val="12"/>
                <w:color w:val="auto"/>
              </w:rPr>
            </w:pPr>
          </w:p>
        </w:tc>
        <w:tc>
          <w:tcPr>
            <w:tcW w:w="168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Pr>
          <w:p>
            <w:pPr>
              <w:jc w:val="right"/>
              <w:ind w:right="10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64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41"/>
        </w:trPr>
        <w:tc>
          <w:tcPr>
            <w:tcW w:w="6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1940" w:type="dxa"/>
            <w:vAlign w:val="bottom"/>
          </w:tcPr>
          <w:p>
            <w:pPr>
              <w:spacing w:after="0"/>
              <w:rPr>
                <w:sz w:val="12"/>
                <w:szCs w:val="12"/>
                <w:color w:val="auto"/>
              </w:rPr>
            </w:pPr>
          </w:p>
        </w:tc>
      </w:tr>
      <w:tr>
        <w:trPr>
          <w:trHeight w:val="30"/>
        </w:trPr>
        <w:tc>
          <w:tcPr>
            <w:tcW w:w="6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192"/>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r>
      <w:tr>
        <w:trPr>
          <w:trHeight w:val="191"/>
        </w:trPr>
        <w:tc>
          <w:tcPr>
            <w:tcW w:w="6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1680" w:type="dxa"/>
            <w:vAlign w:val="bottom"/>
          </w:tcPr>
          <w:p>
            <w:pPr>
              <w:jc w:val="right"/>
              <w:ind w:right="1535"/>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gridSpan w:val="2"/>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6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2"/>
        </w:trPr>
        <w:tc>
          <w:tcPr>
            <w:tcW w:w="6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80" w:type="dxa"/>
            <w:vAlign w:val="bottom"/>
            <w:tcBorders>
              <w:top w:val="single" w:sz="8" w:color="auto"/>
              <w:bottom w:val="single" w:sz="8" w:color="auto"/>
            </w:tcBorders>
          </w:tcPr>
          <w:p>
            <w:pPr>
              <w:jc w:val="right"/>
              <w:ind w:right="15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4"/>
        </w:trPr>
        <w:tc>
          <w:tcPr>
            <w:tcW w:w="64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9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2"/>
        </w:trPr>
        <w:tc>
          <w:tcPr>
            <w:tcW w:w="6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2"/>
        </w:trPr>
        <w:tc>
          <w:tcPr>
            <w:tcW w:w="6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80" w:type="dxa"/>
            <w:vAlign w:val="bottom"/>
            <w:tcBorders>
              <w:top w:val="single" w:sz="8" w:color="auto"/>
              <w:bottom w:val="single" w:sz="8" w:color="auto"/>
            </w:tcBorders>
          </w:tcPr>
          <w:p>
            <w:pPr>
              <w:jc w:val="right"/>
              <w:ind w:right="153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0"/>
        </w:trPr>
        <w:tc>
          <w:tcPr>
            <w:tcW w:w="6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Note 6 – Stock-based Compensation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months ended March 31, 2026, 0.4 million RSUs and 0.4 million PSUs were granted.</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there were stock-based compensation awards representing 2.3 million shares outstanding compared to 2.0 million shares outstanding as of December 31, 2025. Stock-based compensation expense was $4 million for the three months ended March 31, 2026, compared to $6 million for the three months ended March 31,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March 31, 2026,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Accumulated Other Comprehensive Income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our balances of each component of accumulated other comprehensive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Accumulated Other</w:t>
            </w:r>
          </w:p>
        </w:tc>
      </w:tr>
      <w:tr>
        <w:trPr>
          <w:trHeight w:val="149"/>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Employee Benefit Plans</w:t>
            </w:r>
          </w:p>
        </w:tc>
        <w:tc>
          <w:tcPr>
            <w:tcW w:w="14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120" w:type="dxa"/>
            <w:vAlign w:val="bottom"/>
          </w:tcPr>
          <w:p>
            <w:pPr>
              <w:spacing w:after="0"/>
              <w:rPr>
                <w:sz w:val="12"/>
                <w:szCs w:val="12"/>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Comprehensive Income</w:t>
            </w:r>
          </w:p>
        </w:tc>
      </w:tr>
      <w:tr>
        <w:trPr>
          <w:trHeight w:val="30"/>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(loss) arising during the period</w:t>
            </w:r>
          </w:p>
        </w:tc>
        <w:tc>
          <w:tcPr>
            <w:tcW w:w="160" w:type="dxa"/>
            <w:vAlign w:val="bottom"/>
          </w:tcPr>
          <w:p>
            <w:pPr>
              <w:spacing w:after="0"/>
              <w:rPr>
                <w:sz w:val="16"/>
                <w:szCs w:val="16"/>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deferred taxes</w:t>
            </w:r>
          </w:p>
        </w:tc>
        <w:tc>
          <w:tcPr>
            <w:tcW w:w="160" w:type="dxa"/>
            <w:vAlign w:val="bottom"/>
          </w:tcPr>
          <w:p>
            <w:pPr>
              <w:spacing w:after="0"/>
              <w:rPr>
                <w:sz w:val="16"/>
                <w:szCs w:val="16"/>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(loss) arising during the period</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deferred taxes</w:t>
            </w:r>
          </w:p>
        </w:tc>
        <w:tc>
          <w:tcPr>
            <w:tcW w:w="160" w:type="dxa"/>
            <w:vAlign w:val="bottom"/>
          </w:tcPr>
          <w:p>
            <w:pPr>
              <w:spacing w:after="0"/>
              <w:rPr>
                <w:sz w:val="16"/>
                <w:szCs w:val="16"/>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27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Segment Information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January 2026, we reorganized the previous Hefty Waste &amp; Storage and Presto Products segments by consolidating waste bags into the new Hefty Waste &amp; Clean-Up segment and food bags and storage products into the new Hefty Storage &amp; Organization segment in an effort to increase efficiencies, sharpen focus on innovation and establish a structure that can better facilitate entry into adjacent categories. Comparative segment disclosures have been recast to reflect this realignment. Prior periods will be similarly recast in each quarterly update during 2026. These changes had no effect on our previously reported condensed consolidated results of operations. In addition to the segment realignment, we have renamed our existing Reynolds Cooking &amp; Baking segment and Hefty Tableware segment to Reynolds Cooking &amp; Kitchen Essentials and Hefty Home &amp; Tableware, respectively.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4"/>
          <w:szCs w:val="14"/>
          <w:color w:val="auto"/>
        </w:rPr>
        <w:t>As part of the segment reorganization, $803 million of goodwill was reallocated on a relative fair value basis from the previous Hefty Waste &amp; Storage and Presto Products segments to the new Hefty Waste &amp; Clean-Up and Hefty Storage &amp; Organization segments. We performed a goodwill impairment analysis immediately before and after the segment reorganization, and concluded that goodwill was not impaired. The goodwill balances as of March 31, 2026, for Reynolds Cooking &amp; Kitchen Essentials, Hefty Waste &amp; Clean-Up, Hefty Home &amp; Tableware, and Hefty Storage &amp; Organization were $794 million, $520 million, $298 million and $283 million, respectively.</w:t>
      </w:r>
    </w:p>
    <w:p>
      <w:pPr>
        <w:spacing w:after="0" w:line="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Kitchen Essentials, Hefty Waste</w:t>
      </w:r>
    </w:p>
    <w:p>
      <w:pPr>
        <w:spacing w:after="0" w:line="1" w:lineRule="exact"/>
        <w:rPr>
          <w:sz w:val="20"/>
          <w:szCs w:val="20"/>
          <w:color w:val="auto"/>
        </w:rPr>
      </w:pPr>
    </w:p>
    <w:p>
      <w:pPr>
        <w:ind w:firstLine="5"/>
        <w:spacing w:after="0" w:line="266" w:lineRule="auto"/>
        <w:tabs>
          <w:tab w:leader="none" w:pos="1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Clean-Up, Hefty Home &amp; Tableware, and Hefty Storage &amp; Organization. The key factors used to identify these reportable segments are the organization and alignment of our internal operations and the nature of our products. This reflects how our CODM monitors performance, allocates capital and makes strategic and operational decisions.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segments are described as follows: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Reynolds Cooking &amp; Kitchen Essentials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Reynolds Cooking &amp; Kitchen Essentials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Hefty Waste &amp; Clean-Up</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our new focused Hefty Waste &amp; Clean-Up segment, we produce both branded and store brand trash bags. Our branded products are sold under the Hefty Ultra Strong, Hefty Strong, Hefty Essentials, and Brute brands in the U.S. and select international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Hefty Home &amp; Tableware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Hefty Home &amp; Tableware segment sells both branded and store brand disposable and compostable plates, bowls, platters, containers, cups and cutlery. Our Hefty branded products include dishes, party cups, cutlery and containers.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Hefty Storage &amp; Organization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Hefty Storage &amp; Organization segment produces both branded and store brand food storage bags. Our branded products are sold under the Hefty brand for our food storage bags in the U.S. Our food storage bags are sold internationally as Reynolds, Diamond, or Hefty Basics brands based on region. Our Hefty Storage &amp; Organization segment also includes our specialty business, which serves other consumer products companies by providing Fresh-Lock and Slide-Rite resealable closure systems.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by Segment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present segment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as well as performance versus the prior year, when making decisions about allocating capital and personnel to the segments.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represents each segment’s earnings before interest, tax, depreciation and amortization and may be further adjusted to exclude certain items, if applicable.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7" w:right="319" w:bottom="1440" w:gutter="0" w:footer="0" w:header="0"/>
        </w:sectPr>
      </w:pPr>
    </w:p>
    <w:bookmarkStart w:id="14" w:name="page15"/>
    <w:bookmarkEnd w:id="14"/>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0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Reynolds</w:t>
            </w: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Cooking</w:t>
            </w:r>
          </w:p>
        </w:tc>
        <w:tc>
          <w:tcPr>
            <w:tcW w:w="12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b w:val="1"/>
                <w:bCs w:val="1"/>
                <w:color w:val="auto"/>
                <w:w w:val="98"/>
              </w:rPr>
              <w:t>Hefty</w:t>
            </w:r>
          </w:p>
        </w:tc>
        <w:tc>
          <w:tcPr>
            <w:tcW w:w="1140" w:type="dxa"/>
            <w:vAlign w:val="bottom"/>
            <w:vMerge w:val="restart"/>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Hefty Home &amp;</w:t>
            </w:r>
          </w:p>
        </w:tc>
        <w:tc>
          <w:tcPr>
            <w:tcW w:w="13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8"/>
              </w:rPr>
              <w:t>Hefty</w:t>
            </w:r>
          </w:p>
        </w:tc>
        <w:tc>
          <w:tcPr>
            <w:tcW w:w="108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1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&amp; Kitchen</w:t>
            </w:r>
          </w:p>
        </w:tc>
        <w:tc>
          <w:tcPr>
            <w:tcW w:w="12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Storage &amp;</w:t>
            </w:r>
          </w:p>
        </w:tc>
        <w:tc>
          <w:tcPr>
            <w:tcW w:w="1080" w:type="dxa"/>
            <w:vAlign w:val="bottom"/>
            <w:vMerge w:val="continue"/>
          </w:tcPr>
          <w:p>
            <w:pPr>
              <w:spacing w:after="0"/>
              <w:rPr>
                <w:sz w:val="11"/>
                <w:szCs w:val="11"/>
                <w:color w:val="auto"/>
              </w:rPr>
            </w:pP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Unallocated</w:t>
            </w:r>
            <w:r>
              <w:rPr>
                <w:rFonts w:ascii="Times New Roman" w:cs="Times New Roman" w:eastAsia="Times New Roman" w:hAnsi="Times New Roman"/>
                <w:sz w:val="14"/>
                <w:szCs w:val="14"/>
                <w:b w:val="1"/>
                <w:bCs w:val="1"/>
                <w:color w:val="auto"/>
                <w:vertAlign w:val="superscript"/>
              </w:rPr>
              <w:t>(1)</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0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Essentials</w:t>
            </w:r>
          </w:p>
        </w:tc>
        <w:tc>
          <w:tcPr>
            <w:tcW w:w="128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Waste &amp; Clean-Up</w:t>
            </w:r>
          </w:p>
        </w:tc>
        <w:tc>
          <w:tcPr>
            <w:tcW w:w="11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Tableware</w:t>
            </w:r>
          </w:p>
        </w:tc>
        <w:tc>
          <w:tcPr>
            <w:tcW w:w="13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Organization</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1"/>
        </w:trPr>
        <w:tc>
          <w:tcPr>
            <w:tcW w:w="4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w:t>
            </w: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Reynolds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Cooking</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Hefty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&amp; Kitchen</w:t>
            </w:r>
          </w:p>
        </w:tc>
        <w:tc>
          <w:tcPr>
            <w:tcW w:w="220" w:type="dxa"/>
            <w:vAlign w:val="bottom"/>
          </w:tcPr>
          <w:p>
            <w:pPr>
              <w:spacing w:after="0"/>
              <w:rPr>
                <w:sz w:val="11"/>
                <w:szCs w:val="11"/>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Hefty</w:t>
            </w:r>
          </w:p>
        </w:tc>
        <w:tc>
          <w:tcPr>
            <w:tcW w:w="100" w:type="dxa"/>
            <w:vAlign w:val="bottom"/>
          </w:tcPr>
          <w:p>
            <w:pPr>
              <w:spacing w:after="0"/>
              <w:rPr>
                <w:sz w:val="11"/>
                <w:szCs w:val="11"/>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Hefty Home &amp;</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Storage &amp;</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Essentials</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Waste &amp; Clean-Up</w:t>
            </w:r>
          </w:p>
        </w:tc>
        <w:tc>
          <w:tcPr>
            <w:tcW w:w="10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Tableware</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Organization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16"/>
                <w:szCs w:val="16"/>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Unallocated</w:t>
            </w:r>
            <w:r>
              <w:rPr>
                <w:rFonts w:ascii="Times New Roman" w:cs="Times New Roman" w:eastAsia="Times New Roman" w:hAnsi="Times New Roman"/>
                <w:sz w:val="14"/>
                <w:szCs w:val="14"/>
                <w:b w:val="1"/>
                <w:bCs w:val="1"/>
                <w:color w:val="auto"/>
                <w:vertAlign w:val="superscript"/>
              </w:rPr>
              <w:t>(1)</w:t>
            </w:r>
          </w:p>
        </w:tc>
        <w:tc>
          <w:tcPr>
            <w:tcW w:w="300" w:type="dxa"/>
            <w:vAlign w:val="bottom"/>
          </w:tcPr>
          <w:p>
            <w:pPr>
              <w:spacing w:after="0"/>
              <w:rPr>
                <w:sz w:val="16"/>
                <w:szCs w:val="16"/>
                <w:color w:val="auto"/>
              </w:rPr>
            </w:pPr>
          </w:p>
        </w:tc>
        <w:tc>
          <w:tcPr>
            <w:tcW w:w="740" w:type="dxa"/>
            <w:vAlign w:val="bottom"/>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w:t>
            </w: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818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(679)</w:t>
            </w: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assets consisted of the following: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Reynolds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Cooking</w:t>
            </w:r>
          </w:p>
        </w:tc>
        <w:tc>
          <w:tcPr>
            <w:tcW w:w="220" w:type="dxa"/>
            <w:vAlign w:val="bottom"/>
          </w:tcPr>
          <w:p>
            <w:pPr>
              <w:spacing w:after="0"/>
              <w:rPr>
                <w:sz w:val="11"/>
                <w:szCs w:val="11"/>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Hefty</w:t>
            </w:r>
          </w:p>
        </w:tc>
        <w:tc>
          <w:tcPr>
            <w:tcW w:w="100" w:type="dxa"/>
            <w:vAlign w:val="bottom"/>
          </w:tcPr>
          <w:p>
            <w:pPr>
              <w:spacing w:after="0"/>
              <w:rPr>
                <w:sz w:val="11"/>
                <w:szCs w:val="11"/>
                <w:color w:val="auto"/>
              </w:rPr>
            </w:pP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Hefty Home &amp;</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Hefty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Segment</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&amp; Kitchen</w:t>
            </w: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Storage &amp;</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Essentials</w:t>
            </w:r>
          </w:p>
        </w:tc>
        <w:tc>
          <w:tcPr>
            <w:tcW w:w="11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Waste &amp; Clean-Up</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Tableware</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Organization</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Unallocated</w:t>
            </w:r>
            <w:r>
              <w:rPr>
                <w:rFonts w:ascii="Times New Roman" w:cs="Times New Roman" w:eastAsia="Times New Roman" w:hAnsi="Times New Roman"/>
                <w:sz w:val="7"/>
                <w:szCs w:val="7"/>
                <w:b w:val="1"/>
                <w:bCs w:val="1"/>
                <w:color w:val="auto"/>
              </w:rPr>
              <w:t>(1)</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March 31, 2026</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1,486</w:t>
            </w: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3,444</w:t>
            </w:r>
          </w:p>
        </w:tc>
        <w:tc>
          <w:tcPr>
            <w:tcW w:w="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4,930</w:t>
            </w:r>
          </w:p>
        </w:tc>
        <w:tc>
          <w:tcPr>
            <w:tcW w:w="4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1,423</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3,513</w:t>
            </w:r>
          </w:p>
        </w:tc>
        <w:tc>
          <w:tcPr>
            <w:tcW w:w="300" w:type="dxa"/>
            <w:vAlign w:val="bottom"/>
          </w:tcPr>
          <w:p>
            <w:pPr>
              <w:spacing w:after="0"/>
              <w:rPr>
                <w:sz w:val="16"/>
                <w:szCs w:val="16"/>
                <w:color w:val="auto"/>
              </w:rPr>
            </w:pPr>
          </w:p>
        </w:tc>
        <w:tc>
          <w:tcPr>
            <w:tcW w:w="740" w:type="dxa"/>
            <w:vAlign w:val="bottom"/>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4,936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left="260" w:hanging="255"/>
        <w:spacing w:after="0" w:line="280" w:lineRule="auto"/>
        <w:tabs>
          <w:tab w:leader="none" w:pos="25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includes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324"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reflected in Segment Adjusted EBITDA primarily include cost of sales (including input, manufacturing and logistics costs), salaries and benefits, advertising expenses and professional fees. These items are monitored on an entity-wide basis and are not included in segment information that is regularly reviewed by our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total segment Adjusted EBITDA to GAAP income before income taxes: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3"/>
          </w:tcPr>
          <w:p>
            <w:pPr>
              <w:jc w:val="center"/>
              <w:ind w:left="61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80" w:type="dxa"/>
            <w:vAlign w:val="bottom"/>
          </w:tcPr>
          <w:p>
            <w:pPr>
              <w:spacing w:after="0"/>
              <w:rPr>
                <w:sz w:val="12"/>
                <w:szCs w:val="12"/>
                <w:color w:val="auto"/>
              </w:rPr>
            </w:pPr>
          </w:p>
        </w:tc>
      </w:tr>
      <w:tr>
        <w:trPr>
          <w:trHeight w:val="30"/>
        </w:trPr>
        <w:tc>
          <w:tcPr>
            <w:tcW w:w="7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1"/>
        </w:trPr>
        <w:tc>
          <w:tcPr>
            <w:tcW w:w="7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30"/>
        </w:trPr>
        <w:tc>
          <w:tcPr>
            <w:tcW w:w="7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1"/>
        </w:trPr>
        <w:tc>
          <w:tcPr>
            <w:tcW w:w="7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3"/>
          </w:tcPr>
          <w:p>
            <w:pPr>
              <w:jc w:val="center"/>
              <w:ind w:left="59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2"/>
                <w:szCs w:val="12"/>
                <w:color w:val="auto"/>
              </w:rPr>
            </w:pPr>
          </w:p>
        </w:tc>
      </w:tr>
      <w:tr>
        <w:trPr>
          <w:trHeight w:val="30"/>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Adjusted EBITDA</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center"/>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 unallocated expenses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to GAAP income before income taxes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7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2"/>
        </w:trPr>
        <w:tc>
          <w:tcPr>
            <w:tcW w:w="7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refinancing expense</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to execute strategic initiatives</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CEO transition costs</w:t>
            </w:r>
            <w:r>
              <w:rPr>
                <w:rFonts w:ascii="Times New Roman" w:cs="Times New Roman" w:eastAsia="Times New Roman" w:hAnsi="Times New Roman"/>
                <w:sz w:val="18"/>
                <w:szCs w:val="18"/>
                <w:color w:val="auto"/>
                <w:vertAlign w:val="superscript"/>
              </w:rPr>
              <w:t>(3)</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GAAP income before income taxes</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r>
    </w:tbl>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Reflects the expense recorded related to our March 2025 Term Loan Facility refinancing.</w:t>
      </w:r>
    </w:p>
    <w:p>
      <w:pPr>
        <w:spacing w:after="0" w:line="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Reflects costs related to the execution of cost savings and revenue growth strategic initiatives.</w:t>
      </w:r>
    </w:p>
    <w:p>
      <w:pPr>
        <w:spacing w:after="0" w:line="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w:t>
        <w:tab/>
        <w:t>Reflects compensation and other costs related to the CEO transition effective January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in Relation to Products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Related Party Transactions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2024, we amended these contractual arrangements with PEI Group, which, among other things, extended the expiration date for certain arrangements. Transactions between us and PEI Group are described below.</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1, 2025, PFL completed the sale of PEI Group, which was a related party through March 31, 2025, to an unrelated party. Accordingly, transactions and balances with PEI Group from April 1, 2025 are no longer classified as related party items. The related party cash flow amounts presented reflect only activity through March 31, 2025. This change does not affect the presentation of historical related party disclosures.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Revenues from products sold to PEI Group as a related party were $17 million for the three months ended March 31, 2025. Products purchased from PEI Group as a related party were $51 million for the three months ended March 31, 2025. PEI Group as a related party charged us freight and warehousing costs of $4 million for the three months ended March 31, 2025, which were included in cost of sales. The resulting related party receivables and payables were settled regularly in the normal course of business. Because PEI Group ceased to be a related party after March 31, 2025, there were no transactions with PEI Group as a related party in the three months ended March 31, 2026.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Furthermore, $36 million of the dividends paid during each of the three months ended March 31, 2026 and March 31, 2025 were paid to PFL.</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Subsequent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Quarterly Cash Dividend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30, 2026, our Board of Directors approved a cash dividend of $0.23 per common share to be paid on May 29, 2026 to shareholders of record on May 15, 2026.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described above, there have been no events subsequent to March 31, 2026 which would require recognition or disclosure in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2025.</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Company and its Business Segments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January 2026, we reorganized the previous Hefty Waste &amp; Storage and Presto Products segments by consolidating waste bags into the new Hefty Waste &amp; Clean-Up segment and food bags and storage products into the new Hefty Storage &amp; Organization segment in an effort to increase efficiencies, sharpen focus on innovation and establish a structure that can better facilitate entry into adjacent categories. Comparative segment disclosures have been recast to reflect this realignment. Prior periods will be similarly recast in each quarterly update during 2026. These changes had no effect on our previously reported condensed consolidated results of operations. In addition to the segment realignment, we have renamed our existing Reynolds Cooking &amp; Baking segment and Hefty Tableware segment to Reynolds Cooking &amp; Kitchen Essentials and Hefty Home &amp; Tableware,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manage our operations in four operating and reportable segments: Reynolds Cooking &amp; Kitchen Essentials, Hefty Waste &amp; Clean-Up, Hefty Home &amp; Tableware, and Hefty Storage &amp;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Organization:</w:t>
      </w:r>
    </w:p>
    <w:p>
      <w:pPr>
        <w:spacing w:after="0" w:line="79" w:lineRule="exact"/>
        <w:rPr>
          <w:sz w:val="20"/>
          <w:szCs w:val="20"/>
          <w:color w:val="auto"/>
        </w:rPr>
      </w:pPr>
    </w:p>
    <w:p>
      <w:pPr>
        <w:jc w:val="both"/>
        <w:ind w:left="520" w:hanging="254"/>
        <w:spacing w:after="0" w:line="257" w:lineRule="auto"/>
        <w:tabs>
          <w:tab w:leader="none" w:pos="5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Reynolds Cooking &amp; Kitchen Essentials: Through our Reynolds Cooking &amp; Kitchen Essentials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spacing w:after="0" w:line="64" w:lineRule="exact"/>
        <w:rPr>
          <w:sz w:val="20"/>
          <w:szCs w:val="20"/>
          <w:color w:val="auto"/>
        </w:rPr>
      </w:pPr>
    </w:p>
    <w:p>
      <w:pPr>
        <w:jc w:val="both"/>
        <w:ind w:left="520" w:hanging="254"/>
        <w:spacing w:after="0" w:line="245" w:lineRule="auto"/>
        <w:tabs>
          <w:tab w:leader="none" w:pos="5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Hefty Waste &amp; Clean-Up: Through our newly focused Hefty Waste &amp; Clean-Up segment, we produce both branded and store brand trash bags. Hefty is a well-recognized leader in the trash bag category and our private label products offer brand equivalent quality and value to our retail partners. Reynolds Consumer Products is the largest U.S. trash bag manufacturer by dollar share across MULO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retail channels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Our branded products are sold under the Hefty Ultra Strong, Hefty Strong, Hefty Essentials, and Brute brands in the U.S. and select international markets. Hefty has the #1 branded market share in the U.S. large black trash bag segment, and the #2 branded market share in the tall kitchen trash bag segment. Our waste bag portfolio includes a full suite of products across varying size, strength, scent, color and closure. We also offer sustainable solutions such as compostable bags and bags made from recycled materials. We are proud to have partnered with John Cena as our Hefty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4747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Based on internal estimates derived from Circana MULO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point-of-sale data and company analysis, including attribution of branded and private label sales by manufacturer.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7" w:name="page18"/>
    <w:bookmarkEnd w:id="17"/>
    <w:p>
      <w:pPr>
        <w:ind w:left="520"/>
        <w:spacing w:after="0" w:line="287" w:lineRule="auto"/>
        <w:rPr>
          <w:sz w:val="20"/>
          <w:szCs w:val="20"/>
          <w:color w:val="auto"/>
        </w:rPr>
      </w:pPr>
      <w:r>
        <w:rPr>
          <w:rFonts w:ascii="Times New Roman" w:cs="Times New Roman" w:eastAsia="Times New Roman" w:hAnsi="Times New Roman"/>
          <w:sz w:val="14"/>
          <w:szCs w:val="14"/>
          <w:color w:val="auto"/>
        </w:rPr>
        <w:t>spokesperson for over ten years and originating with our key waste bag business. We also greatly value our partnership with both Arm &amp; Hammer and Fabuloso brands that drive consumer confidence in our Hefty brand odor control and scent.</w:t>
      </w:r>
    </w:p>
    <w:p>
      <w:pPr>
        <w:spacing w:after="0" w:line="39" w:lineRule="exact"/>
        <w:rPr>
          <w:sz w:val="20"/>
          <w:szCs w:val="20"/>
          <w:color w:val="auto"/>
        </w:rPr>
      </w:pPr>
    </w:p>
    <w:p>
      <w:pPr>
        <w:jc w:val="both"/>
        <w:ind w:left="520" w:hanging="260"/>
        <w:spacing w:after="0" w:line="26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Hefty Home &amp; Tableware: Through our Hefty Home &amp;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In 2025, we launched the line of Hefty ECOSAVE Cutlery, a high quality compostable offering. We are also proud to have partnered with John Cena as our Hefty spokesperson.</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Hefty Storage &amp; Organization: Through our newly focused Hefty Storage &amp; Organization segment, we have consolidated our food bag business to increase efficiencies, sharpen our focus on innovation and unlock incremental growth opportunities. The Hefty Storage &amp; Organization segment produces both branded and store brand food bags and business-to-business closures. Hefty is a well-recognized supplier in the food bag category and our private label products offer brand-equivalent quality and value to our retail partners. Our branded products are sold under the Hefty Slider, Hefty Press to Close and Hefty Compostable brands in the U.S. and select international markets. Our food storage bag portfolio includes a full suite of products across varying size, type of closure and in freezer and storage. We also offer sustainable solutions such as compostable bags and bags made from recycled materials. We are proud to have partnered with John Cena as our Hefty Food Brand Spokesperson.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net revenues increased 7% in the three months ended March 31, 2026 compared to the same period in 2025. The revenue increase was due to higher pricing and higher retail volume.</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our net income increased by 90% compared to the same period in 2025, primarily driven by costs related to strategic initiatives and our CEO transition in the prior year period that did not repeat and higher revenue, partially offset by higher input costs.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Adjusted EBITDA as net income calculated in accordance with GAAP, plus income tax expense, net interest expense, debt refinancing expense, depreciation and amortization, costs to execute strategic initiatives and CEO transition costs. We define Adjusted Net Income and Adjusted EPS as Net Income and Earnings Per Share calculated in accordance with GAAP, plus debt refinancing expense, costs to execute strategic initiatives and CEO transition costs.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our net income, the most directly comparable GAAP financial measure, to Adjusted EBITDA: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Pr>
          <w:p>
            <w:pPr>
              <w:spacing w:after="0"/>
              <w:rPr>
                <w:sz w:val="12"/>
                <w:szCs w:val="12"/>
                <w:color w:val="auto"/>
              </w:rPr>
            </w:pPr>
          </w:p>
        </w:tc>
      </w:tr>
      <w:tr>
        <w:trPr>
          <w:trHeight w:val="30"/>
        </w:trPr>
        <w:tc>
          <w:tcPr>
            <w:tcW w:w="7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7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30"/>
        </w:trPr>
        <w:tc>
          <w:tcPr>
            <w:tcW w:w="7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7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3"/>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tcPr>
          <w:p>
            <w:pPr>
              <w:spacing w:after="0"/>
              <w:rPr>
                <w:sz w:val="12"/>
                <w:szCs w:val="12"/>
                <w:color w:val="auto"/>
              </w:rPr>
            </w:pPr>
          </w:p>
        </w:tc>
      </w:tr>
      <w:tr>
        <w:trPr>
          <w:trHeight w:val="30"/>
        </w:trPr>
        <w:tc>
          <w:tcPr>
            <w:tcW w:w="7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2"/>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 GAAP</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7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expense</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2"/>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to execute strategic initiatives</w:t>
            </w:r>
            <w:r>
              <w:rPr>
                <w:rFonts w:ascii="Times New Roman" w:cs="Times New Roman" w:eastAsia="Times New Roman" w:hAnsi="Times New Roman"/>
                <w:sz w:val="18"/>
                <w:szCs w:val="18"/>
                <w:color w:val="auto"/>
                <w:vertAlign w:val="superscript"/>
              </w:rPr>
              <w:t>(2)</w:t>
            </w:r>
          </w:p>
        </w:tc>
        <w:tc>
          <w:tcPr>
            <w:tcW w:w="4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CEO transition costs</w:t>
            </w:r>
            <w:r>
              <w:rPr>
                <w:rFonts w:ascii="Times New Roman" w:cs="Times New Roman" w:eastAsia="Times New Roman" w:hAnsi="Times New Roman"/>
                <w:sz w:val="18"/>
                <w:szCs w:val="18"/>
                <w:color w:val="auto"/>
                <w:vertAlign w:val="superscript"/>
              </w:rPr>
              <w:t>(3)</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w:t>
            </w: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r>
      <w:tr>
        <w:trPr>
          <w:trHeight w:val="23"/>
        </w:trPr>
        <w:tc>
          <w:tcPr>
            <w:tcW w:w="7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expense recorded related to our March 2025 Term Loan Facility refinancing.</w:t>
      </w:r>
    </w:p>
    <w:p>
      <w:pPr>
        <w:spacing w:after="0" w:line="93"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costs related to the execution of cost savings and revenue growth strategic initiatives.</w:t>
      </w:r>
    </w:p>
    <w:p>
      <w:pPr>
        <w:spacing w:after="0" w:line="93"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compensation and other costs related to the CEO transition effective January 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our net income and diluted EPS, the most directly comparable GAAP financial measure, to Adjusted Net Income and Adjusted Diluted EPS: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120" w:type="dxa"/>
            <w:vAlign w:val="bottom"/>
          </w:tcPr>
          <w:p>
            <w:pPr>
              <w:spacing w:after="0"/>
              <w:rPr>
                <w:sz w:val="12"/>
                <w:szCs w:val="12"/>
                <w:color w:val="auto"/>
              </w:rPr>
            </w:pPr>
          </w:p>
        </w:tc>
        <w:tc>
          <w:tcPr>
            <w:tcW w:w="2780" w:type="dxa"/>
            <w:vAlign w:val="bottom"/>
            <w:gridSpan w:val="6"/>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0" w:type="dxa"/>
            <w:vAlign w:val="bottom"/>
          </w:tcPr>
          <w:p>
            <w:pPr>
              <w:spacing w:after="0"/>
              <w:rPr>
                <w:sz w:val="1"/>
                <w:szCs w:val="1"/>
                <w:color w:val="auto"/>
              </w:rPr>
            </w:pPr>
          </w:p>
        </w:tc>
      </w:tr>
      <w:tr>
        <w:trPr>
          <w:trHeight w:val="3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Diluted Shares</w:t>
            </w:r>
          </w:p>
        </w:tc>
        <w:tc>
          <w:tcPr>
            <w:tcW w:w="12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Diluted EPS</w:t>
            </w:r>
          </w:p>
        </w:tc>
        <w:tc>
          <w:tcPr>
            <w:tcW w:w="12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Diluted Shares</w:t>
            </w:r>
          </w:p>
        </w:tc>
        <w:tc>
          <w:tcPr>
            <w:tcW w:w="120" w:type="dxa"/>
            <w:vAlign w:val="bottom"/>
          </w:tcPr>
          <w:p>
            <w:pPr>
              <w:spacing w:after="0"/>
              <w:rPr>
                <w:sz w:val="12"/>
                <w:szCs w:val="12"/>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Diluted EPS</w:t>
            </w:r>
          </w:p>
        </w:tc>
        <w:tc>
          <w:tcPr>
            <w:tcW w:w="0" w:type="dxa"/>
            <w:vAlign w:val="bottom"/>
          </w:tcPr>
          <w:p>
            <w:pPr>
              <w:spacing w:after="0"/>
              <w:rPr>
                <w:sz w:val="1"/>
                <w:szCs w:val="1"/>
                <w:color w:val="auto"/>
              </w:rPr>
            </w:pPr>
          </w:p>
        </w:tc>
      </w:tr>
      <w:tr>
        <w:trPr>
          <w:trHeight w:val="30"/>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 -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0.15</w:t>
            </w:r>
          </w:p>
        </w:tc>
        <w:tc>
          <w:tcPr>
            <w:tcW w:w="0" w:type="dxa"/>
            <w:vAlign w:val="bottom"/>
          </w:tcPr>
          <w:p>
            <w:pPr>
              <w:spacing w:after="0"/>
              <w:rPr>
                <w:sz w:val="1"/>
                <w:szCs w:val="1"/>
                <w:color w:val="auto"/>
              </w:rPr>
            </w:pPr>
          </w:p>
        </w:tc>
      </w:tr>
      <w:tr>
        <w:trPr>
          <w:trHeight w:val="191"/>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refinancing expense</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12"/>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Costs to execute strategic initiatives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CEO transition costs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81"/>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Adjusted (Non-GAAP)</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211.8</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0.28</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16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0.23</w:t>
            </w:r>
          </w:p>
        </w:tc>
        <w:tc>
          <w:tcPr>
            <w:tcW w:w="0" w:type="dxa"/>
            <w:vAlign w:val="bottom"/>
          </w:tcPr>
          <w:p>
            <w:pPr>
              <w:spacing w:after="0"/>
              <w:rPr>
                <w:sz w:val="1"/>
                <w:szCs w:val="1"/>
                <w:color w:val="auto"/>
              </w:rPr>
            </w:pPr>
          </w:p>
        </w:tc>
      </w:tr>
      <w:tr>
        <w:trPr>
          <w:trHeight w:val="23"/>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00" w:hanging="295"/>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after tax, calculated based on the applicable tax treatment of each adjustment, using a normalized effective tax rate of 23.9% for deductible items and 0% for non-deductible items.</w:t>
      </w:r>
    </w:p>
    <w:p>
      <w:pPr>
        <w:spacing w:after="0" w:line="176" w:lineRule="exact"/>
        <w:rPr>
          <w:rFonts w:ascii="Times New Roman" w:cs="Times New Roman" w:eastAsia="Times New Roman" w:hAnsi="Times New Roman"/>
          <w:sz w:val="14"/>
          <w:szCs w:val="14"/>
          <w:color w:val="auto"/>
        </w:rPr>
      </w:pPr>
    </w:p>
    <w:p>
      <w:pPr>
        <w:ind w:left="38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Results of Operations – Three Months Ended March 31, 2026</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during the three months ended March 31, 2025, and industrial customers.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Aggregation of Segment Revenue and Adjusted EBITDA</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Reynolds</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Hefty</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Hefty Home &amp;</w:t>
            </w:r>
          </w:p>
        </w:tc>
        <w:tc>
          <w:tcPr>
            <w:tcW w:w="280" w:type="dxa"/>
            <w:vAlign w:val="bottom"/>
          </w:tcPr>
          <w:p>
            <w:pPr>
              <w:spacing w:after="0"/>
              <w:rPr>
                <w:sz w:val="11"/>
                <w:szCs w:val="11"/>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Hefty</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Reynolds</w:t>
            </w:r>
          </w:p>
        </w:tc>
        <w:tc>
          <w:tcPr>
            <w:tcW w:w="0" w:type="dxa"/>
            <w:vAlign w:val="bottom"/>
          </w:tcPr>
          <w:p>
            <w:pPr>
              <w:spacing w:after="0"/>
              <w:rPr>
                <w:sz w:val="1"/>
                <w:szCs w:val="1"/>
                <w:color w:val="auto"/>
              </w:rPr>
            </w:pPr>
          </w:p>
        </w:tc>
      </w:tr>
      <w:tr>
        <w:trPr>
          <w:trHeight w:val="127"/>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Cooking &amp;</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vMerge w:val="restart"/>
          </w:tcPr>
          <w:p>
            <w:pPr>
              <w:ind w:left="100"/>
              <w:spacing w:after="0" w:line="161" w:lineRule="exact"/>
              <w:rPr>
                <w:sz w:val="20"/>
                <w:szCs w:val="20"/>
                <w:color w:val="auto"/>
              </w:rPr>
            </w:pPr>
            <w:r>
              <w:rPr>
                <w:rFonts w:ascii="Times New Roman" w:cs="Times New Roman" w:eastAsia="Times New Roman" w:hAnsi="Times New Roman"/>
                <w:sz w:val="11"/>
                <w:szCs w:val="11"/>
                <w:b w:val="1"/>
                <w:bCs w:val="1"/>
                <w:color w:val="auto"/>
              </w:rPr>
              <w:t>Unallocated</w:t>
            </w:r>
            <w:r>
              <w:rPr>
                <w:rFonts w:ascii="MS PGothic" w:cs="MS PGothic" w:eastAsia="MS PGothic" w:hAnsi="MS PGothic"/>
                <w:sz w:val="11"/>
                <w:szCs w:val="11"/>
                <w:color w:val="auto"/>
              </w:rPr>
              <w:t>⁽</w:t>
            </w:r>
            <w:r>
              <w:rPr>
                <w:rFonts w:ascii="Times New Roman" w:cs="Times New Roman" w:eastAsia="Times New Roman" w:hAnsi="Times New Roman"/>
                <w:sz w:val="14"/>
                <w:szCs w:val="14"/>
                <w:b w:val="1"/>
                <w:bCs w:val="1"/>
                <w:color w:val="auto"/>
                <w:vertAlign w:val="superscript"/>
              </w:rPr>
              <w:t>1</w:t>
            </w:r>
            <w:r>
              <w:rPr>
                <w:rFonts w:ascii="MS PGothic" w:cs="MS PGothic" w:eastAsia="MS PGothic" w:hAnsi="MS PGothic"/>
                <w:sz w:val="11"/>
                <w:szCs w:val="11"/>
                <w:color w:val="auto"/>
              </w:rPr>
              <w:t>⁾</w:t>
            </w:r>
          </w:p>
        </w:tc>
        <w:tc>
          <w:tcPr>
            <w:tcW w:w="1020" w:type="dxa"/>
            <w:vAlign w:val="bottom"/>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0" w:type="dxa"/>
            <w:vAlign w:val="bottom"/>
          </w:tcPr>
          <w:p>
            <w:pPr>
              <w:spacing w:after="0"/>
              <w:rPr>
                <w:sz w:val="1"/>
                <w:szCs w:val="1"/>
                <w:color w:val="auto"/>
              </w:rPr>
            </w:pPr>
          </w:p>
        </w:tc>
      </w:tr>
      <w:tr>
        <w:trPr>
          <w:trHeight w:val="178"/>
        </w:trPr>
        <w:tc>
          <w:tcPr>
            <w:tcW w:w="3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Kitchen Essentials</w:t>
            </w: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Waste &amp; Clean-Up</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Tableware</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Storage &amp; Organization</w:t>
            </w:r>
          </w:p>
        </w:tc>
        <w:tc>
          <w:tcPr>
            <w:tcW w:w="1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2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w w:val="99"/>
              </w:rPr>
              <w:t>Products</w:t>
            </w:r>
          </w:p>
        </w:tc>
        <w:tc>
          <w:tcPr>
            <w:tcW w:w="0" w:type="dxa"/>
            <w:vAlign w:val="bottom"/>
          </w:tcPr>
          <w:p>
            <w:pPr>
              <w:spacing w:after="0"/>
              <w:rPr>
                <w:sz w:val="1"/>
                <w:szCs w:val="1"/>
                <w:color w:val="auto"/>
              </w:rPr>
            </w:pPr>
          </w:p>
        </w:tc>
      </w:tr>
      <w:tr>
        <w:trPr>
          <w:trHeight w:val="172"/>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 for the three months ended March 31:</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80" w:type="dxa"/>
            <w:vAlign w:val="bottom"/>
          </w:tcPr>
          <w:p>
            <w:pPr>
              <w:jc w:val="right"/>
              <w:ind w:right="2853"/>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2"/>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CCEEFF"/>
          </w:tcPr>
          <w:p>
            <w:pPr>
              <w:jc w:val="right"/>
              <w:ind w:right="2853"/>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2"/>
        </w:trPr>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-513715</wp:posOffset>
            </wp:positionV>
            <wp:extent cx="81915" cy="64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915" cy="64135"/>
                    </a:xfrm>
                    <a:prstGeom prst="rect">
                      <a:avLst/>
                    </a:prstGeom>
                    <a:noFill/>
                  </pic:spPr>
                </pic:pic>
              </a:graphicData>
            </a:graphic>
          </wp:anchor>
        </w:drawing>
      </w:r>
    </w:p>
    <w:p>
      <w:pPr>
        <w:ind w:left="20"/>
        <w:spacing w:after="0" w:line="141" w:lineRule="exact"/>
        <w:rPr>
          <w:sz w:val="20"/>
          <w:szCs w:val="20"/>
          <w:color w:val="auto"/>
        </w:rPr>
      </w:pPr>
      <w:r>
        <w:rPr>
          <w:rFonts w:ascii="Times New Roman" w:cs="Times New Roman" w:eastAsia="Times New Roman" w:hAnsi="Times New Roman"/>
          <w:sz w:val="14"/>
          <w:szCs w:val="14"/>
          <w:color w:val="auto"/>
        </w:rPr>
        <w:t>Adjusted EBITDA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²</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 the three months ended March 31:</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2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rPr>
              <w:t>2026</w:t>
            </w:r>
          </w:p>
        </w:tc>
        <w:tc>
          <w:tcPr>
            <w:tcW w:w="20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w:t>
            </w:r>
          </w:p>
        </w:tc>
        <w:tc>
          <w:tcPr>
            <w:tcW w:w="6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5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91"/>
        </w:trPr>
        <w:tc>
          <w:tcPr>
            <w:tcW w:w="1920" w:type="dxa"/>
            <w:vAlign w:val="bottom"/>
          </w:tcPr>
          <w:p>
            <w:pPr>
              <w:jc w:val="right"/>
              <w:ind w:right="1389"/>
              <w:spacing w:after="0"/>
              <w:rPr>
                <w:sz w:val="20"/>
                <w:szCs w:val="20"/>
                <w:color w:val="auto"/>
              </w:rPr>
            </w:pPr>
            <w:r>
              <w:rPr>
                <w:rFonts w:ascii="Times New Roman" w:cs="Times New Roman" w:eastAsia="Times New Roman" w:hAnsi="Times New Roman"/>
                <w:sz w:val="14"/>
                <w:szCs w:val="14"/>
                <w:color w:val="auto"/>
              </w:rPr>
              <w:t>2025</w:t>
            </w:r>
          </w:p>
        </w:tc>
        <w:tc>
          <w:tcPr>
            <w:tcW w:w="20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6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bl>
    <w:p>
      <w:pPr>
        <w:spacing w:after="0" w:line="272" w:lineRule="exact"/>
        <w:rPr>
          <w:sz w:val="20"/>
          <w:szCs w:val="20"/>
          <w:color w:val="auto"/>
        </w:rPr>
      </w:pPr>
    </w:p>
    <w:p>
      <w:pPr>
        <w:ind w:left="260" w:hanging="255"/>
        <w:spacing w:after="0" w:line="263" w:lineRule="auto"/>
        <w:tabs>
          <w:tab w:leader="none" w:pos="2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unallocated net revenues include other revenue adjustments. The unallocated Adjusted EBITDA represents the combination of corporate expenses which are not allocated to our segments and other unallocated revenue adjustments.</w:t>
      </w: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measure. See “Non-GAAP Measures” for details, including a reconciliation between net income and Adjusted EBITDA.</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 Compared with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Reynolds Consumer Products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left="203"/>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66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for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3"/>
                <w:szCs w:val="13"/>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30"/>
        </w:trPr>
        <w:tc>
          <w:tcPr>
            <w:tcW w:w="4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60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100 %</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801</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98 %</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net revenues</w:t>
            </w:r>
          </w:p>
        </w:tc>
        <w:tc>
          <w:tcPr>
            <w:tcW w:w="600" w:type="dxa"/>
            <w:vAlign w:val="bottom"/>
          </w:tcPr>
          <w:p>
            <w:pPr>
              <w:spacing w:after="0"/>
              <w:rPr>
                <w:sz w:val="16"/>
                <w:szCs w:val="16"/>
                <w:color w:val="auto"/>
              </w:rPr>
            </w:pPr>
          </w:p>
        </w:tc>
        <w:tc>
          <w:tcPr>
            <w:tcW w:w="1180" w:type="dxa"/>
            <w:vAlign w:val="bottom"/>
            <w:gridSpan w:val="3"/>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6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100 %</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818</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100 %</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7 %</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8"/>
              </w:rPr>
              <w:t>(76) %</w:t>
            </w:r>
          </w:p>
        </w:tc>
        <w:tc>
          <w:tcPr>
            <w:tcW w:w="22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(629)</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 %</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6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24 %</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189</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23 %</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10 %</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8"/>
              </w:rPr>
              <w:t>(12) %</w:t>
            </w:r>
          </w:p>
        </w:tc>
        <w:tc>
          <w:tcPr>
            <w:tcW w:w="22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6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11 %</w:t>
            </w:r>
          </w:p>
        </w:tc>
        <w:tc>
          <w:tcPr>
            <w:tcW w:w="22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76</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29 %</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expense</w:t>
            </w:r>
          </w:p>
        </w:tc>
        <w:tc>
          <w:tcPr>
            <w:tcW w:w="600" w:type="dxa"/>
            <w:vAlign w:val="bottom"/>
          </w:tcPr>
          <w:p>
            <w:pPr>
              <w:spacing w:after="0"/>
              <w:rPr>
                <w:sz w:val="16"/>
                <w:szCs w:val="16"/>
                <w:color w:val="auto"/>
              </w:rPr>
            </w:pPr>
          </w:p>
        </w:tc>
        <w:tc>
          <w:tcPr>
            <w:tcW w:w="1180" w:type="dxa"/>
            <w:vAlign w:val="bottom"/>
            <w:gridSpan w:val="3"/>
          </w:tcPr>
          <w:p>
            <w:pPr>
              <w:jc w:val="right"/>
              <w:ind w:right="86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6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9 %</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42</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5 %</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83 %</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600" w:type="dxa"/>
            <w:vAlign w:val="bottom"/>
          </w:tcPr>
          <w:p>
            <w:pPr>
              <w:spacing w:after="0"/>
              <w:rPr>
                <w:sz w:val="16"/>
                <w:szCs w:val="16"/>
                <w:color w:val="auto"/>
              </w:rPr>
            </w:pP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22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6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7 %</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4 %</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90 %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Adjusted EBITDA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20" w:type="dxa"/>
            <w:vAlign w:val="bottom"/>
            <w:vMerge w:val="continue"/>
          </w:tcPr>
          <w:p>
            <w:pPr>
              <w:spacing w:after="0"/>
              <w:rPr>
                <w:sz w:val="17"/>
                <w:szCs w:val="17"/>
                <w:color w:val="auto"/>
              </w:rPr>
            </w:pPr>
          </w:p>
        </w:tc>
        <w:tc>
          <w:tcPr>
            <w:tcW w:w="6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15 %</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117</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14 %</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12 %</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-144145</wp:posOffset>
            </wp:positionV>
            <wp:extent cx="88265" cy="73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265" cy="73660"/>
                    </a:xfrm>
                    <a:prstGeom prst="rect">
                      <a:avLst/>
                    </a:prstGeom>
                    <a:noFill/>
                  </pic:spPr>
                </pic:pic>
              </a:graphicData>
            </a:graphic>
          </wp:anchor>
        </w:drawing>
      </w:r>
    </w:p>
    <w:p>
      <w:pPr>
        <w:spacing w:after="0" w:line="337" w:lineRule="exact"/>
        <w:rPr>
          <w:sz w:val="20"/>
          <w:szCs w:val="20"/>
          <w:color w:val="auto"/>
        </w:rPr>
      </w:pPr>
    </w:p>
    <w:p>
      <w:pPr>
        <w:ind w:left="5580" w:right="2200" w:hanging="5575"/>
        <w:spacing w:after="0" w:line="983" w:lineRule="auto"/>
        <w:tabs>
          <w:tab w:leader="none" w:pos="26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measure. See “Non-GAAP Measures” for details, including a reconciliation between net income and Adjusted EBITDA.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Components of Change in Net Revenues for the Three Months Ended March 31, 2026 vs. the Three Months Ended March 31, 2025</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Volume/Mix</w:t>
            </w: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right"/>
              <w:ind w:right="9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4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41"/>
        </w:trPr>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Non-Retail</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2"/>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Reynolds Cooking &amp; Kitchen Essentials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56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21 %</w:t>
            </w:r>
          </w:p>
        </w:tc>
      </w:tr>
      <w:tr>
        <w:trPr>
          <w:trHeight w:val="19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Hefty Waste &amp; Clean-Up</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 %</w:t>
            </w:r>
          </w:p>
        </w:tc>
      </w:tr>
      <w:tr>
        <w:trPr>
          <w:trHeight w:val="22"/>
        </w:trPr>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2"/>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Hefty Home &amp; Tableware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1 %</w:t>
            </w:r>
          </w:p>
        </w:tc>
      </w:tr>
      <w:tr>
        <w:trPr>
          <w:trHeight w:val="19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Hefty Storage &amp; Organization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5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r>
      <w:tr>
        <w:trPr>
          <w:trHeight w:val="22"/>
        </w:trPr>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RCP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w:t>
            </w:r>
          </w:p>
        </w:tc>
        <w:tc>
          <w:tcPr>
            <w:tcW w:w="5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7 %</w:t>
            </w:r>
          </w:p>
        </w:tc>
      </w:tr>
      <w:tr>
        <w:trPr>
          <w:trHeight w:val="22"/>
        </w:trPr>
        <w:tc>
          <w:tcPr>
            <w:tcW w:w="4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bl>
    <w:p>
      <w:pPr>
        <w:spacing w:after="0" w:line="2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Total Net Revenues</w:t>
      </w:r>
      <w:r>
        <w:rPr>
          <w:rFonts w:ascii="Times New Roman" w:cs="Times New Roman" w:eastAsia="Times New Roman" w:hAnsi="Times New Roman"/>
          <w:sz w:val="14"/>
          <w:szCs w:val="14"/>
          <w:color w:val="auto"/>
        </w:rPr>
        <w:t>. Total net revenues increased by $59 million, or 7%, to $877 million. The increase was driven by higher pricing, reflecting pricing actions to recover higher input costs, and higher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retail volume.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Cost of sales increased by $41 million, or 7%, to $670 million. The increase was primarily driven by higher material costs, partially offset by manufacturing efficiencies.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expenses increased by $5 million, or 5%, to $109 million, primarily driven by higher professional fees.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decreased by $9 million, or 100%, reflecting costs to execute strategic initiatives and costs associated with our CEO transition in the prior year period that did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repeat in the current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Net</w:t>
      </w:r>
      <w:r>
        <w:rPr>
          <w:rFonts w:ascii="Times New Roman" w:cs="Times New Roman" w:eastAsia="Times New Roman" w:hAnsi="Times New Roman"/>
          <w:sz w:val="14"/>
          <w:szCs w:val="14"/>
          <w:color w:val="auto"/>
        </w:rPr>
        <w:t>. Interest expense, net was flat compared to the prior year period.</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We recognized income tax expense of $18 million on income before income taxes of $77 million (an effective tax rate of 23.6%) for the three months ended March 31,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income tax expense of $11 million on income before income taxes of $42 million (an effective tax rate of 24.5%) for the three months ended March 31, 2025.</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Adjusted EBITDA increased by $14 million, or 12%, to $131 million. The increase in Adjusted EBITDA was driven by higher retail volume and manufacturing efficiencies,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partially offset by higher selling, general and administrative costs. The impact of higher pricing was offset by higher material costs.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Reynolds Cooking &amp; Kitchen Essentials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0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 except for %)</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40" w:type="dxa"/>
            <w:vAlign w:val="bottom"/>
          </w:tcPr>
          <w:p>
            <w:pPr>
              <w:spacing w:after="0"/>
              <w:rPr>
                <w:sz w:val="12"/>
                <w:szCs w:val="12"/>
                <w:color w:val="auto"/>
              </w:rPr>
            </w:pPr>
          </w:p>
        </w:tc>
        <w:tc>
          <w:tcPr>
            <w:tcW w:w="14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Retail net revenues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70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Non-retail net revenues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7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w:t>
            </w:r>
          </w:p>
        </w:tc>
        <w:tc>
          <w:tcPr>
            <w:tcW w:w="3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170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38</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c>
          <w:tcPr>
            <w:tcW w:w="2000" w:type="dxa"/>
            <w:vAlign w:val="bottom"/>
            <w:gridSpan w:val="3"/>
          </w:tcPr>
          <w:p>
            <w:pPr>
              <w:jc w:val="right"/>
              <w:ind w:right="89"/>
              <w:spacing w:after="0" w:line="153" w:lineRule="exact"/>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Adjusted EBITDA Margin</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14 %</w:t>
            </w:r>
          </w:p>
        </w:tc>
        <w:tc>
          <w:tcPr>
            <w:tcW w:w="3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15 %</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4"/>
          <w:szCs w:val="14"/>
          <w:i w:val="1"/>
          <w:iCs w:val="1"/>
          <w:color w:val="auto"/>
        </w:rPr>
        <w:t>Total Segment Net Revenues</w:t>
      </w:r>
      <w:r>
        <w:rPr>
          <w:rFonts w:ascii="Times New Roman" w:cs="Times New Roman" w:eastAsia="Times New Roman" w:hAnsi="Times New Roman"/>
          <w:sz w:val="14"/>
          <w:szCs w:val="14"/>
          <w:color w:val="auto"/>
        </w:rPr>
        <w:t>. Reynolds Cooking &amp; Kitchen Essentials total segment net revenues increased by $55 million, or 21%, to $314 million. The increase in net revenues was primarily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pricing, reflecting pricing actions to recover higher input costs, and higher retail volume.</w:t>
      </w:r>
    </w:p>
    <w:p>
      <w:pPr>
        <w:spacing w:after="0" w:line="12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Reynolds Cooking &amp; Kitchen Essentials Adjusted EBITDA increased by $6 million, or 16%, to $44 million. The increase was primarily driven by increased volume as the pricing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actions were offset higher material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Hefty Waste &amp; Clean-Up</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 except for %)</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2"/>
                <w:szCs w:val="12"/>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30"/>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380" w:type="dxa"/>
            <w:vAlign w:val="bottom"/>
            <w:tcBorders>
              <w:bottom w:val="single" w:sz="8" w:color="CCEEFF"/>
            </w:tcBorders>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Adjusted EBITDA Margin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Segment Net Revenues</w:t>
      </w:r>
      <w:r>
        <w:rPr>
          <w:rFonts w:ascii="Times New Roman" w:cs="Times New Roman" w:eastAsia="Times New Roman" w:hAnsi="Times New Roman"/>
          <w:sz w:val="14"/>
          <w:szCs w:val="14"/>
          <w:color w:val="auto"/>
        </w:rPr>
        <w:t>. Hefty Waste &amp; Clean-Up total segment net revenues decreased by $2 million, or 1%, to $224 million. The decrease in net revenues was due to slightly lower volume.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Hefty Waste &amp; Clean-Up Adjusted EBITDA was flat at $62 million as manufacturing efficiencies offset the impact of lower revenue.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Hefty Home &amp; Tableware</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 except for %)</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2"/>
                <w:szCs w:val="12"/>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30"/>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0" w:type="dxa"/>
            <w:vAlign w:val="bottom"/>
            <w:tcBorders>
              <w:bottom w:val="single" w:sz="8" w:color="CCEEFF"/>
            </w:tcBorders>
            <w:gridSpan w:val="2"/>
            <w:shd w:val="clear" w:color="auto" w:fill="CCEEFF"/>
          </w:tcPr>
          <w:p>
            <w:pPr>
              <w:jc w:val="right"/>
              <w:ind w:right="983"/>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Adjusted EBITDA Margin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Total Segment Net Revenues. </w:t>
      </w:r>
      <w:r>
        <w:rPr>
          <w:rFonts w:ascii="Times New Roman" w:cs="Times New Roman" w:eastAsia="Times New Roman" w:hAnsi="Times New Roman"/>
          <w:sz w:val="14"/>
          <w:szCs w:val="14"/>
          <w:color w:val="auto"/>
        </w:rPr>
        <w:t>Hefty Home &amp; Tableware total segment net revenues increased by $1 million, or 1%, to $180 million. The increase in net revenues was primarily due to higher pricing,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 reduction in certain promotional activities, partially offset by lower foam volume.</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Hefty Home &amp; Tableware Adjusted EBITDA increased by $11 million, or 65%, to $28 million. The increase in Adjusted EBITDA was primarily driven by the timing of pricing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actions relative to input costs and lower logistics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Hefty Storage &amp; Organization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gridSpan w:val="3"/>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for %)</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Pr>
          <w:p>
            <w:pPr>
              <w:spacing w:after="0"/>
              <w:rPr>
                <w:sz w:val="12"/>
                <w:szCs w:val="12"/>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30"/>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40" w:type="dxa"/>
            <w:vAlign w:val="bottom"/>
            <w:tcBorders>
              <w:bottom w:val="single" w:sz="8" w:color="CCEEFF"/>
            </w:tcBorders>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Adjusted EBITDA</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Adjusted EBITDA Margin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Total Segment Net Revenues. </w:t>
      </w:r>
      <w:r>
        <w:rPr>
          <w:rFonts w:ascii="Times New Roman" w:cs="Times New Roman" w:eastAsia="Times New Roman" w:hAnsi="Times New Roman"/>
          <w:sz w:val="14"/>
          <w:szCs w:val="14"/>
          <w:color w:val="auto"/>
        </w:rPr>
        <w:t>Hefty Storage &amp; Organization total segment net revenues increased by $6 million, or 4%, to $159 million. The increase in net revenues was due to higher volume.</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Hefty Storage &amp; Organization Adjusted EBITDA increased by $6 million, or 29%, to $27 million. The increase in Adjusted EBITDA was primarily driven by higher volume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manufacturing efficiencies.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principal sources of liquidity are existing cash and cash equivalents, cash generated from operating activities and available borrowings under the Revolving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discloses our cash flows for the periods presented: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4"/>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30"/>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center"/>
              <w:ind w:left="852"/>
              <w:spacing w:after="0"/>
              <w:rPr>
                <w:sz w:val="20"/>
                <w:szCs w:val="20"/>
                <w:color w:val="auto"/>
              </w:rPr>
            </w:pPr>
            <w:r>
              <w:rPr>
                <w:rFonts w:ascii="Times New Roman" w:cs="Times New Roman" w:eastAsia="Times New Roman" w:hAnsi="Times New Roman"/>
                <w:sz w:val="14"/>
                <w:szCs w:val="14"/>
                <w:color w:val="auto"/>
                <w:w w:val="99"/>
              </w:rPr>
              <w:t>56</w:t>
            </w:r>
          </w:p>
        </w:tc>
        <w:tc>
          <w:tcPr>
            <w:tcW w:w="0" w:type="dxa"/>
            <w:vAlign w:val="bottom"/>
          </w:tcPr>
          <w:p>
            <w:pPr>
              <w:spacing w:after="0"/>
              <w:rPr>
                <w:sz w:val="1"/>
                <w:szCs w:val="1"/>
                <w:color w:val="auto"/>
              </w:rPr>
            </w:pPr>
          </w:p>
        </w:tc>
      </w:tr>
      <w:tr>
        <w:trPr>
          <w:trHeight w:val="19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center"/>
              <w:ind w:left="832"/>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center"/>
              <w:ind w:left="832"/>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rPr>
              <w:t>(79)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provided by operating activities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Net cash from operating activities increased by $15 million to $71 million in the three months ended March 31, 2026. </w:t>
      </w:r>
      <w:r>
        <w:rPr>
          <w:rFonts w:ascii="Times New Roman" w:cs="Times New Roman" w:eastAsia="Times New Roman" w:hAnsi="Times New Roman"/>
          <w:sz w:val="14"/>
          <w:szCs w:val="14"/>
          <w:color w:val="212529"/>
        </w:rPr>
        <w:t>The increase was primarily driven by higher net income.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used in investing activities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investing activities increased by $5 million to $44 million. The increase was driven by higher cash outlays for capital expenditures.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used in financing activities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increased by $7 million to $103 million. The increase was primarily attributable to tax withholdings on stock awards.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External Debt Facilities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remained unchanged .</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the outstanding balance under the Term Loan Facility was $1,536 million. As of March 31, 2026, we had no outstanding borrowings under the Revolving Facility, and we had $7 million of letters of credit outstanding, which reduces the borrowing capacity under the Revolving Facility.</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Interest rate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Borrowings under the External Debt Facilities bear interest at a rate per annum equal to, at our option, either a base rate plus an applicable margin of 0.75% or SOFR plus an applicable margin of 1.75%.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entered into a series of interest rate swaps to fix the SOFR of our External Debt Facilities.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aggregate notional amount of interest rate swaps in effect as of March 31, 2026 was $900 million, and the SOFR was fixed at an annual rate of 3.33% to 3.41% (resulting in annual effective interest rates of 5.08% to 5.16%, including margin). These interest rate swaps hedge a portion of the interest rate exposure resulting from borrowings under our Term Loan Facility for between two and five years.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Prepayments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 Loan Facility contains customary mandatory prepayments, including with respect to excess cash flow, asset sale proceeds and proceeds from certain incurrences of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Borrower may voluntarily repay outstanding loans under the Term Loan Facility at any time without premium or penalty, other than customary breakage costs with respect to SOFR based loans.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2026, we made voluntary principal payments of $50 million related to our Term Loan Facility.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Amortization and maturity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Loan Facility matures in March 2032. The Term Loan Facility amortizes in equal quarterly installments of $4 million, which commenced in June 2025, with the balance payable on maturity. As a result of voluntary principal repayments made, the Term Loan Facility has no quarterly amortization payments due until December 2031, when the quarterly amortization payments will recommence.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Revolving Facility matures in October 2029.</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Guarantee and security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Certain covenants and events of default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External Debt Facilities contain a number of covenants that, among other things, restrict, subject to certain exceptions, our ability and the ability of the restricted subsidiaries of RCPI to:</w:t>
      </w:r>
    </w:p>
    <w:p>
      <w:pPr>
        <w:spacing w:after="0" w:line="94" w:lineRule="exact"/>
        <w:rPr>
          <w:sz w:val="20"/>
          <w:szCs w:val="20"/>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indebtedness;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which limit the ability of our restricted subsidiaries to incur restrictions on their ability to make distributions; and</w:t>
      </w:r>
    </w:p>
    <w:p>
      <w:pPr>
        <w:spacing w:after="0" w:line="93" w:lineRule="exact"/>
        <w:rPr>
          <w:rFonts w:ascii="Times New Roman" w:cs="Times New Roman" w:eastAsia="Times New Roman" w:hAnsi="Times New Roman"/>
          <w:sz w:val="14"/>
          <w:szCs w:val="14"/>
          <w:color w:val="auto"/>
        </w:rPr>
      </w:pPr>
    </w:p>
    <w:p>
      <w:pPr>
        <w:ind w:left="680" w:hanging="329"/>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amendments to certain indebtedness in a manner materially adverse to the lenders.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currently in compliance with the covenants contained in our External Debt Facilities.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Factoring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are party to a factoring agreement with a global financial institution to sell certain accounts receivable up to </w:t>
      </w:r>
      <w:r>
        <w:rPr>
          <w:rFonts w:ascii="Times New Roman" w:cs="Times New Roman" w:eastAsia="Times New Roman" w:hAnsi="Times New Roman"/>
          <w:sz w:val="14"/>
          <w:szCs w:val="14"/>
          <w:color w:val="212529"/>
        </w:rPr>
        <w:t>$95 million. We had no factored receivables as of</w:t>
      </w:r>
      <w:r>
        <w:rPr>
          <w:rFonts w:ascii="Times New Roman" w:cs="Times New Roman" w:eastAsia="Times New Roman" w:hAnsi="Times New Roman"/>
          <w:sz w:val="14"/>
          <w:szCs w:val="14"/>
          <w:color w:val="auto"/>
        </w:rPr>
        <w:t xml:space="preserve"> March 31, 2026</w:t>
      </w:r>
      <w:r>
        <w:rPr>
          <w:rFonts w:ascii="Times New Roman" w:cs="Times New Roman" w:eastAsia="Times New Roman" w:hAnsi="Times New Roman"/>
          <w:sz w:val="14"/>
          <w:szCs w:val="14"/>
          <w:color w:val="212529"/>
        </w:rPr>
        <w:t>. Transactions under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this agreement are accounted for as sales of accounts receivable, and the receivables sold are 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Supply Chain Financing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outstanding amounts related to suppliers participating in the SCF are recorded within accounts payable in our condensed consolidated balance sheet and associated payments are included as an operating cash flow in the condensed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consolidated statement of cash flows. The amount of obligations outstanding that we have confirmed as valid under the SCF was $9 million as of each of March 31, 2026 and December 31, 2025.</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Dividends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2026, cash dividends of $0.23 per share, were declared and paid. On April 30, 2026, a quarterly cash dividend of $0.23 per share was declared and is to be paid on May 29, 2026.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2025.</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See “Item 7A: Quantitative and Qualitative Disclosures About Market Risk” of our Annual Report on Form 10-K for the fiscal year ended December 31, 2025. During the three months ended March 31, 2026, there have been no material changes in our exposure to market risk.</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1" w:lineRule="exact"/>
        <w:rPr>
          <w:sz w:val="20"/>
          <w:szCs w:val="20"/>
          <w:color w:val="auto"/>
        </w:rPr>
      </w:pPr>
    </w:p>
    <w:p>
      <w:pPr>
        <w:ind w:left="700" w:hanging="349"/>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March 31, 2026. Based on that evaluation, our Chief Executive Officer and Chief Financial Officer have concluded that, as of March 31, 2026, our disclosure controls and procedures were effective.</w:t>
      </w:r>
    </w:p>
    <w:p>
      <w:pPr>
        <w:spacing w:after="0" w:line="136" w:lineRule="exact"/>
        <w:rPr>
          <w:sz w:val="20"/>
          <w:szCs w:val="20"/>
          <w:color w:val="auto"/>
        </w:rPr>
      </w:pPr>
    </w:p>
    <w:p>
      <w:pPr>
        <w:ind w:left="700" w:hanging="349"/>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to be set forth under this heading is incorporated by reference from Note 7 - Commitments and Contingencies, to the condensed consolidated financial statements included in Part I, Item 1.</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our Annual Report on Form 10-K for the year ended December 31,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2026,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60" w:type="dxa"/>
            <w:vAlign w:val="bottom"/>
            <w:gridSpan w:val="18"/>
          </w:tcPr>
          <w:p>
            <w:pPr>
              <w:ind w:left="1820"/>
              <w:spacing w:after="0"/>
              <w:rPr>
                <w:sz w:val="20"/>
                <w:szCs w:val="20"/>
                <w:color w:val="auto"/>
              </w:rPr>
            </w:pPr>
            <w:r>
              <w:rPr>
                <w:rFonts w:ascii="Times New Roman" w:cs="Times New Roman" w:eastAsia="Times New Roman" w:hAnsi="Times New Roman"/>
                <w:sz w:val="14"/>
                <w:szCs w:val="14"/>
                <w:b w:val="1"/>
                <w:bCs w:val="1"/>
                <w:color w:val="auto"/>
              </w:rPr>
              <w:t>Item 6. Exhibits.</w:t>
            </w:r>
          </w:p>
        </w:tc>
      </w:tr>
      <w:tr>
        <w:trPr>
          <w:trHeight w:val="352"/>
        </w:trPr>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60" w:type="dxa"/>
            <w:vAlign w:val="bottom"/>
            <w:gridSpan w:val="18"/>
          </w:tcPr>
          <w:p>
            <w:pPr>
              <w:ind w:left="27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0"/>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51"/>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Amended and Restated Certificate of Incorporation, conformed version that includes all amendments through April 25, 2024 (incorporated herein by reference to Exhibit 3.1</w:t>
              </w:r>
            </w:hyperlink>
          </w:p>
        </w:tc>
        <w:tc>
          <w:tcPr>
            <w:tcW w:w="20" w:type="dxa"/>
            <w:vAlign w:val="bottom"/>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bottom w:val="single" w:sz="8" w:color="0000FF"/>
            </w:tcBorders>
            <w:gridSpan w:val="3"/>
          </w:tcPr>
          <w:p>
            <w:pPr>
              <w:spacing w:after="0" w:line="150" w:lineRule="exact"/>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to the Company’s Quarterly Report on Form 10-Q filed with the SEC on August 7, 2024)</w:t>
              </w:r>
            </w:hyperlink>
          </w:p>
        </w:tc>
        <w:tc>
          <w:tcPr>
            <w:tcW w:w="4760" w:type="dxa"/>
            <w:vAlign w:val="bottom"/>
            <w:gridSpan w:val="17"/>
          </w:tcPr>
          <w:p>
            <w:pPr>
              <w:spacing w:after="0"/>
              <w:rPr>
                <w:sz w:val="13"/>
                <w:szCs w:val="13"/>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0"/>
          </w:tcPr>
          <w:p>
            <w:pPr>
              <w:spacing w:after="0"/>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Amended and Restated By-Laws (incorporated herein by reference to Exhibit 3.2 to the Company’s Current Report on Form 8-K filed with the SEC on February 4, 2020)</w:t>
              </w:r>
            </w:hyperlink>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Employment Agreement, dated April 14, 2025, between Reynolds Consumer Products Holdings LLC and Jill Barnett</w:t>
            </w:r>
          </w:p>
        </w:tc>
        <w:tc>
          <w:tcPr>
            <w:tcW w:w="2940" w:type="dxa"/>
            <w:vAlign w:val="bottom"/>
            <w:tcBorders>
              <w:top w:val="single" w:sz="8" w:color="0000FF"/>
            </w:tcBorders>
            <w:gridSpan w:val="7"/>
          </w:tcPr>
          <w:p>
            <w:pPr>
              <w:spacing w:after="0"/>
              <w:rPr>
                <w:sz w:val="16"/>
                <w:szCs w:val="16"/>
                <w:color w:val="auto"/>
              </w:rPr>
            </w:pPr>
          </w:p>
        </w:tc>
        <w:tc>
          <w:tcPr>
            <w:tcW w:w="220" w:type="dxa"/>
            <w:vAlign w:val="bottom"/>
            <w:gridSpan w:val="6"/>
          </w:tcPr>
          <w:p>
            <w:pPr>
              <w:spacing w:after="0"/>
              <w:rPr>
                <w:sz w:val="16"/>
                <w:szCs w:val="16"/>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Amendment to Employment Agreement, dated January 29, 2026, between Reynolds Consumer Products Holdings LLC and Jill Barnett</w:t>
            </w:r>
          </w:p>
        </w:tc>
        <w:tc>
          <w:tcPr>
            <w:tcW w:w="2140" w:type="dxa"/>
            <w:vAlign w:val="bottom"/>
            <w:gridSpan w:val="11"/>
          </w:tcPr>
          <w:p>
            <w:pPr>
              <w:spacing w:after="0"/>
              <w:rPr>
                <w:sz w:val="16"/>
                <w:szCs w:val="16"/>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Employment Agreement, dated June 1, 2025, between Reynolds Consumer Products Holdings LLC and Ryan Clark</w:t>
            </w:r>
          </w:p>
        </w:tc>
        <w:tc>
          <w:tcPr>
            <w:tcW w:w="3260" w:type="dxa"/>
            <w:vAlign w:val="bottom"/>
            <w:gridSpan w:val="14"/>
          </w:tcPr>
          <w:p>
            <w:pPr>
              <w:spacing w:after="0"/>
              <w:rPr>
                <w:sz w:val="16"/>
                <w:szCs w:val="16"/>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Amendment to Employment Agreement, dated January 29, 2026, between Reynolds Consumer Products Holdings LLC and Ryan Clark</w:t>
            </w: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Employment Agreement, dated June 1, 2025, between Reynolds Consumer Products Holdings LLC and Carlen Hooker</w:t>
            </w:r>
          </w:p>
        </w:tc>
        <w:tc>
          <w:tcPr>
            <w:tcW w:w="920" w:type="dxa"/>
            <w:vAlign w:val="bottom"/>
            <w:tcBorders>
              <w:top w:val="single" w:sz="8" w:color="0000FF"/>
            </w:tcBorders>
          </w:tcPr>
          <w:p>
            <w:pPr>
              <w:spacing w:after="0"/>
              <w:rPr>
                <w:sz w:val="16"/>
                <w:szCs w:val="16"/>
                <w:color w:val="auto"/>
              </w:rPr>
            </w:pPr>
          </w:p>
        </w:tc>
        <w:tc>
          <w:tcPr>
            <w:tcW w:w="2140" w:type="dxa"/>
            <w:vAlign w:val="bottom"/>
            <w:gridSpan w:val="11"/>
          </w:tcPr>
          <w:p>
            <w:pPr>
              <w:spacing w:after="0"/>
              <w:rPr>
                <w:sz w:val="16"/>
                <w:szCs w:val="16"/>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Amendment to Employment Agreement, dated January 29, 2026, between Reynolds Consumer Products Holdings LLC and Carlen Hooker</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Amendment to Employment Agreement, dated January 29, 2026, between Reynolds Consumer Products Holdings LLC and Judith Buckner (incorporated herein by</w:t>
              </w:r>
            </w:hyperlink>
          </w:p>
        </w:tc>
        <w:tc>
          <w:tcPr>
            <w:tcW w:w="540" w:type="dxa"/>
            <w:vAlign w:val="bottom"/>
            <w:gridSpan w:val="7"/>
          </w:tcPr>
          <w:p>
            <w:pPr>
              <w:spacing w:after="0"/>
              <w:rPr>
                <w:sz w:val="16"/>
                <w:szCs w:val="16"/>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gridSpan w:val="20"/>
          </w:tcPr>
          <w:p>
            <w:pPr>
              <w:spacing w:after="0" w:line="150" w:lineRule="exact"/>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reference to Exhibit 10.27 to the Company’s Annual Report on Form 10-K filed with the SEC on February 4, 2026)</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48">
              <w:r>
                <w:rPr>
                  <w:rFonts w:ascii="Times New Roman" w:cs="Times New Roman" w:eastAsia="Times New Roman" w:hAnsi="Times New Roman"/>
                  <w:sz w:val="14"/>
                  <w:szCs w:val="14"/>
                  <w:color w:val="0000FF"/>
                </w:rPr>
                <w:t>Amendment to Employment Agreement, dated January 29, 2026, between Reynolds Consumer Products Holdings LLC and Lisa Smith (incorporated herein by reference to</w:t>
              </w:r>
            </w:hyperlink>
          </w:p>
        </w:tc>
        <w:tc>
          <w:tcPr>
            <w:tcW w:w="80" w:type="dxa"/>
            <w:vAlign w:val="bottom"/>
            <w:gridSpan w:val="4"/>
          </w:tcPr>
          <w:p>
            <w:pPr>
              <w:spacing w:after="0"/>
              <w:rPr>
                <w:sz w:val="16"/>
                <w:szCs w:val="16"/>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48">
              <w:r>
                <w:rPr>
                  <w:rFonts w:ascii="Times New Roman" w:cs="Times New Roman" w:eastAsia="Times New Roman" w:hAnsi="Times New Roman"/>
                  <w:sz w:val="14"/>
                  <w:szCs w:val="14"/>
                  <w:color w:val="0000FF"/>
                </w:rPr>
                <w:t>Exhibit 10.29 to the Company’s Annual Report on Form 10-K filed with the SEC on February 4, 2026)</w:t>
              </w:r>
            </w:hyperlink>
          </w:p>
        </w:tc>
        <w:tc>
          <w:tcPr>
            <w:tcW w:w="3980" w:type="dxa"/>
            <w:vAlign w:val="bottom"/>
            <w:gridSpan w:val="16"/>
          </w:tcPr>
          <w:p>
            <w:pPr>
              <w:spacing w:after="0"/>
              <w:rPr>
                <w:sz w:val="13"/>
                <w:szCs w:val="13"/>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0"/>
          </w:tcPr>
          <w:p>
            <w:pPr>
              <w:spacing w:after="0"/>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0000FF"/>
                </w:rPr>
                <w:t>Amendment to Employment Agreement, dated January 29, 2026, between Reynolds Consumer Products Holdings LLC and Steve Estes (incorporated herein by reference to</w:t>
              </w:r>
            </w:hyperlink>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0000FF"/>
                </w:rPr>
                <w:t>Exhibit 10.31 to the Company’s Annual Report on Form 10-K filed with the SEC on February 4, 2026)</w:t>
              </w:r>
            </w:hyperlink>
          </w:p>
        </w:tc>
        <w:tc>
          <w:tcPr>
            <w:tcW w:w="392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 Act of 1934, as Adopted Pursuant to Section 302 of</w:t>
            </w:r>
          </w:p>
        </w:tc>
        <w:tc>
          <w:tcPr>
            <w:tcW w:w="200" w:type="dxa"/>
            <w:vAlign w:val="bottom"/>
            <w:gridSpan w:val="5"/>
          </w:tcPr>
          <w:p>
            <w:pPr>
              <w:spacing w:after="0"/>
              <w:rPr>
                <w:sz w:val="16"/>
                <w:szCs w:val="16"/>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7960" w:type="dxa"/>
            <w:vAlign w:val="bottom"/>
            <w:gridSpan w:val="18"/>
          </w:tcPr>
          <w:p>
            <w:pPr>
              <w:spacing w:after="0"/>
              <w:rPr>
                <w:sz w:val="13"/>
                <w:szCs w:val="13"/>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 Act of 1934, as Adopted Pursuant to Section 302 of the</w:t>
            </w: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812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 the Sarbanes-Oxley Act of 2002.</w:t>
            </w:r>
          </w:p>
        </w:tc>
      </w:tr>
      <w:tr>
        <w:trPr>
          <w:trHeight w:val="19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 Pursuant to Section 906 of the Sarbanes-Oxley Act of 2002.</w:t>
            </w:r>
          </w:p>
        </w:tc>
        <w:tc>
          <w:tcPr>
            <w:tcW w:w="1180" w:type="dxa"/>
            <w:vAlign w:val="bottom"/>
            <w:gridSpan w:val="8"/>
          </w:tcPr>
          <w:p>
            <w:pPr>
              <w:spacing w:after="0"/>
              <w:rPr>
                <w:sz w:val="16"/>
                <w:szCs w:val="16"/>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0" w:type="dxa"/>
            <w:vAlign w:val="bottom"/>
            <w:gridSpan w:val="11"/>
            <w:shd w:val="clear" w:color="auto" w:fill="0000FF"/>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r>
      <w:tr>
        <w:trPr>
          <w:trHeight w:val="22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9"/>
                <w:szCs w:val="19"/>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tc>
      </w:tr>
      <w:tr>
        <w:trPr>
          <w:trHeight w:val="21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1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1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1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1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12"/>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line="30"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0" w:name="page31"/>
    <w:bookmarkEnd w:id="30"/>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REYNOLDS CONSUMER PRODUCTS INC.</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(Registrant)</w:t>
      </w:r>
    </w:p>
    <w:p>
      <w:pPr>
        <w:spacing w:after="0" w:line="25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21590</wp:posOffset>
            </wp:positionV>
            <wp:extent cx="34290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Chris Mayrhofer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Senior Vice President and Controller</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May 6, 2026</w:t>
      </w: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320"/>
          </w:cols>
          <w:pgMar w:left="300" w:top="1014" w:right="1279" w:bottom="1440"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093585"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93585"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93585"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093585"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Scott Huckins, certify that:</w:t>
      </w:r>
    </w:p>
    <w:p>
      <w:pPr>
        <w:spacing w:after="0" w:line="179" w:lineRule="exact"/>
        <w:rPr>
          <w:sz w:val="20"/>
          <w:szCs w:val="20"/>
          <w:color w:val="auto"/>
        </w:rPr>
      </w:pPr>
    </w:p>
    <w:p>
      <w:pPr>
        <w:ind w:left="520" w:hanging="51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Reynolds Consumer Products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700" w:val="left"/>
          <w:tab w:leader="none" w:pos="816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21590</wp:posOffset>
            </wp:positionV>
            <wp:extent cx="332803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Scott Huckins</w:t>
      </w:r>
    </w:p>
    <w:p>
      <w:pPr>
        <w:spacing w:after="0" w:line="4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280"/>
          </w:cols>
          <w:pgMar w:left="300" w:top="759"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Nathan Lowe, certify that:</w:t>
      </w:r>
    </w:p>
    <w:p>
      <w:pPr>
        <w:spacing w:after="0" w:line="179" w:lineRule="exact"/>
        <w:rPr>
          <w:sz w:val="20"/>
          <w:szCs w:val="20"/>
          <w:color w:val="auto"/>
        </w:rPr>
      </w:pPr>
    </w:p>
    <w:p>
      <w:pPr>
        <w:ind w:left="520" w:hanging="515"/>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Reynolds Consumer Products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700" w:val="left"/>
          <w:tab w:leader="none" w:pos="818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21590</wp:posOffset>
            </wp:positionV>
            <wp:extent cx="332803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Nathan Lowe</w:t>
      </w:r>
    </w:p>
    <w:p>
      <w:pPr>
        <w:spacing w:after="0" w:line="4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ectPr>
          <w:pgSz w:w="11900" w:h="16838" w:orient="portrait"/>
          <w:cols w:equalWidth="0" w:num="1">
            <w:col w:w="11280"/>
          </w:cols>
          <w:pgMar w:left="300" w:top="759"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Reynolds Consumer Products Inc. (the “Company”) on Form 10-Q for the period ended March 31, 2026 as filed with the Securities and Exchange Commission on the date hereof (the “Report”), I, Scott Huckins, President and Chief Executive Officer, certify, pursuant to 18 U.S.C. § 1350, as adopted pursuant to § 906 of the Sarbanes-Oxley Act of 2002, that:</w:t>
      </w:r>
    </w:p>
    <w:p>
      <w:pPr>
        <w:spacing w:after="0" w:line="136" w:lineRule="exact"/>
        <w:rPr>
          <w:sz w:val="20"/>
          <w:szCs w:val="20"/>
          <w:color w:val="auto"/>
        </w:rPr>
      </w:pPr>
    </w:p>
    <w:p>
      <w:pPr>
        <w:ind w:left="1020" w:hanging="50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tabs>
          <w:tab w:leader="none" w:pos="5700" w:val="left"/>
          <w:tab w:leader="none" w:pos="816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21590</wp:posOffset>
            </wp:positionV>
            <wp:extent cx="332803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Scott Huckins</w:t>
      </w:r>
    </w:p>
    <w:p>
      <w:pPr>
        <w:spacing w:after="0" w:line="4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280"/>
          </w:cols>
          <w:pgMar w:left="300" w:top="759"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of Reynolds Consumer Products Inc. (the “Company”) on Form 10-Q for the period ended March 31, 2026 as filed with the Securities and Exchange Commission on the date hereof (the “Report”), I, Nathan Lowe, Chief Financial Officer, certify, pursuant to 18 U.S.C. § 1350, as adopted pursuant to § 906 of the Sarbanes-Oxley Act of 2002, that:</w:t>
      </w:r>
    </w:p>
    <w:p>
      <w:pPr>
        <w:spacing w:after="0" w:line="124" w:lineRule="exact"/>
        <w:rPr>
          <w:sz w:val="20"/>
          <w:szCs w:val="20"/>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21590</wp:posOffset>
            </wp:positionV>
            <wp:extent cx="333502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335020" cy="6985"/>
                    </a:xfrm>
                    <a:prstGeom prst="rect">
                      <a:avLst/>
                    </a:prstGeom>
                    <a:noFill/>
                  </pic:spPr>
                </pic:pic>
              </a:graphicData>
            </a:graphic>
          </wp:anchor>
        </w:drawing>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Nathan Lowe</w:t>
      </w:r>
    </w:p>
    <w:p>
      <w:pPr>
        <w:spacing w:after="0" w:line="4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Financial Officer</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amp;"/>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45" Type="http://schemas.openxmlformats.org/officeDocument/2006/relationships/hyperlink" Target="https://www.sec.gov/Archives/edgar/data/1786431/000162828024035405/reyn-2024630x10qxexx33.htm" TargetMode="External"/><Relationship Id="rId46" Type="http://schemas.openxmlformats.org/officeDocument/2006/relationships/hyperlink" Target="https://www.sec.gov/Archives/edgar/data/0001786431/000119312520024304/d874780dex32.htm" TargetMode="External"/><Relationship Id="rId47" Type="http://schemas.openxmlformats.org/officeDocument/2006/relationships/hyperlink" Target="https://www.sec.gov/Archives/edgar/data/1786431/000162828026005284/exhibit1027.htm" TargetMode="External"/><Relationship Id="rId48" Type="http://schemas.openxmlformats.org/officeDocument/2006/relationships/hyperlink" Target="https://www.sec.gov/Archives/edgar/data/1786431/000162828026005284/exhibit1029.htm" TargetMode="External"/><Relationship Id="rId49" Type="http://schemas.openxmlformats.org/officeDocument/2006/relationships/hyperlink" Target="https://www.sec.gov/Archives/edgar/data/1786431/000162828026005284/exhibit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2026-05-06T08:30:01Z</dcterms:created>
  <dcterms:modified xsi:type="dcterms:W3CDTF">2026-05-06T08:30:01Z</dcterms:modified>
</cp:coreProperties>
</file>