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6532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65322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74" w:lineRule="exact"/>
        <w:rPr>
          <w:sz w:val="24"/>
          <w:szCs w:val="24"/>
          <w:color w:val="auto"/>
        </w:rPr>
      </w:pPr>
    </w:p>
    <w:p>
      <w:pPr>
        <w:ind w:left="440" w:hanging="414"/>
        <w:spacing w:after="0"/>
        <w:tabs>
          <w:tab w:leader="none" w:pos="440" w:val="left"/>
        </w:tabs>
        <w:numPr>
          <w:ilvl w:val="0"/>
          <w:numId w:val="1"/>
        </w:numPr>
        <w:rPr>
          <w:rFonts w:ascii="Arial" w:cs="Arial" w:eastAsia="Arial" w:hAnsi="Arial"/>
          <w:sz w:val="14"/>
          <w:szCs w:val="14"/>
          <w:b w:val="1"/>
          <w:bCs w:val="1"/>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4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 to 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001-39205</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REYNOLDS CONSUMER PRODUCTS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229" w:right="339" w:bottom="1440" w:gutter="0" w:footer="0" w:header="0"/>
        </w:sectPr>
      </w:pPr>
    </w:p>
    <w:p>
      <w:pPr>
        <w:spacing w:after="0" w:line="93"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45-3464426</w:t>
      </w:r>
    </w:p>
    <w:p>
      <w:pPr>
        <w:spacing w:after="0" w:line="200" w:lineRule="exact"/>
        <w:rPr>
          <w:sz w:val="24"/>
          <w:szCs w:val="24"/>
          <w:color w:val="auto"/>
        </w:rPr>
      </w:pPr>
    </w:p>
    <w:p>
      <w:pPr>
        <w:sectPr>
          <w:pgSz w:w="11900" w:h="16838" w:orient="portrait"/>
          <w:cols w:equalWidth="0" w:num="2">
            <w:col w:w="7280" w:space="720"/>
            <w:col w:w="3240"/>
          </w:cols>
          <w:pgMar w:left="320" w:top="229" w:right="339" w:bottom="1440" w:gutter="0" w:footer="0" w:header="0"/>
          <w:type w:val="continuous"/>
        </w:sectPr>
      </w:pPr>
    </w:p>
    <w:p>
      <w:pPr>
        <w:spacing w:after="0" w:line="10"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20"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7"/>
          <w:szCs w:val="17"/>
          <w:b w:val="1"/>
          <w:bCs w:val="1"/>
          <w:color w:val="auto"/>
        </w:rPr>
        <w:t>Identification Number)</w:t>
      </w:r>
    </w:p>
    <w:p>
      <w:pPr>
        <w:spacing w:after="0" w:line="118" w:lineRule="exact"/>
        <w:rPr>
          <w:sz w:val="24"/>
          <w:szCs w:val="24"/>
          <w:color w:val="auto"/>
        </w:rPr>
      </w:pPr>
    </w:p>
    <w:p>
      <w:pPr>
        <w:sectPr>
          <w:pgSz w:w="11900" w:h="16838" w:orient="portrait"/>
          <w:cols w:equalWidth="0" w:num="2">
            <w:col w:w="6820" w:space="720"/>
            <w:col w:w="3700"/>
          </w:cols>
          <w:pgMar w:left="320" w:top="22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1900 W. Field Court</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Lake Forest, Illinois 60045</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(800) 879-5067</w:t>
      </w:r>
    </w:p>
    <w:p>
      <w:pPr>
        <w:sectPr>
          <w:pgSz w:w="11900" w:h="16838" w:orient="portrait"/>
          <w:cols w:equalWidth="0" w:num="1">
            <w:col w:w="11240"/>
          </w:cols>
          <w:pgMar w:left="320" w:top="229" w:right="339" w:bottom="1440" w:gutter="0" w:footer="0" w:header="0"/>
          <w:type w:val="continuous"/>
        </w:sectPr>
      </w:pPr>
    </w:p>
    <w:p>
      <w:pPr>
        <w:spacing w:after="0" w:line="63" w:lineRule="exact"/>
        <w:rPr>
          <w:sz w:val="24"/>
          <w:szCs w:val="24"/>
          <w:color w:val="auto"/>
        </w:rPr>
      </w:pPr>
    </w:p>
    <w:p>
      <w:pPr>
        <w:jc w:val="center"/>
        <w:ind w:left="340" w:right="980"/>
        <w:spacing w:after="0" w:line="281" w:lineRule="auto"/>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 Securities registered pursuant to section 12(b) of the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5"/>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0" w:type="dxa"/>
            <w:vAlign w:val="bottom"/>
          </w:tcPr>
          <w:p>
            <w:pPr>
              <w:spacing w:after="0"/>
              <w:rPr>
                <w:sz w:val="21"/>
                <w:szCs w:val="21"/>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240" w:type="dxa"/>
            <w:vAlign w:val="bottom"/>
          </w:tcPr>
          <w:p>
            <w:pPr>
              <w:spacing w:after="0"/>
              <w:rPr>
                <w:sz w:val="21"/>
                <w:szCs w:val="21"/>
                <w:color w:val="auto"/>
              </w:rPr>
            </w:pP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4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REYN</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965200</wp:posOffset>
            </wp:positionH>
            <wp:positionV relativeFrom="paragraph">
              <wp:posOffset>71120</wp:posOffset>
            </wp:positionV>
            <wp:extent cx="5212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87" w:lineRule="exact"/>
        <w:rPr>
          <w:sz w:val="24"/>
          <w:szCs w:val="24"/>
          <w:color w:val="auto"/>
        </w:rPr>
      </w:pPr>
    </w:p>
    <w:p>
      <w:pPr>
        <w:ind w:right="2600"/>
        <w:spacing w:after="0" w:line="316"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Arial" w:cs="Arial" w:eastAsia="Arial" w:hAnsi="Arial"/>
          <w:sz w:val="12"/>
          <w:szCs w:val="12"/>
          <w:b w:val="1"/>
          <w:bCs w:val="1"/>
          <w:color w:val="auto"/>
        </w:rPr>
        <w:t>R</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Arial" w:cs="Arial" w:eastAsia="Arial" w:hAnsi="Arial"/>
          <w:sz w:val="12"/>
          <w:szCs w:val="12"/>
          <w:b w:val="1"/>
          <w:bCs w:val="1"/>
          <w:color w:val="auto"/>
        </w:rPr>
        <w:t>R</w:t>
      </w:r>
    </w:p>
    <w:p>
      <w:pPr>
        <w:spacing w:after="0" w:line="2"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2"/>
          <w:szCs w:val="12"/>
          <w:b w:val="1"/>
          <w:bCs w:val="1"/>
          <w:color w:val="auto"/>
        </w:rPr>
        <w:t>R</w:t>
      </w:r>
    </w:p>
    <w:p>
      <w:pPr>
        <w:spacing w:after="0"/>
        <w:rPr>
          <w:sz w:val="20"/>
          <w:szCs w:val="20"/>
          <w:color w:val="auto"/>
        </w:rPr>
      </w:pPr>
      <w:r>
        <w:rPr>
          <w:rFonts w:ascii="Times New Roman" w:cs="Times New Roman" w:eastAsia="Times New Roman" w:hAnsi="Times New Roman"/>
          <w:sz w:val="16"/>
          <w:szCs w:val="16"/>
          <w:color w:val="auto"/>
        </w:rPr>
        <w:t xml:space="preserve">No </w:t>
      </w:r>
      <w:r>
        <w:rPr>
          <w:rFonts w:ascii="Wingdings" w:cs="Wingdings" w:eastAsia="Wingdings" w:hAnsi="Wingdings"/>
          <w:sz w:val="16"/>
          <w:szCs w:val="16"/>
          <w:b w:val="1"/>
          <w:bCs w:val="1"/>
          <w:color w:val="auto"/>
        </w:rPr>
        <w:t>o</w:t>
      </w:r>
    </w:p>
    <w:p>
      <w:pPr>
        <w:spacing w:after="0" w:line="46"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2"/>
          <w:szCs w:val="12"/>
          <w:b w:val="1"/>
          <w:bCs w:val="1"/>
          <w:color w:val="auto"/>
        </w:rPr>
        <w:t>R</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3" w:lineRule="exact"/>
        <w:rPr>
          <w:sz w:val="24"/>
          <w:szCs w:val="24"/>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tabs>
          <w:tab w:leader="none" w:pos="2200" w:val="left"/>
          <w:tab w:leader="none" w:pos="4080" w:val="left"/>
          <w:tab w:leader="none" w:pos="6280" w:val="left"/>
          <w:tab w:leader="none" w:pos="890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w:cs="Arial" w:eastAsia="Arial" w:hAnsi="Arial"/>
          <w:sz w:val="11"/>
          <w:szCs w:val="11"/>
          <w:b w:val="1"/>
          <w:bCs w:val="1"/>
          <w:color w:val="auto"/>
        </w:rPr>
        <w:t>R</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Wingdings" w:cs="Wingdings" w:eastAsia="Wingdings" w:hAnsi="Wingdings"/>
          <w:sz w:val="14"/>
          <w:szCs w:val="14"/>
          <w:b w:val="1"/>
          <w:bCs w:val="1"/>
          <w:color w:val="auto"/>
        </w:rPr>
        <w:t>o</w:t>
      </w:r>
    </w:p>
    <w:p>
      <w:pPr>
        <w:spacing w:after="0" w:line="145"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 w:lineRule="exact"/>
        <w:rPr>
          <w:sz w:val="24"/>
          <w:szCs w:val="24"/>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231F20"/>
        </w:rPr>
        <w:t xml:space="preserve">Indicate by </w:t>
      </w:r>
      <w:r>
        <w:rPr>
          <w:rFonts w:ascii="Times New Roman" w:cs="Times New Roman" w:eastAsia="Times New Roman" w:hAnsi="Times New Roman"/>
          <w:sz w:val="16"/>
          <w:szCs w:val="16"/>
          <w:color w:val="000000"/>
        </w:rPr>
        <w:t>check</w:t>
      </w:r>
      <w:r>
        <w:rPr>
          <w:rFonts w:ascii="Times New Roman" w:cs="Times New Roman" w:eastAsia="Times New Roman" w:hAnsi="Times New Roman"/>
          <w:sz w:val="16"/>
          <w:szCs w:val="16"/>
          <w:color w:val="231F20"/>
        </w:rPr>
        <w:t xml:space="preserve">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w:cs="Arial" w:eastAsia="Arial" w:hAnsi="Arial"/>
          <w:sz w:val="12"/>
          <w:szCs w:val="12"/>
          <w:b w:val="1"/>
          <w:bCs w:val="1"/>
          <w:color w:val="000000"/>
        </w:rPr>
        <w:t>R</w:t>
      </w:r>
    </w:p>
    <w:p>
      <w:pPr>
        <w:spacing w:after="0" w:line="1"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6"/>
          <w:szCs w:val="16"/>
          <w:b w:val="1"/>
          <w:bCs w:val="1"/>
          <w:color w:val="auto"/>
        </w:rPr>
        <w:t>o</w:t>
      </w:r>
    </w:p>
    <w:p>
      <w:pPr>
        <w:spacing w:after="0" w:line="1"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6"/>
          <w:szCs w:val="16"/>
          <w:b w:val="1"/>
          <w:bCs w:val="1"/>
          <w:color w:val="auto"/>
        </w:rPr>
        <w:t>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by Rule 12b-2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Arial" w:cs="Arial" w:eastAsia="Arial" w:hAnsi="Arial"/>
          <w:sz w:val="12"/>
          <w:szCs w:val="12"/>
          <w:b w:val="1"/>
          <w:bCs w:val="1"/>
          <w:color w:val="auto"/>
        </w:rPr>
        <w:t>R</w:t>
      </w:r>
    </w:p>
    <w:p>
      <w:pPr>
        <w:spacing w:after="0" w:line="73"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of June 30, 2025, the aggregate market value of the registrant’s common stock held by non-affiliates (shareholders other than executive officers, directors or holders of more than 10% of the outstanding stock of the registrant) was approximately $1,163 million, based on the closing price of the registrant’s common stock on such date. This calculation does not reflect a determination that certain persons are affiliates of the registrant for any other purposes.</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registrant had 210,343,558 shares of common stock, $0.001 par value, outstanding as of January 30, 2026.</w:t>
      </w:r>
    </w:p>
    <w:p>
      <w:pPr>
        <w:spacing w:after="0" w:line="73"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Documents incorporated by reference: Portions of the Registrant’s definitive proxy statement relating to its 2026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80" w:type="dxa"/>
            <w:vAlign w:val="bottom"/>
            <w:gridSpan w:val="10"/>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0" w:type="dxa"/>
            <w:vAlign w:val="bottom"/>
            <w:gridSpan w:val="9"/>
          </w:tcPr>
          <w:p>
            <w:pPr>
              <w:jc w:val="center"/>
              <w:ind w:right="294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9680" w:type="dxa"/>
            <w:vAlign w:val="bottom"/>
            <w:gridSpan w:val="29"/>
            <w:vMerge w:val="restart"/>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600" w:type="dxa"/>
            <w:vAlign w:val="bottom"/>
            <w:tcBorders>
              <w:bottom w:val="single" w:sz="8" w:color="0000FF"/>
            </w:tcBorders>
            <w:vMerge w:val="continue"/>
          </w:tcPr>
          <w:p>
            <w:pPr>
              <w:spacing w:after="0"/>
              <w:rPr>
                <w:sz w:val="24"/>
                <w:szCs w:val="24"/>
                <w:color w:val="auto"/>
              </w:rPr>
            </w:pPr>
          </w:p>
        </w:tc>
        <w:tc>
          <w:tcPr>
            <w:tcW w:w="9680" w:type="dxa"/>
            <w:vAlign w:val="bottom"/>
            <w:gridSpan w:val="29"/>
            <w:vMerge w:val="continue"/>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1. Business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8680" w:type="dxa"/>
            <w:vAlign w:val="bottom"/>
            <w:gridSpan w:val="20"/>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1B. Unresolved Staff Comments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2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Item 1C. Cybersecurity</w:t>
            </w:r>
          </w:p>
        </w:tc>
        <w:tc>
          <w:tcPr>
            <w:tcW w:w="7560" w:type="dxa"/>
            <w:vAlign w:val="bottom"/>
            <w:gridSpan w:val="12"/>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2. Properties</w:t>
            </w:r>
          </w:p>
        </w:tc>
        <w:tc>
          <w:tcPr>
            <w:tcW w:w="380" w:type="dxa"/>
            <w:vAlign w:val="bottom"/>
            <w:tcBorders>
              <w:top w:val="single" w:sz="8" w:color="0000FF"/>
            </w:tcBorders>
            <w:gridSpan w:val="3"/>
          </w:tcPr>
          <w:p>
            <w:pPr>
              <w:spacing w:after="0"/>
              <w:rPr>
                <w:sz w:val="20"/>
                <w:szCs w:val="20"/>
                <w:color w:val="auto"/>
              </w:rPr>
            </w:pPr>
          </w:p>
        </w:tc>
        <w:tc>
          <w:tcPr>
            <w:tcW w:w="8600" w:type="dxa"/>
            <w:vAlign w:val="bottom"/>
            <w:gridSpan w:val="19"/>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3. Legal Proceedings</w:t>
            </w:r>
          </w:p>
        </w:tc>
        <w:tc>
          <w:tcPr>
            <w:tcW w:w="8380" w:type="dxa"/>
            <w:vAlign w:val="bottom"/>
            <w:gridSpan w:val="18"/>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23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7960" w:type="dxa"/>
            <w:vAlign w:val="bottom"/>
            <w:gridSpan w:val="15"/>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64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Item 5. Market for Registrant’s Common Equity, Related Stockholder Matters and Issuer Purchases of Equity Securities</w:t>
            </w:r>
          </w:p>
        </w:tc>
        <w:tc>
          <w:tcPr>
            <w:tcW w:w="1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6. [Reserved]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02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Item 7. Management’s Discussion and Analysis of Financial Condition and Results of Operations</w:t>
            </w:r>
          </w:p>
        </w:tc>
        <w:tc>
          <w:tcPr>
            <w:tcW w:w="3260" w:type="dxa"/>
            <w:vAlign w:val="bottom"/>
            <w:gridSpan w:val="4"/>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Item 7A. Quantitative and Qualitative Disclosures about Market Risk</w:t>
            </w:r>
          </w:p>
        </w:tc>
        <w:tc>
          <w:tcPr>
            <w:tcW w:w="5280" w:type="dxa"/>
            <w:vAlign w:val="bottom"/>
            <w:gridSpan w:val="7"/>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0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Item 9. Changes in and Disagreements with Accountants on Accounting and Financial Disclosure</w:t>
            </w:r>
          </w:p>
        </w:tc>
        <w:tc>
          <w:tcPr>
            <w:tcW w:w="3240" w:type="dxa"/>
            <w:vAlign w:val="bottom"/>
            <w:gridSpan w:val="3"/>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Item 9A. Controls and Procedures</w:t>
            </w:r>
          </w:p>
        </w:tc>
        <w:tc>
          <w:tcPr>
            <w:tcW w:w="7820" w:type="dxa"/>
            <w:vAlign w:val="bottom"/>
            <w:gridSpan w:val="13"/>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9B. Other Information</w:t>
            </w:r>
          </w:p>
        </w:tc>
        <w:tc>
          <w:tcPr>
            <w:tcW w:w="8280" w:type="dxa"/>
            <w:vAlign w:val="bottom"/>
            <w:gridSpan w:val="17"/>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5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Item 9C. Disclosure Regarding Foreign Jurisdictions that Prevent Inspections</w:t>
            </w:r>
          </w:p>
        </w:tc>
        <w:tc>
          <w:tcPr>
            <w:tcW w:w="4700" w:type="dxa"/>
            <w:vAlign w:val="bottom"/>
            <w:gridSpan w:val="6"/>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9540" w:type="dxa"/>
            <w:vAlign w:val="bottom"/>
            <w:gridSpan w:val="26"/>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4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Item 11. Executive Compensation</w:t>
            </w:r>
          </w:p>
        </w:tc>
        <w:tc>
          <w:tcPr>
            <w:tcW w:w="5540" w:type="dxa"/>
            <w:vAlign w:val="bottom"/>
            <w:gridSpan w:val="8"/>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6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 Matters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2340" w:type="dxa"/>
            <w:vAlign w:val="bottom"/>
            <w:gridSpan w:val="2"/>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0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Item 14. Principal Accountant Fees and Services</w:t>
            </w:r>
          </w:p>
        </w:tc>
        <w:tc>
          <w:tcPr>
            <w:tcW w:w="4180" w:type="dxa"/>
            <w:vAlign w:val="bottom"/>
            <w:gridSpan w:val="5"/>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35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780" w:type="dxa"/>
            <w:vAlign w:val="bottom"/>
            <w:gridSpan w:val="11"/>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6480" w:type="dxa"/>
            <w:vAlign w:val="bottom"/>
            <w:gridSpan w:val="1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15. Exhibits and Financial Statement Schedules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16. Form 10-K Summary</w:t>
            </w:r>
          </w:p>
        </w:tc>
        <w:tc>
          <w:tcPr>
            <w:tcW w:w="1600" w:type="dxa"/>
            <w:vAlign w:val="bottom"/>
            <w:tcBorders>
              <w:top w:val="single" w:sz="8" w:color="0000FF"/>
            </w:tcBorders>
            <w:gridSpan w:val="6"/>
          </w:tcPr>
          <w:p>
            <w:pPr>
              <w:spacing w:after="0"/>
              <w:rPr>
                <w:sz w:val="20"/>
                <w:szCs w:val="20"/>
                <w:color w:val="auto"/>
              </w:rPr>
            </w:pPr>
          </w:p>
        </w:tc>
        <w:tc>
          <w:tcPr>
            <w:tcW w:w="6480" w:type="dxa"/>
            <w:vAlign w:val="bottom"/>
            <w:gridSpan w:val="10"/>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Index to Exhibits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040" w:type="dxa"/>
            <w:vAlign w:val="bottom"/>
            <w:gridSpan w:val="23"/>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777"/>
        </w:trPr>
        <w:tc>
          <w:tcPr>
            <w:tcW w:w="20" w:type="dxa"/>
            <w:vAlign w:val="bottom"/>
          </w:tcPr>
          <w:p>
            <w:pPr>
              <w:spacing w:after="0"/>
              <w:rPr>
                <w:sz w:val="24"/>
                <w:szCs w:val="24"/>
                <w:color w:val="auto"/>
              </w:rPr>
            </w:pPr>
          </w:p>
        </w:tc>
        <w:tc>
          <w:tcPr>
            <w:tcW w:w="760" w:type="dxa"/>
            <w:vAlign w:val="bottom"/>
            <w:tcBorders>
              <w:top w:val="single" w:sz="8" w:color="0000FF"/>
            </w:tcBorders>
            <w:gridSpan w:val="5"/>
          </w:tcPr>
          <w:p>
            <w:pPr>
              <w:spacing w:after="0"/>
              <w:rPr>
                <w:sz w:val="24"/>
                <w:szCs w:val="24"/>
                <w:color w:val="auto"/>
              </w:rPr>
            </w:pPr>
          </w:p>
        </w:tc>
        <w:tc>
          <w:tcPr>
            <w:tcW w:w="5340" w:type="dxa"/>
            <w:vAlign w:val="bottom"/>
            <w:gridSpan w:val="20"/>
          </w:tcPr>
          <w:p>
            <w:pPr>
              <w:jc w:val="center"/>
              <w:ind w:left="4250"/>
              <w:spacing w:after="0"/>
              <w:rPr>
                <w:sz w:val="20"/>
                <w:szCs w:val="20"/>
                <w:color w:val="auto"/>
              </w:rPr>
            </w:pPr>
            <w:r>
              <w:rPr>
                <w:rFonts w:ascii="Times New Roman" w:cs="Times New Roman" w:eastAsia="Times New Roman" w:hAnsi="Times New Roman"/>
                <w:sz w:val="18"/>
                <w:szCs w:val="18"/>
                <w:color w:val="auto"/>
                <w:w w:val="88"/>
              </w:rPr>
              <w:t>2</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certain statements that constitute “forward-looking statements” within the meaning of the Private Securities Litigation Reform Act of 1995. In some cases, you can identify these statements by forward-looking words such as “may,” “might,” “will,” “should,” “expects,” “intends,” “outlook,” “forecast,” “position,” “committed,” “plans,” “anticipates,” “believes,” “estimates,” “predicts,” “model,” “assumes,” “confident,” “look forward,” “potential,” “on track,” or “continue,” or the negative of these terms and other comparable terminology. These forward-looking statements, which are subject to risks, uncertainties and assumptions about us, may include projections of our future financial performance, our anticipated growth and recovery of profitability, management of costs and other disruptions and other strategies, and anticipated trends in our business, including expected levels of commodity costs and volume.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risks and uncertainties discussed in Item 1A. “Risk Factors.” You should specifically consider the numerous risks outlined in the “Risk Factors” section. These risks and uncertainties include factors related to:</w:t>
      </w:r>
    </w:p>
    <w:p>
      <w:pPr>
        <w:spacing w:after="0" w:line="219" w:lineRule="exact"/>
        <w:rPr>
          <w:sz w:val="20"/>
          <w:szCs w:val="20"/>
          <w:color w:val="auto"/>
        </w:rPr>
      </w:pPr>
    </w:p>
    <w:p>
      <w:pPr>
        <w:ind w:left="440" w:hanging="316"/>
        <w:spacing w:after="0" w:line="261"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lifestyle, economic circumstances and environmental concerns, as well as changes in current or future laws and regulations related to environmental matters;</w:t>
      </w: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our major customers, consolidation of our customer bases and loss of a significant customer;</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pricing pressures;</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disruption at, any of our key manufacturing facilities;</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of raw materials and any interruption in our supply of raw materials;</w:t>
      </w:r>
    </w:p>
    <w:p>
      <w:pPr>
        <w:spacing w:after="0" w:line="9" w:lineRule="exact"/>
        <w:rPr>
          <w:rFonts w:ascii="Times New Roman" w:cs="Times New Roman" w:eastAsia="Times New Roman" w:hAnsi="Times New Roman"/>
          <w:sz w:val="18"/>
          <w:szCs w:val="18"/>
          <w:color w:val="auto"/>
        </w:rPr>
      </w:pPr>
    </w:p>
    <w:p>
      <w:pPr>
        <w:ind w:left="440" w:hanging="316"/>
        <w:spacing w:after="0" w:line="250"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due to an accident, labor issues, weather conditions, natural disaster, or disease outbreak, including epidemics, pandemics or similar widespread public health concerns;</w:t>
      </w:r>
    </w:p>
    <w:p>
      <w:pPr>
        <w:ind w:left="440" w:hanging="316"/>
        <w:spacing w:after="0" w:line="250"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raw materials, energy, labor and freight, including the impact of tariffs, trade sanctions and similar matters affecting our importation of certain raw materials and other products;</w:t>
      </w: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and increased labor costs;</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brands that are critical to our success;</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in our target markets;</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businesses;</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inflationary trends;</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meeting our sales growth objectives and innovation goals; and</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interest rates and the availability of capital.</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Investors are cautioned not to place undue reliance on any such forward-looking statements, which speak only as of the date they are made. We are under no duty to update any of these forward-looking statements after the date of this Annual Report on Form 10-K to conform our prior statements to actual results or revised expectations.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about these factors and about the material factors or assumptions underlying such forward-looking statements may be found elsewhere in this Annual Report on Form 10-K, under Part I, Item 1A. “Risk Factors.”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Annual Report on Form 10-K, “Reynolds Consumer Products,” “RCP,” the “Company,” “we,” “us” and “our” refer to Reynolds Consumer Products Inc. and its consolidated subsidiaries. Reynolds Consumer Products Inc. was incorporated in the state of Delaware on September 26, 2011.</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own or have rights to trademarks, service marks and trade names that we use in connection with the operation of our business. Other trademarks, service marks and trade names appearing in this Annual Report on Form 10-K are the property of their respective owners. Solely for convenience, some of the trademarks, service marks and trade names referred to in this Annual Report on Form 10-K are listed without the ® or ™ symbols, but we will assert, to the fullest extent under applicable law, our rights to our trademarks, service marks and trade names.</w:t>
      </w:r>
    </w:p>
    <w:p>
      <w:pPr>
        <w:spacing w:after="0" w:line="17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is to simplify daily life so consumers can enjoy what matters most.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market-leading consumer products company with a presence in 95% of households across the United States. We produce and sell products that people use in their homes for cooking, serving, cleanup and storage. We sell our products under iconic brands such as Reynolds and Hefty, and also under store brands that are strategically important to our retail partners. Overall, across both our branded and store brand offerings, we hold the #1 or #2 U.S. market share position in the majority of product categories in which we participate. Over 50% of our revenue comes from products that are #1 in their respective categories. We have developed our market-leading position by investing in our product categories, championing the categories in partnership with our retail partners and consistently developing innovative products to meet the evolving needs and preferences of the modern consumer.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mix of branded and store brand products is a key competitive advantage that aligns our goal of growing the overall product categories where we have offerings. Our retail partners also generally measure their success in category growth, which positions us as a trusted strategic partner.</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products are typically used in the homes of consumers among all demographics on a frequent basis and meet the convenience-oriented preferences of consumers across a broad range of household activities. Our products help simplify daily life by assisting with cooking, serving, clean-up and storage through a range of product offerings. Our diverse portfolio includes a wide range of products, including aluminum foil, parchment paper, disposable bakeware, trash bags, food storage bags and disposable tableware. Our products are known for their quality, which is recognized by our consumers and retail partners alike. Our Reynolds and Hefty brands have preeminent positions in their categories and carry strong brand recognition in household aisles. These factors generate consumer loyalty, which affords us the opportunity to develop and launch new products that expand usage occasions and transition our portfolio into adjacent categories.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strong relationships with a diverse set of retail partners including leading grocery stores, mass merchants, warehouse clubs, discount chains, dollar stores, drug stores, home improvement stores, military outlets and eCommerce retailers. Our relationships with our retail partners have been built on a long history of trust. Our portfolio of branded and store brand products allows our retail partners to manage multiple household aisles with a single vendor. Many of our products have had a prominent position on the shelves of major retailers for decades and have become an integral part of household aisles. We believe our strong brand recognition and customer loyalty lead to robust product performance.</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brands have #1 market share positions across nearly all our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 w:lineRule="exact"/>
        <w:rPr>
          <w:sz w:val="20"/>
          <w:szCs w:val="20"/>
          <w:color w:val="auto"/>
        </w:rPr>
      </w:pPr>
    </w:p>
    <w:p>
      <w:pPr>
        <w:ind w:left="1580"/>
        <w:spacing w:after="0"/>
        <w:tabs>
          <w:tab w:leader="none" w:pos="5400" w:val="left"/>
          <w:tab w:leader="none" w:pos="9100" w:val="left"/>
        </w:tabs>
        <w:rPr>
          <w:sz w:val="20"/>
          <w:szCs w:val="20"/>
          <w:color w:val="auto"/>
        </w:rPr>
      </w:pPr>
      <w:r>
        <w:rPr>
          <w:rFonts w:ascii="Times New Roman" w:cs="Times New Roman" w:eastAsia="Times New Roman" w:hAnsi="Times New Roman"/>
          <w:sz w:val="14"/>
          <w:szCs w:val="14"/>
          <w:b w:val="1"/>
          <w:bCs w:val="1"/>
          <w:color w:val="auto"/>
        </w:rPr>
        <w:t>Category</w:t>
      </w:r>
      <w:r>
        <w:rPr>
          <w:sz w:val="20"/>
          <w:szCs w:val="20"/>
          <w:color w:val="auto"/>
        </w:rPr>
        <w:tab/>
      </w:r>
      <w:r>
        <w:rPr>
          <w:rFonts w:ascii="Times New Roman" w:cs="Times New Roman" w:eastAsia="Times New Roman" w:hAnsi="Times New Roman"/>
          <w:sz w:val="14"/>
          <w:szCs w:val="14"/>
          <w:b w:val="1"/>
          <w:bCs w:val="1"/>
          <w:color w:val="auto"/>
        </w:rPr>
        <w:t>Brand</w:t>
      </w:r>
      <w:r>
        <w:rPr>
          <w:sz w:val="20"/>
          <w:szCs w:val="20"/>
          <w:color w:val="auto"/>
        </w:rPr>
        <w:tab/>
      </w:r>
      <w:r>
        <w:rPr>
          <w:rFonts w:ascii="Times New Roman" w:cs="Times New Roman" w:eastAsia="Times New Roman" w:hAnsi="Times New Roman"/>
          <w:sz w:val="14"/>
          <w:szCs w:val="14"/>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360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4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Aluminum foil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180340</wp:posOffset>
            </wp:positionV>
            <wp:extent cx="1808480"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8480" cy="28321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154305</wp:posOffset>
            </wp:positionV>
            <wp:extent cx="342900"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Parchment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171450</wp:posOffset>
            </wp:positionV>
            <wp:extent cx="1808480" cy="282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8480" cy="28257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Wax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171450</wp:posOffset>
            </wp:positionV>
            <wp:extent cx="1808480" cy="283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8480" cy="28321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Slow cooker liners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171450</wp:posOffset>
            </wp:positionV>
            <wp:extent cx="1808480" cy="282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8480" cy="28257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Oven bags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171450</wp:posOffset>
            </wp:positionV>
            <wp:extent cx="1808480" cy="283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8480" cy="28321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Freezer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214630</wp:posOffset>
            </wp:positionV>
            <wp:extent cx="1345565"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45565" cy="20574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Aluminum foil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154305</wp:posOffset>
            </wp:positionV>
            <wp:extent cx="986155" cy="316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86155" cy="31686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Party cups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154305</wp:posOffset>
            </wp:positionV>
            <wp:extent cx="986155" cy="317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86155" cy="31750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Foam dishes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154305</wp:posOffset>
            </wp:positionV>
            <wp:extent cx="986155" cy="317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86155" cy="31750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Slider bags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154305</wp:posOffset>
            </wp:positionV>
            <wp:extent cx="986155" cy="317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86155" cy="31750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Trash bags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154305</wp:posOffset>
            </wp:positionV>
            <wp:extent cx="986155" cy="316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86155" cy="31686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Cutlery</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3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Source: Circana Dollar Sales MULO+ latest 52 weeks ended December 28, 2025 and Nielsen MarketTrack latest 52 weeks ended December 27, 2025.</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manage our operations in four reportable segments: Reynolds Cooking &amp; Baking, Hefty Waste &amp; Storage, Hefty Tableware and Presto Products.</w:t>
      </w:r>
    </w:p>
    <w:p>
      <w:pPr>
        <w:spacing w:after="0" w:line="248" w:lineRule="exact"/>
        <w:rPr>
          <w:sz w:val="20"/>
          <w:szCs w:val="20"/>
          <w:color w:val="auto"/>
        </w:rPr>
      </w:pPr>
    </w:p>
    <w:p>
      <w:pPr>
        <w:jc w:val="both"/>
        <w:ind w:left="440" w:hanging="316"/>
        <w:spacing w:after="0" w:line="254"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Reynolds Cooking &amp; Baking</w:t>
      </w:r>
      <w:r>
        <w:rPr>
          <w:rFonts w:ascii="Times New Roman" w:cs="Times New Roman" w:eastAsia="Times New Roman" w:hAnsi="Times New Roman"/>
          <w:sz w:val="18"/>
          <w:szCs w:val="18"/>
          <w:color w:val="auto"/>
        </w:rPr>
        <w:t>: Through our Reynolds Cooking &amp; Baking segment, we sell both branded and store brand aluminum foil, disposable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aluminum pans, parchment paper, freezer paper, wax paper, butcher paper, plastic wrap, baking cups, oven bags and slow cooker liners. Our branded products are sold under the Reynolds Wrap, Reynolds Kitchens and EZ Foil brands in the United States and select international markets, under the ALCAN brand in Canada and under the Diamond brand outside of North America. With our flagship Reynolds Wrap products, we hold the #1 market position in the U.S. consumer foil market measured by retail sales and volume. We also hold the #1 market position in the Canadian branded foil market under the ALCAN brand. We have no significant branded competitor in this market. Reynolds is one of the most recognized household brands in the United States, with 98% brand awareness, and has been the top trusted brand in the consumer foil market for over 75 years, with greater than 50% market share in most of its categories. We also offer more sustainable solutions, such as Reynolds Wrap 100% recycled aluminum, unbleached parchment paper made with a chlorine-free process and coreless wax paper, which uses less packaging material than traditional wax paper rolls.</w:t>
      </w:r>
    </w:p>
    <w:p>
      <w:pPr>
        <w:spacing w:after="0" w:line="212" w:lineRule="exact"/>
        <w:rPr>
          <w:rFonts w:ascii="Times New Roman" w:cs="Times New Roman" w:eastAsia="Times New Roman" w:hAnsi="Times New Roman"/>
          <w:sz w:val="18"/>
          <w:szCs w:val="18"/>
          <w:color w:val="auto"/>
        </w:rPr>
      </w:pPr>
    </w:p>
    <w:p>
      <w:pPr>
        <w:jc w:val="both"/>
        <w:ind w:left="440" w:hanging="316"/>
        <w:spacing w:after="0" w:line="255"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Hefty Waste &amp; Storage</w:t>
      </w:r>
      <w:r>
        <w:rPr>
          <w:rFonts w:ascii="Times New Roman" w:cs="Times New Roman" w:eastAsia="Times New Roman" w:hAnsi="Times New Roman"/>
          <w:sz w:val="18"/>
          <w:szCs w:val="18"/>
          <w:color w:val="auto"/>
        </w:rPr>
        <w:t>: Through our Hefty Waste &amp; Storage segment, we produce both branded and store brand trash and food storage bags. Hefty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 well-recognized leader in the trash bag and food storage bag categories and our private label products offer value to our retail partners. Our branded products are sold under the Hefty Ultra Strong and Hefty Strong brands for trash bags in the U.S. and select international markets, and as the Hefty brand for our food storage bags in the U.S. Our food storage bags are sold internationally as Reynolds, Diamond, or Hefty Basics brands based on the region. Hefty has 98% brand awareness and is most commonly identified with the Brand’s famous “Hefty! Hefty! Hefty!” slogan. We have the #1 branded market share in the U.S. large black trash bag segment, and the #2 branded market share in the food storage bag and tall kitchen trash bag segments. Our robust product portfolio includes a full suite of products, including sustainable solutions such as compostable bags and bags made from recycled materials.</w:t>
      </w:r>
    </w:p>
    <w:p>
      <w:pPr>
        <w:spacing w:after="0" w:line="211" w:lineRule="exact"/>
        <w:rPr>
          <w:rFonts w:ascii="Times New Roman" w:cs="Times New Roman" w:eastAsia="Times New Roman" w:hAnsi="Times New Roman"/>
          <w:sz w:val="18"/>
          <w:szCs w:val="18"/>
          <w:color w:val="auto"/>
        </w:rPr>
      </w:pPr>
    </w:p>
    <w:p>
      <w:pPr>
        <w:jc w:val="both"/>
        <w:ind w:left="440" w:hanging="316"/>
        <w:spacing w:after="0" w:line="257"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Hefty Tableware</w:t>
      </w:r>
      <w:r>
        <w:rPr>
          <w:rFonts w:ascii="Times New Roman" w:cs="Times New Roman" w:eastAsia="Times New Roman" w:hAnsi="Times New Roman"/>
          <w:sz w:val="18"/>
          <w:szCs w:val="18"/>
          <w:color w:val="auto"/>
        </w:rPr>
        <w:t>: Through our Hefty Tableware segment, we sell both branded and store brand disposable and compostable plates, bowls, platters,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containers, cups and cutlery. Our Hefty branded products include dishes, party cups, cutlery and containers. Hefty branded party cups are the #1 party cup in America measured by market share. Our branded products use our Hefty brand to represent both quality and value, and we bring this same quality and value promise to all of our store brands as well. We sell across a broad range of materials and price points in all retail channels, allowing our consumers to select the product that best suits their price, function and aesthetic needs. In 2025, we launched the line of Hefty ECOSAVE Cutlery, a high quality compostable offering.</w:t>
      </w:r>
    </w:p>
    <w:p>
      <w:pPr>
        <w:spacing w:after="0" w:line="209" w:lineRule="exact"/>
        <w:rPr>
          <w:rFonts w:ascii="Times New Roman" w:cs="Times New Roman" w:eastAsia="Times New Roman" w:hAnsi="Times New Roman"/>
          <w:sz w:val="18"/>
          <w:szCs w:val="18"/>
          <w:color w:val="auto"/>
        </w:rPr>
      </w:pPr>
    </w:p>
    <w:p>
      <w:pPr>
        <w:jc w:val="both"/>
        <w:ind w:left="440" w:hanging="316"/>
        <w:spacing w:after="0" w:line="257"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Presto Products</w:t>
      </w:r>
      <w:r>
        <w:rPr>
          <w:rFonts w:ascii="Times New Roman" w:cs="Times New Roman" w:eastAsia="Times New Roman" w:hAnsi="Times New Roman"/>
          <w:sz w:val="18"/>
          <w:szCs w:val="18"/>
          <w:color w:val="auto"/>
        </w:rPr>
        <w:t>: Through our Presto Products segment, we primarily sell store brand products in three main consumer categories: food storage bags,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trash bags, and plastic wrap. Presto Products is a market leader in food storage bags and differentiates itself by providing access to category management, consumer insights, marketing, merchandising and research and development (“R&amp;D”) resources. Presto Products was the first in the U.S. market to offer a store branded sandwich bag made with an approximately 20% proprietary blend of plant and ocean, renewable materials. Our Presto Products segment also includes our specialty business, which serves other consumer products companies by providing Fresh-Lock and Slide-Rite resealable closure systems.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portfolio consists of four main product groups: cooking products, waste products, tableware products and storage products. Our consolidated net revenues by product line for fiscal years 2025, 2024 and 2023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Cooking products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Waste products</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Tableware products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Storage products</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3,721</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3,695</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3,756</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580" w:right="3140" w:hanging="5572"/>
        <w:spacing w:after="0" w:line="845" w:lineRule="auto"/>
        <w:tabs>
          <w:tab w:leader="none" w:pos="6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and storage products are comprised of our Hefty Waste &amp; Storage and Presto Products segments.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customer base includes leading grocery stores, mass merchants, warehouse clubs, discount chains, dollar stores, drug stores, home improvement stores, military outlets and eCommerce retailers. We sell both branded and store brand products across our customer base. We generally sell our branded products pursuant to informal trading policies and our store brand products under one year or multi-year agreements. Three customers each accounted for sales greater than 10% of our total net revenue for fiscal year 2025. Customers A, B and C accounted for 31%, 17% and 11%, respectively, of our total net revenue in fiscal year 2025. Customer A and Customer B are affiliated entities. Sales to Customer A are concentrated more heavily in our Hefty Waste &amp; Storage segment, and sales to Customer B are concentrated more heavily in our Hefty Tableware segment. Sales to Customer C are in our Reynolds Cooking &amp; Baking, Hefty Tableware and Presto Products segments.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year 2025, sales in North America and the United States represented 99% and 98% of our total sales, respectively.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Sales and Distribution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Through our sales and marketing organization, we are able to manage our relationships with customers at the national, regional and local levels, depending on their needs. We believe that our dedicated sales representatives, category management teams and our participation in both branded and store brand products create a significant competitive advantage.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direct sales force organized by channel, including mass merchants, warehouse clubs, grocery stores/all other and eCommerce retailers. Our sales force is responsible for sales across each of our segments and our portfolio of branded and store brand products. We complement our internal sales platform by selectively utilizing third-party brokers for certain products and customers. In addition to sales professionals, each of our top customers has a dedicated customer support team, including category management, production planning, demand planning and transportation planning teams, as well as dedicated customer service representatives.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utilize two routes of distribution to deliver our products to our customers in cases where customer pickup is not their preferred choice. In many cases, we ship directly from our manufacturing plants to the customer’s distribution center. Given the breadth of our product offerings, we are also able to optimize truckloads and reduce inventory for our retail partners by shipping trucks from our mixing centers filled with SKUs across all of our product categories.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household consumer products market is mature and highly competitive. Our competitive set consists of consumer products companies, including large and well-established multinational companies as well as smaller regional and local companies. These competitors include The Clorox Company, S.C. Johnson &amp; Son, Inc., Poly-America, Handi-Foil Corporation, Republic Plastics, Ltd., Trinidad Benham Corporation and Inteplast Group, Ltd. Within each product category, most of our products compete with other widely advertised brands and store brand products.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Competition in our categories is based on a number of factors including brand recognition, price, quality and innovation. We benefit from the strength of our brands, a differentiated portfolio of quality branded and store brand products, as well as significant capital investment in our manufacturing facilities. We believe the strong recognition of the Reynolds brand and Hefty brand among U.S. consumers gives us a competitive advantage. In addition, our largest customers choose us for our customer service, category management services and commitment to “Made in the U.S.A.” products.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Portions of our business have historically been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Reynolds Parchment Paper and disposable aluminum pans. Our tableware products generally have higher sales in the second and fourth quarters of the year, primarily due to outdoor summertime and holiday uses of disposable plates, cups, bowls and cutlery.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Raw Materials and Suppliers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diverse supplier base and are not reliant on any single supplier for our primary raw materials, including polyethylene, polystyrene and aluminum. We also purchase raw material additives, secondary packaging materials and finished products for resale. We source a significant majority of our resin requirements from domestic suppliers.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Centralized purchasing enables us to leverage the purchasing power of our operations and reduces our dependence on any one supplier. We generally have one to two year contracts with resin and aluminum suppliers, which have historically provided us with a steady supply of raw materials. In certain instances, we purchase selected finished goods from third-party suppliers to supplement capacity and source specialty items.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significant number of registered patents and registered trademarks, including Reynolds and Hefty, as well as several copyrights, which, along with our trade secrets and manufacturing know-how, help support our ability to add value within the market and sustain our competitive advantages. We have invested a considerable amount of resources in developing proprietary products and manufacturing capabilities, and we employ various methods, including confidentiality and non-disclosure agreements with third parties, employees and consultants, to protect our intellectual property. While in the aggregate our patents are of material importance to us, we believe that we are not dependent upon any single patent or group of patents.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licenses for commercially available software, we do not believe that any of our licenses from third parties are material to us taken as a whole.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any of our licenses to intellectual property rights granted to third parties are material to us taken as a whole.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objectives related to an engaged team include successfully identifying, recruiting, onboarding, retaining and incentivizing both new and existing employees. Our talent management and succession planning process includes the identification of primary succession roles based on current and future business strategies, the identification of potential successors and a plan for talent development. As of December 31, 2025, we employed approximately 6,000 people, most of whom are located in our U.S. and Canada manufacturing facilities. Approximately 23% of our employees are covered by collective bargaining agreements.</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Health &amp; Safety: </w:t>
      </w:r>
      <w:r>
        <w:rPr>
          <w:rFonts w:ascii="Times New Roman" w:cs="Times New Roman" w:eastAsia="Times New Roman" w:hAnsi="Times New Roman"/>
          <w:sz w:val="18"/>
          <w:szCs w:val="18"/>
          <w:color w:val="auto"/>
        </w:rPr>
        <w:t>We are committed to protecting the safety, health and security of our employees and that of the environments in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operate. We are firm in our policy that we will not compromise employee health and safety or the environment for profit or production. We are passionate about health and safety and pride ourselves on our strategy of prevention through proactive hazard identification and risk mitigation. Our cross-functional leaders and team members work collaboratively to identify hazards and to develop and implement control measures leveraging engineering solutions and new technology designed for risk elimination and reduction. Our safety performance continues to outperform the industry’s average safety performance by a significant margin, and we continue to progress toward our goal of zero incidents through increasing awareness of opportunities for improvement and implementing effective solutions to reduce risks associated with contact with equipment, slips, trips, and falls, as well as ergonomic hazards.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People &amp; Culture: </w:t>
      </w:r>
      <w:r>
        <w:rPr>
          <w:rFonts w:ascii="Times New Roman" w:cs="Times New Roman" w:eastAsia="Times New Roman" w:hAnsi="Times New Roman"/>
          <w:sz w:val="18"/>
          <w:szCs w:val="18"/>
          <w:color w:val="auto"/>
        </w:rPr>
        <w:t>We have built a culture based on treating others with respect and working collaboratively on shared goals. Our value of putting safety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first promotes a culture of caring and watching out for the safety of each other. Treating others with dignity, empathy and respect is the foundation of our culture. We value our relationships with our colleagues, retail partners, consumers, shareholders and communities. We are committed to communicating our goals, offering training and development opportunities and integrating an inclusive approach to talent management into our overall business strategy. We will continue to promote a culture that values our unique experiences and viewpoints as growing our understanding of how we can work better together. We will continue our efforts to build and retain a robust workforce that welcomes talent and capability to strengthen all aspects of our business.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committed to a workplace environment in which individual differences are recognized, respected and appreciated. Making Reynolds Consumer Products a great place to work is always at the forefront through our focus on continuously improving our recruitment processes and engaging our employees by providing a great candidate and welcoming new-hire experience. To support our plants, we have also created a comprehensive hourly employee recruiting strategy for a consistent and efficient approach to identifying and onboarding talent.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strongly believe in providing opportunities for individual growth and advancement in our exciting, dynamic and fast-paced manufacturing plants and offices. We are committed to continuing to build robust talent processes in the areas of workforce and succession planning, and a performance driven culture where people are recognized and rewarded for their contributions. In 2025, we implemented a people analytics platform connecting all of our human resources information systems to drive and enhance our data-driven decision-making capability.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Regulatory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many of our products are used in food packaging, our business is subject to regulations governing products that may contact food in all the countries in which we have operations. Our business is also subject to regulations governing advertising claims related to our products and practices, including regulations concerning representations that products are environmentally-friendly, have less of an environmental impact, or are sustainable. Future regulatory and legislative change can affect the economics of our business activities, lead to changes in operating practices, affect our customers and influence the demand for and the cost of providing products and services to our customers. We have implemented compliance programs and procedures designed to achieve compliance with applicable laws and regulations.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various national, state, local, foreign and international environmental, health and safety laws, regulations and permits. Among other things, these requirements regulate the emission or discharge of materials into the environment, govern the use, storage, treatment, disposal and management of hazardous substances and wastes, protect the health and safety of our employees, regulate the materials used in and the recycling of our products and impose liability, which can be strict, joint and several, for the costs of investigating and remediating, and damages resulting from, present and past releases of hazardous substances related to our current and former sites, as well as at third party sites where we or our predecessors have sent hazardous waste for disposal. Many of our manufacturing facilities require environmental permits, such as those limiting air emissions.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increased scrutiny of the environmental impact of single-use plastic products, particularly expanded polystyrene (foam), has led to new regulations and bans or restrictions on their sale in some jurisdictions. These regulations often focus on food ware items and could limit the products and materials we can sell in certain markets.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Governmental authorities in the United States and abroad continue to adopt or propose legislation governing packaging and “packaging-like products.” These laws such as Extended Producer Responsibility (“EPR”) laws, post-consumer recycled (“PCR”) content laws and product labeling laws such as California SB 343, are intended to promote a circular economy, reduce plastic waste, mandate the use of recycled materials, regulate environmental marketing claims and prohibit certain substances in packaging and packaging-like products.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EPR laws, enacted in several U.S. states and most Canadian provinces, aim to transfer the financial responsibility for disposing of packaging and, in several instances, packaging-like products, such as storage items, to the producers. These laws require producers to submit reports on packaging and packaging-like product supply, pay fees based on prior-year supply data and comply with state-specific policies to meet recyclability, compostability or reusability criteria.</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lack of a uniform regulatory framework across the United States has created a complex and fragmented compliance environment. This variability adds complexity to our national marketing, product development and sales strategies. We have implemented compliance programs and procedures designed to ensure adherence with applicable laws and regulations.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as environmental issues, such as climate change, have become more prevalent, governments have responded, and are expected to continue to respond, with increased legislation and regulation, which could negatively affect us. For example, the United States Congress has in the past considered legislation to reduce emissions of greenhouse gases. In addition, the Environmental Protection Agency is regulating certain greenhouse gas emissions under existing laws such as the Clean Air Act. A number of states and local governments in the United States have also implemented or announced their intentions to implement their own programs to reduce greenhouse gases.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various laws and regulations related to data privacy and protection, including the California Consumer Privacy Act of 2018 (“CCPA”) and the European Union’s General Data Protection Regulation (“GDPR”). We have internal programs in place to manage and monitor global compliance with these various requirements.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site that contains reports, proxy and information statements, and other information regarding issuers that file electronically with the SEC at http://www.sec.gov.</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make financial information, news releases and other information available on our corporate website at www.reynoldsconsumerproducts.com. Our annual reports on Form 10-K, quarterly reports on Form 10-Q, current reports on Form 8-K, and any amendments to those reports filed or furnished pursuant to Section 13(a) or 15(d) of the Securities Exchange Act of 1934 (the “Exchange Act”) are available free of charge on this website as soon as reasonably practicable after we electronically file these reports and amendments with, or furnish them to, the SEC. Our board has adopted a code of business conduct and ethics that applies to all of our employees, officers and directors, including our Chief Executive Officer, Chief Financial Officer and other executive and senior financial officers, the full text of which is posted on the investor relations section of our website at www.reynoldsconsumerproducts.com. We intend to disclose future amendments to our code of business conduct and ethics, or any waivers of such code, on our website or in public filings.</w:t>
      </w:r>
    </w:p>
    <w:p>
      <w:pPr>
        <w:spacing w:after="0" w:line="3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contained on or connected to our website is not incorporated by reference into this Annual Report on Form 10-K and should not be considered part of this or any other report filed with the SEC.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in addition to the other information set forth in this Annual Report on Form 10-K, including the Management’s Discussion and Analysis of Financial Condition and Results of Operations section and the consolidated financial statements and related notes. If any of the following risks actually occurs, our business, financial condition and results of operations could be materially adversely affected. The risks discussed below are not the only risks we face. Additional risks or uncertainties not currently known to us, or that we currently deem immaterial, may also have a material adverse effect on our business, financial condition, prospects, results of operations, cash flows or price of our securities.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Growth and Profitability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anticipate and respond to changes in consumer preferences.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consumer products company and believe that our success depends, in part, on our ability to leverage our existing brands and products to drive increased sales and profits. This depends on our ability to identify and offer products at attractive prices that appeal to consumer tastes and preferences, which are difficult to predict and evolve over time. Our ability to implement this strategy depends on, among other things, our ability to:</w:t>
      </w:r>
    </w:p>
    <w:p>
      <w:pPr>
        <w:spacing w:after="0" w:line="68" w:lineRule="exact"/>
        <w:rPr>
          <w:sz w:val="20"/>
          <w:szCs w:val="20"/>
          <w:color w:val="auto"/>
        </w:rPr>
      </w:pPr>
    </w:p>
    <w:p>
      <w:pPr>
        <w:ind w:left="440" w:hanging="316"/>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offer to our customers products that consumers want at competitive prices;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 new and appealing products and innovate successfully on our existing products;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consumer interest in our brands;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brand recognition and loyalty.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not be able to implement this strategy successfully, which could materially and adversely affect our sales and business, financial condition and results of operations.</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maintaining satisfactory relationships with our major customers, and significant consolidation among our customers, or the loss of a significant customer, could decrease demand for our products or reduce our profitability.</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customers are large and possess significant market leverage, which results in significant downward pricing pressure and can constrain our ability to pass through price increases. We generally sell our branded products pursuant to informal trading policies and our store brand products under one year or multi-year agreements. Our contracts generally do not obligate the customer to purchase any given amount of product. If our major customers reduce purchasing volumes or stop purchasing our products for any reason, our business and results of operations would likely be materially and adversely affected. It is possible that we will lose customers, which may materially and adversely affect our business, financial condition and results of operations.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a relatively small number of customers for a significant portion of our revenue. In 2025, sales to our top ten customers accounted for 74% of our total revenue. Three customers each accounted for sales greater than 10% of our total net revenue in 2025. Customers A, B and C accounted for 31%, 17% and 11%, respectively, of our total revenue. Customer A and Customer B are affiliated entities. Sales to Customer A are concentrated more heavily in our Hefty Waste &amp; Storage segment, and sales to Customer B are concentrated more heavily in our Hefty Tableware segment. Sales to Customer C are in our Reynolds Cooking &amp; Baking, Hefty Tableware and Presto Products segments. The loss of any of our significant customers would have a material adverse effect on our business, financial condition and results of operations.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over the last several years, there has been a trend toward consolidation among our customers in the retail industry and we expect that this trend will continue. Consolidation among our customers could increase their ability to apply pricing pressure, and thereby force us to reduce our selling prices or lose sales. In addition, following a consolidation, our customers may close stores, reduce inventory or switch suppliers. Any of these factors could negatively impact our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competitive markets.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in competitive markets. Our main competitors include The Clorox Company, S.C. Johnson &amp; Son, Inc., Poly-America, Handi-Foil Corporation, Republic Plastics, Ltd., Trinidad Benham Corporation and Inteplast Group, Ltd. Although capital costs, intellectual property and technology may create barriers to entry, we face the threat of competition from new entrants to our markets as well as from existing competitors, including competitors outside the United States who may have lower production costs. Our customers continuously evaluate their suppliers, often resulting in downward pricing pressure and increased pressure to continuously introduce and commercialize innovative new products, improve customer service, maintain strong relationships with our customers and, where applicable, develop and maintain brands that are meaningful to consumers. If our products fail to compete successfully with other branded or private label offerings, demand for our products and our sales and profitability could be negatively impacted.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any of our key manufacturing facilities or of those of our key suppliers could have an adverse effect on our business.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products are manufactured at a single location. For example, our Malvern, Arkansas plant is our sole producer of foil reroll for our Louisville, Kentucky and Wheeling, Illinois plants, which in turn are our sole producers of household foil. The loss of the use of all or a portion of any of our key manufacturing facilities, especially one that is a sole producer, or the loss of any key suppliers, due to any reason, including an accident, labor issues, weather conditions, natural disaster, a disease outbreak (including epidemics, pandemics or similar widespread public health concerns), cyber-attacks against information systems (such as ransomware) or otherwise, could have a material adverse effect on our business, financial condition and results of operations.</w:t>
      </w:r>
    </w:p>
    <w:p>
      <w:pPr>
        <w:spacing w:after="0" w:line="2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has been and continues to be impacted by fluctuations in raw material, energy and freight costs, including the impact of tariffs and similar matters.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Fluctuations in raw material and energy costs have adversely affected, and could in the future adversely affect, our business, financial condition and results of operations. Raw material costs represent a significant portion of our cost of sales. The primary raw materials we use are plastic resins, particularly polyethylene and polystyrene, and aluminum. The prices of our raw materials have fluctuated significantly in recent years. Aluminum prices have been historically volatile as aluminum is a cyclical commodity with prices subject to global market factors. Resin prices have also historically fluctuated with changes in crude oil and natural gas prices as well as changes in refining capacity and the demand for other petroleum-based products. We experienced significant increases in material costs in 2025, particularly in aluminum prices, which negatively impacted our results. Significant increases in material costs could also occur in future periods, which could negatively impact our future results.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Raw material costs are also impacted by governmental actions, such as tariffs and trade sanctions. For example, the imposition by the U.S. government of tariffs on products imported from certain countries and trade sanctions against certain countries have introduced greater uncertainty with respect to policies affecting trade between the United States and other countries and have impacted the cost of certain raw materials used in our business, including aluminum and resin. Further developments in trade relations, including the imposition of new or increased tariffs by the United States and/or other countries, could have a material adverse effect on our business, financial condition and results of operations.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do not enter into long-term fixed price purchase contracts for our principal raw materials. The majority of sales contracts for our products generally do not contain contractual cost pass-through mechanisms for raw material costs. Where our contracts use such pass-through mechanisms, differences in timing between purchases of raw materials and sales to customers can create a “lead lag” effect during which margins are negatively impacted when raw material costs rise and positively impacted when raw material costs fall. We adjust prices, where possible, to attempt to mitigate the effect of production cost increases, including raw materials, but these increases are not always possible or may not cover the increased raw material costs.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manufacturing operations and distribution network rely heavily on a stable and continuous supply of electricity. Increasing frequency of power grid instability, whether due to aging infrastructure, extreme weather events, cyberattacks, or regulatory changes, could disrupt production schedules and increase operating costs. Extended outages or inconsistent power quality may require us to invest in alternative energy sources which could result in significant capital expenditures. Additionally, volatility in energy prices may lead to higher utility costs and impact margins. While we seek to mitigate these risks through energy management programs and supplier agreements, we cannot guarantee that such measures will fully offset potential cost increases or operational disruptions. Any prolonged instability could adversely affect our financial condition, results of operations, and cash flows.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distribute our products and receive raw materials primarily by rail and truck. Reduced availability of rail or trucking capacity has caused us, and may continue to cause us, to incur unanticipated expenses and impair our ability to distribute our products or receive our raw materials in a timely manner, which could disrupt our operations, strain our customer relations and adversely affect our operating profits. In particular, reduced trucking capacity, due to a shortage of drivers, the federal regulation requiring drivers to electronically log their driving hours and adverse weather conditions, among other reasons, have caused an increase in our cost of transportation, and could continue to do so in the future.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interruption in our supply of energy or raw materials could harm our business, financial condition and results of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dependent on our suppliers for an uninterrupted supply of energy and key raw materials in a timely manner. The supply of these materials could be disrupted for a wide variety of reasons, including political and economic instability, the financial stability of our suppliers, their ability to meet our standards, labor problems, extreme weather events, the availability and prices of raw materials, currency exchange rates, transport availability and cost, transport security and inflation, power grid instability, and other factors beyond our control. We have written contracts with some but not all of our key suppliers, and where we have written contracts, they generally include force majeure clauses that excuse the supplier’s failure to supply in certain circumstances. Any interruption in the supply of energy or raw materials for an extended period of time could have a material adverse effect on our business, financial condition and results of operations.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shortages and increased labor costs have had and could have a material adverse effect on our business and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Labor costs in the United States continue to rise, and our industry has, and could again, experience a shortage of workers. Labor is one of the primary components in the cost of operating our business. If we face labor shortages and incur further increases to labor costs as a result of increased competition for employees, higher employee turnover rates, increases in the federal, state or local minimum wage or other employee benefit costs, our operating expenses could increase and our growth and results of operations could be adversely impacted.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brands are critical to our success.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compete successfully depends on our ability to develop and maintain brands that are meaningful to consumers. The development and maintenance of such brands requires significant investment in product innovation, brand-building, advertising and marketing. We focus on developing innovative products to address consumers’ unmet needs and introducing store brand products that emulate other popular branded consumer products, and, as a result, may increase our expenditures for advertising and other brand-building or marketing initiatives. However, these initiatives may not deliver the desired results, which could adversely affect our business and the recoverability of the trade names recorded on our balance sheet, which could materially and adversely affect our business, financial condition and results of operations.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has been, and could continue to be, impacted by changes in consumer lifestyle and environmental concerns, as well as current and future laws and regulations related to environmental matters.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consumer demand for the types of products we offer resulting from shifts in consumer expectations and purchasing preferences, including those related to environmental sustainability, could materially affect our business, financial condition and results of operations.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example, increased scrutiny of the environmental impact of single-use plastic products, particularly expanded polystyrene (foam), has led to new regulations and bans or restrictions on their sale in some jurisdictions. These measures have had a material impact on sales of foam products in our Hefty Tableware segment, as these regulations often focus on food ware items, and could limit the products and materials we can sell in certain markets.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governmental authorities in the United States and abroad continue to adopt or propose legislation governing packaging and “packaging-like products.” These laws, such as EPR laws, PCR content laws and product labeling laws like California SB 343, are intended to promote a circular economy, reduce plastic waste, mandate the use of recycled materials, regulate environmental marketing claims, and prohibit certain substances in packaging and packaging-like products.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EPR laws, enacted in several U.S. states and most Canadian provinces, aim to transfer the financial responsibility for disposing of packaging and, in several instances, packaging-like products, such as storage items, to the producers. These laws require producers to submit reports on packaging and packaging-like product supply, pay fees based on prior-year supply data and comply with state-specific policies to meet recyclability, compostability or reusability criteria.</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lack of a uniform regulatory framework across the United States has created a complex and fragmented compliance environment. This variability adds complexity to our national marketing, product development and sales strategies.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Regulatory and legislative changes may affect the economics of our business activities, prompt changes in our operating practices, influence our customers, or alter demand for and the cost of our products. Sustainability considerations have also gained increasing consumer attention and are expected to remain an important factor in brand management and purchasing decisions. Shifts in consumer concerns or preferences may reduce demand for certain existing products, require increased expenditures to adapt to these expectations or create new challenges in responding through innovation or through the acquisition of capabilities or assets we do not currently possess. Any of these outcomes could materially and adversely affect our business, financial condition or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affected by economic downturns in the markets that we serve and in the regions that supply our raw materials.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impacted by market conditions in the retail industry and consumer demand for our products, which in turn are affected by general economic conditions. Downturns or periods of economic weakness or increased prices in these consumer markets have resulted in the past, and could result in the future, in decreased demand for our products. For example, uncertainty about future economic conditions globally, and in the United States in particular, could lead to declines in consumer spending and consumption and cause our customers to purchase fewer of our products.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conditions could also impact our ability to manage our inventory levels to meet customers’ demand for our products. Our production levels and inventory management goals for our products are based on estimates of demand, taking into account production capacity, timing of shipments and inventory levels. If market conditions change, resulting in us overestimating or underestimating demand for any of our products during a given season, we may not maintain appropriate inventory levels, which could materially and adversely affect our business, financial condition and results of operations.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Global supply chain issues and other macroeconomic factors in the past have resulted in an inflationary environment that led to increased raw material costs and other input costs. The additional costs resulting from this inflationary environment and its constraints to our supply chain and distribution networks may again unfavorably impact our gross margin and operating results in future periods.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and assumptions on which our financial projections are based may prove to be inaccurate, which may cause our actual results to materially differ from such projections, which may adversely affect our future profitability, cash flows and stock price.</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projections, including any sales and earnings guidance or outlook we may provide from time to time, are dependent on certain estimates and assumptions. Our financial projections are based on historical experience, various other estimates and assumptions that we believe to be reasonable under the circumstances and at the time they are made, but our actual results may differ materially from our financial projections. Any material variation between the Company’s financial projections and its actual results may adversely affect the Company’s future profitability, cash flows and stock price.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profitability and cash flows could suffer if we are unable to execute on our strategic initiatives.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While we continue to work on various incremental cost savings programs, operational excellence improvements, and product innovation including sustainable development, if we cannot successfully implement these strategic initiatives, or if the cost of making these changes increases, we may not realize all anticipated benefits, which could materially and adversely affect our business, financial condition and results of operations.</w:t>
      </w:r>
    </w:p>
    <w:p>
      <w:pPr>
        <w:spacing w:after="0" w:line="28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Sales growth objectives may be difficult to achieve, we may not be able to achieve our innovation goals, develop and introduce new products and line extensions or expand into adjacent categories and countries, and we may not be able to successfully implement price increases; further, changes to our product mix may adversely impact our financial condition and results of operations.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in mature markets that are subject to high levels of competition. Our future performance and growth depend on innovation and our ability to successfully develop or license capabilities to introduce new products, brands, line extensions and product innovations or enter into or expand into adjacent product categories, sales channels or countries. Our ability to quickly innovate in order to adapt our products to meet changing consumer demands is essential, especially in light of eCommerce and direct-to-consumer channels significantly reducing the barriers for even small competitors to quickly introduce new brands and products directly to consumers. The development and introduction of new products require substantial and effective research and development and demand creation expenditures, which we may be unable to recoup if the new products do not gain widespread market acceptance. If we are unable to increase market share in existing product lines, develop product innovations, undertake sales, marketing and advertising initiatives that grow our product categories, effectively and responsibly adopt new technologies, including artificial intelligence, and/or develop, acquire or successfully launch new products or brands, we may not achieve our sales growth objectives.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effective and integrated systems are required for us to gather and use consumer data and information to successfully market our products. New product development and marketing efforts, including efforts to enter markets or product categories in which we have limited or no prior experience, have inherent risks, including product development or launch delays. These could result in us not being the first to market and the failure of new products, brands or line extensions to achieve anticipated levels of market acceptance. If product introductions or new or expanded adjacencies are not successful, costs associated with these efforts may not be fully recouped and our results of operations could be adversely affected. In addition, if sales generated by new products cause a decline in sales of our existing products, our financial condition and results of operations could be materially adversely affected. Even if we are successful in increasing market share within particular product categories, a decline in the markets for such product categories could have a negative impact on our financial results. In addition, in the future, our growth strategy may include expanding our international operations, which would be subject to foreign market risks, including, among others, foreign currency fluctuations, economic or political instability and additional tariffs and trade restrictions, which could adversely affect our financial results.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have implemented price increases and may implement additional price increases in the future, which may slow sales growth or create volume declines as customers and consumers react to these price increases. Competitors may or may not take competitive actions, which may lead to sales declines and loss of market share for us. In addition, changes to the mix of products that we sell or product portfolio optimization efforts may adversely impact our net sales, profitability and cash flow.</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liabilities, experience harm to our reputation and brands, or be forced to recall products as a result of real or perceived product quality or other product-related issues.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have quality control measures and systems in place that are designed to ensure that the safety and quality of our products are maintained, the consequences of not being able to do so could be severe, including adverse effects on consumer health, our reputation, the loss of customers and market share, financial costs and loss of revenue. If any of our products are found to be defective, we could be required to or may voluntarily recall such products, which could result in adverse publicity, significant expenses and a disruption in sales and could affect our reputation and that of our products. In addition, if any of our competitors or customers supply faulty or contaminated products to the market, our industry could be negatively impacted, which in turn could have adverse effects on our business.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widespread use of social media and networking sites by consumers has greatly increased the speed and accessibility of information dissemination. Negative publicity, posts or comments on social media or networking sites about us or our brands, whether accurate or inaccurate, or disclosure of non-public sensitive information about us, could be widely disseminated through the use of social media. Such events, if they were to occur, could harm our image and adversely affect our business, as well as require resources to rebuild our reputation.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affected by seasonality.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Portions of our business have historically been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Reynolds Parchment Paper and disposable aluminum pans. Our tableware products generally have higher sales in the second and fourth quarters of the year, primarily due to outdoor summertime and holiday uses of disposable plates, cups, bowls and cutlery. As a result of this seasonality, any factors negatively affecting us during these periods of any year, including unfavorable economic conditions, could have a material adverse effect on our financial condition and results of operations for the entire year. Because of quarterly fluctuations caused by these and other factors, comparisons of our operating results across different fiscal quarters may not be accurate indicators of our future performance.</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our key management and other personnel, or an inability to attract new management and other personnel, could negatively impact our business, financial condition and results of operations.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depend on our senior executive officers and other key personnel to operate our businesses, develop new products and technologies and service our customers. The loss of any of these key personnel could adversely affect our operations. From time to time there may be changes to key personnel. For example during 2025, we experienced changes in our executive leadership team to align with our strategic objectives. Any significant leadership change or senior management transition involves inherent risks, and any failure to successfully transition key roles could impact our ability to execute on our strategic plans, make it difficult to meet our performance objectives and be disruptive to our business.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Competition is intense for qualified personnel and the loss of them or an inability to attract, retain and motivate additional highly skilled personnel required for the operation and expansion of our business could hinder our ability to successfully conduct research and development activities or develop and support marketable products. Additionally, the high U.S. employment levels in our industry in recent years have increased turnover as compared to prior periods at some of our facilities and made hiring and retaining hourly employees more difficult. Any of these factors could have a material adverse effect on our business, financial condition and results of operations.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difficulty acquiring or integrating product lines or businesses, which could impact our business, financial condition and results of operations.</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continue to pursue acquisitions of brands, businesses, assets or technologies from third parties. Acquisitions and their pursuits can involve numerous risks, including, among other things:</w:t>
      </w:r>
    </w:p>
    <w:p>
      <w:pPr>
        <w:spacing w:after="0" w:line="54" w:lineRule="exact"/>
        <w:rPr>
          <w:sz w:val="20"/>
          <w:szCs w:val="20"/>
          <w:color w:val="auto"/>
        </w:rPr>
      </w:pPr>
    </w:p>
    <w:p>
      <w:pPr>
        <w:ind w:left="440" w:hanging="3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realizing the full extent of the expected benefits or synergies as a result of a transaction, within the anticipated time frame, or at all;</w:t>
      </w:r>
    </w:p>
    <w:p>
      <w:pPr>
        <w:spacing w:after="0" w:line="117"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the operations, technologies, services, products and systems of the acquired brands, assets or businesses in an effective, timely and cost-efficient manner;</w:t>
      </w:r>
    </w:p>
    <w:p>
      <w:pPr>
        <w:spacing w:after="0" w:line="53"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priorities;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operating in new lines of business, channels of distribution or markets;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employees, partners, suppliers and customers of the acquired business;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conforming standards, controls, procedures and policies of the acquired business with our own;</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unforeseen risks and liabilities associated with acquired businesses;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developing or launching products with acquired technologies;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unanticipated problems or liabilities.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Acquisitions could result in the assumption of contingent liabilities. In addition, to the extent that the economic benefits associated with an acquisition or investment diminish in the future or the performance of an acquired company or business is less robust than expected, we may be required to record impairments of any acquired intangible assets, including goodwill. Any impairment charges could adversely affect our financial position.</w:t>
      </w:r>
    </w:p>
    <w:p>
      <w:pPr>
        <w:spacing w:after="0" w:line="2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maintaining and enforcing sufficient intellectual property rights to protect our business, or in avoiding claims that we infringe on the intellectual property rights of others.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intellectual property rights such as patents, trademarks and copyrights, as well as unpatented proprietary knowledge and trade secrets, to protect our business. However, these rights do not afford complete protection against third parties. For example, patents, trademarks and copyrights are territorial; thus, our business will only be protected by these rights in those jurisdictions in which we have been issued patents or have trademarks or copyrights, or have obtained licenses to use such patents, trademarks or copyrights. Even so, the laws of certain countries may not protect our intellectual property rights to the same extent as do the laws of the United States. Additionally, there can be no assurance that others will not independently develop knowledge and trade secrets that are similar to ours, or develop products or brands that compete effectively with our products and brands without infringing, misusing or otherwise violating any of our intellectual property rights.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be certain that any of our current or pending patents, trademarks and copyrights will provide us with sufficient protection from competitors, or that any intellectual property rights we do hold will not be invalidated, circumvented or challenged in the future. There is also a risk that we will not be able to obtain and perfect or, where appropriate, license, the intellectual property rights necessary to support new product introductions and product innovations. Additionally, we have licensed, and may license in the future, patents, trademarks, trade secrets and other intellectual property rights to third parties. While we attempt to ensure that our intellectual property rights are protected when entering into business relationships, third parties may take actions that could materially and adversely affect our rights or the value of our intellectual property rights.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Third parties may copy or otherwise obtain and use our proprietary knowledge or trade secrets without authorization or infringe, misuse or otherwise violate our other intellectual property rights. For example, our brand names, especially Reynolds, Hefty, Diamond and Presto, are well-established in the market and have attracted infringers in the past. Additionally, we may not be able to prevent current and former employees, contractors and other parties from misappropriating our confidential and proprietary knowledge. Infringement, misuse or other violation of any of our intellectual property rights may dilute or diminish the value of our brands and products in the marketplace, which could adversely affect our results of operations and make it more difficult for us to maintain a strong market position.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and brands may infringe on the intellectual property rights of others, and in the past we have been, and in the future we may be, subject to claims asserting infringement, misuse or other violation of intellectual property rights and seeking damages, the payment of royalties or licensing fees, and/or injunctions against the sales of our products. If we are found to have infringed, misused or otherwise violated the intellectual property rights of others, we could be forced to pay damages, cease use of such intellectual property or, if we are given the opportunity to continue to use the intellectual property rights of others, we could be required to pay a substantial amount for continued use of those rights. In any case, such claims could be protracted and costly and could have a material adverse effect on our business and results of operations regardless of their outcome.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 are a material component of our balance sheet and impairments of these assets could have a significant impact on our results.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recorded a significant amount of goodwill and indefinite-lived intangible assets, representing our Reynolds and Hefty trade names, on our balance sheet. We test the carrying values of goodwill and indefinite-lived intangible assets for impairment at least annually and whenever events or circumstances indicate the carrying value may not be recoverable. The estimates and assumptions about future results of operations and cash flows made in connection with impairment testing could differ from future actual results of operations and cash flows. While we concluded that our goodwill and indefinite-lived intangible assets were not impaired during our annual impairment review performed during the fourth quarter of 2025, future events could cause us to conclude that the goodwill associated with a given reporting unit, or one of our indefinite-lived intangible assets, may have become impaired. Any resulting impairment charge, although non-cash, could have a material adverse effect on our results of operations and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workforce is covered by collective bargaining agreements, and our business could be harmed in the event of a prolonged work stoppage.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Approximately 23% of our employees are covered by collective bargaining agreements. If we encounter difficulties with renegotiations or renewals of collective bargaining arrangements or are unsuccessful in those efforts, we could incur additional costs and experience work stoppages. We cannot predict how stable our union relationships will be or whether we will be able to successfully negotiate successor collective bargaining agreements without impacting our financial condition. In addition, the presence of unions may limit our flexibility in dealing with our workforce. Work stoppages could negatively impact our ability to manufacture our products on a timely basis, which could have a material adverse effect on our results of operations and financial condition.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legislation initiatives or challenges to our tax positions could adversely affect our operations and financial condition.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tax laws and regulations of the U.S. federal, state and local governments. From time to time, legislative measures may be enacted that could adversely affect our overall tax positions regarding income or other taxes. There can be no assurance that our effective tax rate or tax payments will not be adversely affected by these legislative measures.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U.S. federal, state and local tax laws and regulations are extremely complex and subject to varying interpretations. There can be no assurance that our tax positions will be sustained if challenged by relevant tax authorities and if not sustained, there could be a material adverse effect on our results of operations, financial condition and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Impacts associated with a future pandemic and associated responses could adversely impact our business and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future pandemic or health epidemic could adversely impact our business and results of operations in a number of ways, including but not limited to:</w:t>
      </w:r>
    </w:p>
    <w:p>
      <w:pPr>
        <w:spacing w:after="0" w:line="117" w:lineRule="exact"/>
        <w:rPr>
          <w:sz w:val="20"/>
          <w:szCs w:val="20"/>
          <w:color w:val="auto"/>
        </w:rPr>
      </w:pPr>
    </w:p>
    <w:p>
      <w:pPr>
        <w:ind w:left="440" w:right="20" w:hanging="316"/>
        <w:spacing w:after="0" w:line="282"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shutdown, disruption or less than full utilization of one or more of our manufacturing, warehousing or distribution facilities, or disruption in our supply chain or customer base, including but not limited to, as a result of illness, government restrictions or other workforce disruptions;</w:t>
      </w:r>
    </w:p>
    <w:p>
      <w:pPr>
        <w:spacing w:after="0" w:line="53"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 parties on which we rely, including but not limited to those that supply our raw materials and other necessary operating materials, co-manufacturers and independent contractors, to meet their obligations to us, or significant disruptions in their ability to do so;</w:t>
      </w:r>
    </w:p>
    <w:p>
      <w:pPr>
        <w:spacing w:after="0" w:line="53"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responses in markets where we manufacture, sell or distribute our products, or in the markets of third parties on which we rely, preventing or disrupting our business operations;</w:t>
      </w:r>
    </w:p>
    <w:p>
      <w:pPr>
        <w:spacing w:after="0" w:line="53"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in certain areas such as front-line employee compensation, as well as incremental costs associated with newly added health screenings, temperature checks and enhanced cleaning and sanitation protocols to protect our employees;</w:t>
      </w:r>
    </w:p>
    <w:p>
      <w:pPr>
        <w:spacing w:after="0" w:line="53" w:lineRule="exact"/>
        <w:rPr>
          <w:rFonts w:ascii="Times New Roman" w:cs="Times New Roman" w:eastAsia="Times New Roman" w:hAnsi="Times New Roman"/>
          <w:sz w:val="18"/>
          <w:szCs w:val="18"/>
          <w:color w:val="auto"/>
        </w:rPr>
      </w:pPr>
    </w:p>
    <w:p>
      <w:pPr>
        <w:jc w:val="both"/>
        <w:ind w:left="440" w:hanging="316"/>
        <w:spacing w:after="0" w:line="266"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reductions or volatility in demand for one or more of our products, which may be caused by, among other things: the temporary inability of consumers to purchase our products due to illness, quarantine or other travel restrictions, or financial hardship; or other pandemic related restrictions impacting consumer behavior;</w:t>
      </w:r>
    </w:p>
    <w:p>
      <w:pPr>
        <w:spacing w:after="0" w:line="67"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respond to or capitalize on increased demand, including challenges and increased costs associated with adding capacity and related staffing issues;</w:t>
      </w:r>
    </w:p>
    <w:p>
      <w:pPr>
        <w:spacing w:after="0" w:line="53"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demand for or availability of our products as a result of retailers, distributors or carriers modifying their inventory, fulfillment or shipping practices; and</w:t>
      </w:r>
    </w:p>
    <w:p>
      <w:pPr>
        <w:spacing w:after="0" w:line="53"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unknown duration and magnitude of a pandemic and all of its related impacts.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and other impacts of a pandemic could have the effect of heightening many of the other risk factors disclosed in this Annual Report on Form 10-K. The ultimate impact depends on the severity and duration of the pandemic and actions taken by governmental authorities and other third parties in response, each of which is uncertain and difficult to predict. Any of these disruptions could adversely impact our business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Liquidity and Indebtedness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debt, which could adversely affect our financial condition and ability to operate our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we had $1,586 million of outstanding indebtedness under our senior secured term loan facility (“Term Loan Facility”) maturing in 2032 and $693 million of borrowing capacity under our senior secured revolving credit facility (“Revolving Facility”) maturing in 2029 (the Term Loan Facility and the Revolving Facility, the “External Debt Facilities”). Our debt level and related debt service obligations:</w:t>
      </w:r>
    </w:p>
    <w:p>
      <w:pPr>
        <w:spacing w:after="0" w:line="68" w:lineRule="exact"/>
        <w:rPr>
          <w:sz w:val="20"/>
          <w:szCs w:val="20"/>
          <w:color w:val="auto"/>
        </w:rPr>
      </w:pPr>
    </w:p>
    <w:p>
      <w:pPr>
        <w:ind w:left="440" w:hanging="316"/>
        <w:spacing w:after="0" w:line="282" w:lineRule="auto"/>
        <w:tabs>
          <w:tab w:leader="none" w:pos="4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significant cash flow to the payment of principal of, and interest on, our debt, which reduces the funds we have available for other purposes, including working capital, capital expenditures and general corporate purposes;</w:t>
      </w:r>
    </w:p>
    <w:p>
      <w:pPr>
        <w:spacing w:after="0" w:line="53"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limit our flexibility in planning for or reacting to changes in our business and market conditions or in funding our strategic growth plan;</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us financial and operational restrictions;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interest rate risk on our debt obligations bearing interest at variable rates.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restrictions could adversely affect our financial condition and limit our ability to successfully implement our growth strategy.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need additional financing to support our business and pursue our growth strategy, including for strategic acquisitions. Our ability to obtain additional financing, if and when required, will depend on investor demand, our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those of our common stock, and, in the case of equity and equity-linked securities, our existing stockholders may experience dilution.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interest rates have increased and could continue to increase our interest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debt bears interest at variable rates, and we may incur additional variable interest rate indebtedness in the future. This exposes us to interest rate risk, and while we have entered into a series of interest rate swaps to mitigate the risk of variable rate debt, any interest rate swaps we enter into in order to reduce interest rate volatility may not fully mitigate our interest rate risk. As of December 31, 2025, the unhedged portion of our Term Loan Facility was approximately $586 million, and any borrowings under our Revolving Facility are subject to interest rate volatility.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Higher interest rates during the year ended December 31, 2023, increased our debt service obligations on the unhedged variable rate indebtedness, and our net income and cash flows, including cash available for servicing our indebtedness, had correspondingly decreased. Further increases in interest rates on unhedged debt could further reduce our net income and cash flows, including cash available for servicing our indebtedness.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Regulatory and Compliance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regulation and we may incur material liabilities under, or costs in order to comply with, existing or future laws and regulations.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products come into contact with food when used, and the manufacture, packaging, labeling, storage, distribution, advertising and sale of such products are subject to various laws designed to protect human health and the environment. For example, in the United States, many of our products are regulated by the Food and Drug Administration (including applicable current good manufacturing practice regulations) and/or the Consumer Product Safety Commission, and our product claims and advertising are regulated by the Federal Trade Commission. Most states have agencies that regulate in parallel to these federal agencies. Liabilities under, and/or costs of compliance, and the impact on us of any non-compliance with any such laws and regulations could materially and adversely affect our business, financial condition and results of operations. In addition, changes in the laws and regulations which we are subject to could impose significant limitations and require changes to our business, which in turn may increase our compliance expenses, make our business more costly and less efficient to conduct, and compromise our growth strategy.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incur significant liabilities related to, and significant costs in complying with, environmental, health and safety laws, regulations and permits.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operations are subject to various national, state, local, foreign and international environmental, health and safety laws, regulations and permits that govern, among other things, the emission or discharge of materials into the environment; the use, storage, treatment, disposal, management and release of hazardous substances and wastes; the health and safety of our employees and the end-users of our products; and the materials used in, and the recycling of, our products. These laws and regulations impose liability, which can be strict, joint and several, for the costs of investigating and remediating, and damages resulting from, present and past releases of hazardous substances related to our current and former sites, as well as at third party sites where we or our predecessors have sent waste for disposal. Non-compliance with, or liability related to, these laws, regulations and permits, which tend to become more stringent over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time, could result in substantial fines or penalties, injunctive relief, requirements to install pollution control devices or other controls or equipment, civil or criminal sanctions, permit revocations or modifications and/or facility shutdowns, and could expose us to costs of investigation or remediation, as well as tort claims for property damage or personal injury, and could limit production.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 number of governmental authorities, both in the United States and abroad, have considered, and are expected to consider, legislation aimed at reducing the amount of plastic waste. Programs have included banning certain types of products, mandating certain rates of recycling and/or the use of recycled materials, imposing deposits or taxes on plastic bags and packaging material, imposing extended producer responsibility and requiring retailers or manufacturers to take back packaging used for their products. Such legislation, as well as voluntary initiatives, aimed at reducing the level of plastic waste could reduce the demand for certain plastic products, result in greater costs for manufacturers of plastic products or otherwise impact our business, financial condition and results of operations. Additional regulatory efforts addressing other environmental or safety concerns in the future could similarly impact our operations and financial results.</w:t>
      </w:r>
    </w:p>
    <w:p>
      <w:pPr>
        <w:spacing w:after="0" w:line="2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matters, including those related to climate change and sustainability, may have an adverse effect on our business, financial condition and results of operations and impact our reputation.</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has been an increased focus from stakeholders and regulators related to environmental matters across all industries in recent years. This increased focus and activism related to environmental matters may hinder our access to capital, as investors may reconsider their capital investment as a result of their assessment of the Company’s environmental matters practices. In particular, customers, consumers, investors and other stakeholders are increasingly focusing on environmental issues, including climate change, water use, deforestation, plastic waste and other sustainability concerns. Changing consumer preferences may also result in decreased demand for plastics and packaging materials, including single-use and non-recyclable plastic products and packaging, and other components of our products and their environmental impact on sustainability. These demands could impact the profitability of our products, cause us to incur additional costs, to make changes to our operations, or to make additional commitments, set targets or establish additional goals and take actions to meet them, which could expose us to market, operational and execution costs and risks.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Concern over climate change or plastics and packaging materials, in particular, may result in new or increased legal and regulatory requirements to reduce or mitigate impacts to the environment. Increased regulatory requirements, including in relation to various aspects of environmental matters, such as California’s climate-related disclosure laws, or environmental causes may result in increased compliance costs or input costs of energy, raw materials or compliance with emissions standards, which may cause disruptions in the manufacture of our products or an increase in operating costs. We may incur additional costs to control, assess and report on environmental metrics as the nature, scope and complexity of environmental related reporting, diligence and disclosure requirements expand. Our ability to achieve any stated goal, target, or objective is subject to numerous factors and conditions, many of which are outside of our control. Any failure to achieve our environmental goals or a perception (whether or not valid) of our failure to act responsibly with respect to the environment or to effectively respond to new, or changes in, legal or regulatory requirements concerning environmental matters, or increased operating or manufacturing costs due to increased regulation or environmental causes could adversely affect our business and reputation.</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do not adapt to or comply with new regulations, or fail to meet the environmental goals under our framework or evolving investor, industry or stakeholder expectations and standards, or if we are perceived to have not responded appropriately to the growing concern for environmental issues, customers and consumers may choose to stop purchasing our products or purchase products from another company or a competitor, and our reputation, business or financial condition may be adversely affected.</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intellectual property rights licensed from third parties, and disputes regarding, or termination of, these licenses could result in loss of rights, which could harm our business.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be dependent in part on intellectual property rights licensed from third parties. Our licenses of such intellectual property rights may not provide exclusive or unrestricted rights in all fields of use and in all territories in which we may wish to develop or commercialize our products in the future and may restrict our rights to offer certain products in certain markets or impose other obligations on us in exchange for our rights to the licensed intellectual property. In addition, we may not have full control over the maintenance, protection or use of in-licensed intellectual property rights, and therefore we may be reliant on our licensors to conduct such activities.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Disputes may arise between us and our licensors regarding the scope of rights or obligations under our intellectual property license agreements, including the scope of our rights to use the licensed intellectual property, our rights with respect to third parties, our and our licensors’ obligations with respect to the maintenance and protection of the licensed intellectual property, and other interpretation-related issues. The agreements under which we license intellectual property rights from others are complex, and the provisions of such agreements may be susceptible to multiple interpretations. The resolution of any contract interpretation disagreement that may arise could narrow what we believe to be the scope of our rights to the intellectual property being licensed or increase what we believe to be our financial or other obligations under the relevant agreement. Termination of or disputes over such licenses could result in the loss of significant rights.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generally also subject to all of the same risks with respect to protection of intellectual property that we license as we are for intellectual property that we own. Any failure on our part or the part of our licensors to adequately protect this intellectual property could have a material adverse effect on our business and results of operations.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cyber-attack or failure of one or more key information technology systems, operational technology systems, networks, processes, associated sites or service providers could have a material adverse impact on our business and reputation.</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extensively on information technology (“IT”) and operational technology (“OT”) systems, networks and services, including Internet sites, data hosting and processing facilities and tools and other hardware, software and technological applications and platforms, some of which are managed, hosted, provided and/or used by third parties or their vendors, to assist in conducting business. The various uses of these systems, networks and services include, but are not limited to:</w:t>
      </w:r>
    </w:p>
    <w:p>
      <w:pPr>
        <w:spacing w:after="0" w:line="72" w:lineRule="exact"/>
        <w:rPr>
          <w:sz w:val="20"/>
          <w:szCs w:val="20"/>
          <w:color w:val="auto"/>
        </w:rPr>
      </w:pPr>
    </w:p>
    <w:p>
      <w:pPr>
        <w:ind w:left="440" w:hanging="3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ordering and managing materials from suppliers;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materials to finished products;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supply chain network;</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products to customers;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selling products to consumers;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processing transactions;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summarizing and reporting results of operations;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hosting, processing and sharing confidential and proprietary research, business plans and financial information;</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regulatory, legal or tax requirements;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data security;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handling other processes necessary to manage our business.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Increased cyber-security threats and cyber-crime, including advanced persistent threats, computer viruses, ransomware, other types of malicious code, hacking, phishing and social engineering schemes designed to provide access to our networks or data, pose a potential risk to the security of our IT and OT systems, networks and services, as well as the confidentiality, availability and integrity of our data. In addition, the rapid evolution and increased adoption of emerging technologies, such as artificial intelligence, may intensify our cybersecurity risks. Cyber threats are becoming more sophisticated, are constantly evolving and are being made by groups and individuals with a wide range of expertise and motives, increasing the difficulty of preventing, detecting and successfully defending against them. Furthermore, our relationships with, and access provided to, third parties and their vendors may create difficulties in anticipating and implementing adequate preventative measures or fully mitigating harms after an attack or breach occurs.</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cannot guarantee that our security efforts will prevent attacks and resulting breaches or breakdowns of our, or our third-party service providers’, databases or systems. If the IT or OT systems, networks or service providers relied upon fail to function properly, or if we suffer a loss or disclosure of customers’ and consumers’ data, business or stakeholder information, due to any number of causes, ranging from catastrophic events to power outages to security breaches, or the inability to effectively address these failures on a timely basis, we may suffer interruptions in our ability to manage and conduct operations, a risk of government enforcement action, litigation and possible liability, and reputational, competitive and/or business harm, which may adversely impact our results of operations and/or financial condition. In addition, if our service providers, suppliers or customers experience a breach or unauthorized disclosure or system failure, their business could be disrupted or otherwise negatively affected, which may result in a disruption in our supply chain or reduced customer orders or other business operations, which would adversely affect us.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claims and proceedings could adversely impact our business.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be subject to a wide variety of legal claims and proceedings. Regardless of their merit, these claims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 The resolution of, or increase in the reserves taken in connection with, one or more of these matters could have a material adverse effect on our business, results of operations, cash flows and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coverage may not adequately protect us against business and operating risks.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insurance for some, but not all, of the potential risks and liabilities associated with our business. For some risks, we may not obtain insurance if we believe the cost of available insurance is excessive in relation to the risks presented. As a result of market conditions, premiums and deductibles for certain insurance policies can increase substantially, and in some instances, certain insurance policies are economically unavailable or available only for reduced amounts of coverage. For example, we will not be fully insured</w:t>
      </w:r>
    </w:p>
    <w:p>
      <w:pPr>
        <w:sectPr>
          <w:pgSz w:w="11900" w:h="16838" w:orient="portrait"/>
          <w:cols w:equalWidth="0" w:num="1">
            <w:col w:w="11240"/>
          </w:cols>
          <w:pgMar w:left="320" w:top="121" w:right="339"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against all risks associated with pollution and other environmental incidents or impacts. Moreover, we may face losses and liabilities that are uninsurable by their nature, or that are not covered, fully or at all, under our existing insurance policies. Any significant uninsured liability may require us to pay substantial amounts, which would adversely affect our cash position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Stockholder Influence, Related Party Transactions and Governance</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by Packaging Finance Limited or others of our common stock, or the perception that such sales may occur, could depress the price of our common stock.</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Packaging Finance Limited (“PFL”) owns the majority of our outstanding common stock. We do not know whether or when PFL will sell shares of our common stock. The sale by PFL or others of a substantial number of shares of our common stock, or a perception that such sales could occur, could significantly reduce the market price of our common stock. The perception of a potential sell-down by PFL could depress the market price of our common stock and make it more difficult for us to sell equity securities in the future at a time and at a price that we deem appropriate.</w:t>
      </w:r>
    </w:p>
    <w:p>
      <w:pPr>
        <w:spacing w:after="0" w:line="2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in our certificate of incorporation and bylaws may have the effect of delaying or preventing a change of control or changes in our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and bylaws include provisions that:</w:t>
      </w:r>
    </w:p>
    <w:p>
      <w:pPr>
        <w:spacing w:after="0" w:line="99" w:lineRule="exact"/>
        <w:rPr>
          <w:sz w:val="20"/>
          <w:szCs w:val="20"/>
          <w:color w:val="auto"/>
        </w:rPr>
      </w:pPr>
    </w:p>
    <w:p>
      <w:pPr>
        <w:ind w:left="440" w:hanging="31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staggered board;</w:t>
      </w:r>
    </w:p>
    <w:p>
      <w:pPr>
        <w:spacing w:after="0" w:line="117" w:lineRule="exact"/>
        <w:rPr>
          <w:rFonts w:ascii="Times New Roman" w:cs="Times New Roman" w:eastAsia="Times New Roman" w:hAnsi="Times New Roman"/>
          <w:sz w:val="18"/>
          <w:szCs w:val="18"/>
          <w:color w:val="auto"/>
        </w:rPr>
      </w:pPr>
    </w:p>
    <w:p>
      <w:pPr>
        <w:jc w:val="both"/>
        <w:ind w:left="440" w:hanging="316"/>
        <w:spacing w:after="0" w:line="255" w:lineRule="auto"/>
        <w:tabs>
          <w:tab w:leader="none" w:pos="4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at least 66-2/3% of the votes that all of our stockholders would be entitled to cast in an annual election of directors in order to amend our certificate of incorporation and bylaws after the date on which PFL and all other entities beneficially owned by Mr. Graeme Richard Hart or his estate, heirs, executor, administrator or other personal representative, or any of his immediate family members or any trust, fund or other entity which is controlled by his estate, heirs, any of his immediate family members or any of their respective affiliates (PFL and all of the foregoing, collectively, the “Hart Entities”) and any other transferee of all of the outstanding shares of common stock held at any time by the Hart Entities which are transferred other than pursuant to a widely distributed public sale (“Permitted Assigns”) beneficially own less than 50% of the outstanding shares of our common stock;</w:t>
      </w:r>
    </w:p>
    <w:p>
      <w:pPr>
        <w:spacing w:after="0" w:line="80"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 after the date on which the Hart Entities or Permitted Assigns beneficially own less than 50% of the outstanding shares of our common stock;</w:t>
      </w:r>
    </w:p>
    <w:p>
      <w:pPr>
        <w:spacing w:after="0" w:line="53" w:lineRule="exact"/>
        <w:rPr>
          <w:rFonts w:ascii="Times New Roman" w:cs="Times New Roman" w:eastAsia="Times New Roman" w:hAnsi="Times New Roman"/>
          <w:sz w:val="18"/>
          <w:szCs w:val="18"/>
          <w:color w:val="auto"/>
        </w:rPr>
      </w:pPr>
    </w:p>
    <w:p>
      <w:pPr>
        <w:jc w:val="both"/>
        <w:ind w:left="440" w:hanging="316"/>
        <w:spacing w:after="0" w:line="266" w:lineRule="auto"/>
        <w:tabs>
          <w:tab w:leader="none" w:pos="4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instead requiring stockholder actions to be taken solely at a duly convened meeting of our stockholders, after the date on which the Hart Entities or Permitted Assigns beneficially own less than 50% of the outstanding shares of our common stock;</w:t>
      </w:r>
    </w:p>
    <w:p>
      <w:pPr>
        <w:spacing w:after="0" w:line="67"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without further action by our stockholders, to fix the rights, preferences, privileges and restrictions of preferred stock, the rights of which may be greater than the rights of our common stock;</w:t>
      </w:r>
    </w:p>
    <w:p>
      <w:pPr>
        <w:spacing w:after="0" w:line="53"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forum for certain litigation against us to the Court of Chancery of the State of Delaware; and</w:t>
      </w:r>
    </w:p>
    <w:p>
      <w:pPr>
        <w:spacing w:after="0" w:line="117"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As a result, these provisions may adversely affect the market price and market for our common stock if they are viewed as limiting the liquidity of our stock. These provisions may also make it more difficult for a third party to acquire us in the future, and, as a result, our stockholders may be limited in their ability to obtain a premium for their shares of common stock.</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we have entered into a stockholders agreement with PFL which, among other matters, provides PFL with the right to nominate a certain number of directors to our board of directors so long as the Hart Entities beneficially own at least 10% of the outstanding shares of our common stock.</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is the exclusive forum for substantially all disputes between us and our stockholders.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Notwithstanding the foregoing, the exclusive forum provision will not apply to suits brought to enforce any liability or duty created by the Exchange Act, the Securities Act of 1933, or any other claim for which the federal courts have exclusive jurisdiction.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intend to continue to pay regular dividends on our common stock, but our ability to do so may be limited.</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intend to continue to pay cash dividends on our common stock on a quarterly basis, subject to the discretion of our board of directors and our compliance with applicable law, and depending on our results of operations, capital requirements, financial condition, business prospects, contractual restrictions, restrictions imposed by applicable laws and other factors that our board of directors deems relevant. Our ability to pay dividends is restricted by the terms of our External Debt Facilities and may be restricted by the terms of any future debt or preferred equity securities. Our dividend policy entails certain risks and limitations, particularly with respect to our liquidity. By paying cash dividends rather than investing that cash in our business or repaying any outstanding debt, we risk, among other things, slowing the expansion of our business, having insufficient cash to fund our operations or make capital expenditures or limiting our ability to incur borrowings. Our board of directors will periodically review the cash generated from our business and the capital expenditures required to finance our growth plans and determine whether to modify the amount of regular dividends, cease paying dividends, and/or declare any periodic special dividends. There can be no assurance that our board of directors will not reduce the amount of regular cash dividends or cause us to cease paying dividends altogether.</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incur significant liability if our separation from PEI Group fails to qualify as a tax-free transaction for U.S. federal income tax purposes.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Prior to our initial public offering (“IPO”) in 2020, we historically operated as part of Pactiv Evergreen Inc. (“PEI”) and its subsidiaries (together with PEI, “PEI Group”). In preparation for our IPO, PEI Group effected certain distributions to transfer its interests in us to PFL in a manner that was intended to qualify as tax-free to PFL and PEI Group under Sections 368(a)(1)(D) and 355 of the Internal Revenue Code of 1986, as amended (“Code”). PEI received a tax opinion as to the tax treatment of these distributions, which relied on certain facts, assumptions, representations and undertakings from Mr. Graeme Hart, PEI Group and us regarding the past and future conduct of the companies’ respective businesses and other matters. If any of these facts, assumptions, representations or undertakings are incorrect or not otherwise satisfied, PEI may not be able to rely on the opinion of tax counsel and could be subject to significant tax liabilities. Notwithstanding the opinion of tax counsel, the Internal Revenue Service (“IRS”) could determine on audit that these distributions are taxable if it determines that any of these facts, assumptions, representations or undertakings are not correct or have been violated or if it disagrees with the conclusions in the opinion, or for other reasons. If the distributions are determined to be taxable for U.S. federal income tax purposes, PFL, PEI and Pactiv Evergreen Group Holdings Inc. could incur significant U.S. federal income tax liabilities, and we could also incur significant liabilities. Under the tax matters agreement between PEI and us (“Tax Matters Agreement”), we are required to indemnify PEI Group against taxes incurred by them that arise as a result of, among other things, a breach of any representation made by us, including those provided in connection with the opinion of tax counsel or us taking or failing to take, as the case may be, certain actions, in each case, that result in any of the distributions failing to meet the requirements of a tax-free distribution under Sections 355 and 368(a)(1)(D) of the Code.</w:t>
      </w:r>
    </w:p>
    <w:p>
      <w:pPr>
        <w:spacing w:after="0" w:line="30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PFL controls the direction of our business and PFL’s concentrated ownership of our common stock may prevent our stockholders from influencing significant decisions.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PFL owns and controls the voting power of approximately 74% of our outstanding shares of common stock. Under our stockholders agreement with PFL, PFL is entitled to nominate all of our board of directors so long as it owns at least 50% of our shares, and a majority of our board of directors so long as it owns at least 40% of our shares. Additionally, as long as PFL continues to control a majority of the voting power of our outstanding common stock, it is generally able to determine the outcome of all corporate actions requiring stockholder approval.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PFL and its affiliates engage in a broad spectrum of activities. In the ordinary course of their business activities, PFL and its affiliates may engage in activities where their interests may not be the same as, or may conflict with, the interests of our other stockholders. Other stockholders will not be able to affect the outcome of any stockholder vote while PFL controls the majority of the voting power of our outstanding common stock. As a result, PFL controls, directly or indirectly and subject to applicable law, the composition of our board of directors, which in turn will be able to control all matters affecting us, including, among others:</w:t>
      </w:r>
    </w:p>
    <w:p>
      <w:pPr>
        <w:spacing w:after="0" w:line="75" w:lineRule="exact"/>
        <w:rPr>
          <w:sz w:val="20"/>
          <w:szCs w:val="20"/>
          <w:color w:val="auto"/>
        </w:rPr>
      </w:pPr>
    </w:p>
    <w:p>
      <w:pPr>
        <w:ind w:left="440" w:hanging="316"/>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 with respect to our business direction and policies, including the appointment and removal of officers and directors;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amendments to our certificate of incorporation;</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determinations with respect to mergers, business combinations or disposition of assets;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 programs and other human resources policy decisions;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on our common stock;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determinations with respect to tax matters.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concentration of PFL’s ownership could also discourage others from making tender offers, which could prevent holders from receiving a premium for their common stock.</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PFL’s interests may differ from ours or from those of our other stockholders, actions that PFL takes with respect to us, as our controlling stockholder, may not be favorable to us or our other stockholders, including holders of our common stock.</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and may continue to enter, into certain related party transactions. There can be no assurance that we could not have achieved more favorable terms if such transactions had not been entered into with related parties, or that we will be able to maintain existing terms in the future.</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entered into various transactions with Rank Group Limited (“Rank”) and other related parties that are members of PFL, including insurance participation in a broader affiliated program.</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believe that all such transactions have been negotiated on an arm’s length basis and contain commercially reasonable terms, we may have been able to achieve more favorable terms had such transactions been entered into with unrelated parties. In addition, while these services are being provided to us by related parties, our operational flexibility to modify or implement changes with respect to such services or the amounts we pay for them may be limited. Such related party transactions may also potentially involve conflicts of interest; for example, in the event of a dispute under the related party agreement, PFL could decide the matter in a way adverse to us, and our ability to enforce our contractual rights may be limited.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also possible that we may enter into related party transactions in the future. Although material related party transactions that we may enter into will be subject to approval or ratification by the Audit Committee, there can be no assurance that such transactions, individually or in the aggregate, will not have an adverse effect on our financial condition and results of operations, or that we could not have achieved more favorable terms if such transactions had not been entered into with related parties.</w:t>
      </w:r>
    </w:p>
    <w:p>
      <w:pPr>
        <w:spacing w:after="0" w:line="2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PFL sells a controlling interest in our company to a third party in a private transaction, investors may not realize any change-of-control premium on shares of our common stock and we may become subject to the control of a presently unknown third party.</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PFL owns and controls the voting power of approximately 74% of our outstanding shares of common stock. PFL has the ability, should it choose to do so, to sell some or all of its shares of our common stock in a privately negotiated transaction, which, if sufficient in size, could result in a change of control of our company.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ability of PFL to privately sell its shares of our common stock, with no requirement for a concurrent offer to be made to acquire all of the shares of our common stock that are publicly traded, could prevent investors from realizing any change-of-control premium on shares of our common stock that may otherwise accrue to PFL on its private sale of our common stock. Additionally, if PFL privately sells its significant equity interest in our company, we may become subject to the control of a presently unknown third party. Such third party may have conflicts of interest with those of other stockholders. In addition, if PFL sells a controlling interest in our company to a third party, our liquidity could be impaired, our outstanding indebtedness may be subject to acceleration and our commercial agreements and relationships could be impacted, all of which may adversely affect our ability to run our business as described herein and may have a material adverse effect on our results of operations and financial condition.</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rules of Nasdaq and, as a result, rely on exemptions from certain corporate governance requirements.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PFL controls a majority of the voting power of our outstanding common stock. As a result, we are a “controlled company” within the meaning of the corporate governance standards of Nasdaq. Under these rules, a listed company of which more than 50% of the voting</w:t>
      </w:r>
    </w:p>
    <w:p>
      <w:pPr>
        <w:sectPr>
          <w:pgSz w:w="11900" w:h="16838" w:orient="portrait"/>
          <w:cols w:equalWidth="0" w:num="1">
            <w:col w:w="11240"/>
          </w:cols>
          <w:pgMar w:left="320" w:top="121" w:right="339"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power is held by an individual, group or another company is a “controlled company” and may elect not to comply with certain corporate governance requirements, including:</w:t>
      </w:r>
    </w:p>
    <w:p>
      <w:pPr>
        <w:spacing w:after="0" w:line="54" w:lineRule="exact"/>
        <w:rPr>
          <w:sz w:val="20"/>
          <w:szCs w:val="20"/>
          <w:color w:val="auto"/>
        </w:rPr>
      </w:pPr>
    </w:p>
    <w:p>
      <w:pPr>
        <w:ind w:left="440" w:hanging="316"/>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the board of directors consist of independent directors;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compensation, nominating and corporate governance committee be composed entirely of independent directors;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an annual performance evaluation of our compensation, nominating and corporate governance committee.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PFL controls a majority of the voting power of our outstanding common stock, we intend to rely on these exemptions and, as a result, will not have a majority of independent directors on our board of directors or a compensation, nominating and corporate governance committee consisting entirely of independent directors. Accordingly, you will not have the same protections afforded to stockholders of companies that are subject to all of the corporate governance requirements of Nasdaq.</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resolve in a manner favorable to us any potential conflicts or disputes that arise between us and PFL or Rank with respect to our past and ongoing relationships may adversely affect our business and prospects.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conflicts or disputes may arise between PFL or Rank and us in a number of areas relating to our past or ongoing relationships, including:</w:t>
      </w:r>
    </w:p>
    <w:p>
      <w:pPr>
        <w:spacing w:after="0" w:line="117" w:lineRule="exact"/>
        <w:rPr>
          <w:sz w:val="20"/>
          <w:szCs w:val="20"/>
          <w:color w:val="auto"/>
        </w:rPr>
      </w:pPr>
    </w:p>
    <w:p>
      <w:pPr>
        <w:ind w:left="440" w:hanging="3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employee benefit, indemnification and other matters arising from our relationship with PFL or Rank;</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involving us;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pricing of services Rank have agreed to provide us;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or other proprietary rights.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resolution of any potential conflicts or disputes between us, PFL or Rank or their subsidiaries over these or other matters may be less favorable to us than the resolution we might achieve if we were dealing with an unaffiliated third party.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so long as PFL has the ability to nominate a majority of our board of directors, PFL will be able to determine the outcome of all matters requiring stockholder approval and will be able to cause or prevent a change of control of our company or a change in the composition of our board of directors, and could preclude any acquisition of our company. For so long as we are controlled by PFL, we may be unable to negotiate renewals or amendments to the outstanding agreement, if required, on terms as favorable to us as those we would be able to negotiate with an unaffiliated third party.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information security program is managed by a Chief Information Security Officer (“CISO”), whose team is responsible for leading enterprise-wide cybersecurity strategy, policy, standards, architecture and processes, including assessing and managing our material risks from cybersecurity threats. The CISO is a Certified Information Systems Security Professional (“CISSP”), and has over 20 years of experience holding various roles in information technology and cybersecurity. The Audit Committee of our Board of Directors is charged with oversight of cybersecurity matters, including oversight of risks from cybersecurity threats.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CISO provides quarterly reports to the Audit Committee, as well as more frequent reports to our Cyber Security Steering Committee, which includes the Chief Executive Officer, Chief Financial Officer and other members of our senior management. These reports include updates on our cyber risks and threats, the status of projects to strengthen our information security systems, assessments of our information security program, and the emerging threat landscape. Our cybersecurity program is periodically evaluated by internal and external experts, with the results of those reviews reported to senior management and the Audit Committee. We also actively engage with key vendors and industry participants as part of our continuing efforts to evaluate and enhance the effectiveness of our information security policies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comprehensive cybersecurity and information security framework that includes risk assessment and mitigation. We leverage the National Institute of Standards and Technology Cyber Security Framework 2.0 for measuring overall readiness to respond to cyber threats and the Sarbanes-Oxley Act for assessment in internal controls. Our cybersecurity processes are integrated into our overall risk management program, and include a comprehensive cyber crisis management program that would apply if a cybersecurity related incident were to occur.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perform response simulations, tabletop exercises and recovery tests on a quarterly basis. In addition, we engage external consultants to perform penetration testing at least annually. Our cyber crisis management program includes a documented plan that provides overall coordination of our response to a major cyber incident as well as a resource engagement plan. As part of our crisis management plan, our cyber crisis communication plan accounts for timely and accurate dissemination of information to stakeholders during the crisis. Other components of our crisis management plan are our business continuity plan, that documents the application of specific strategies and measures to enable core business activities to continue during a cyber event, and our disaster recovery plan, that is designed to restore data and systems to their operational state. The ongoing development and maturity of our cyber crisis management program is reported to senior management quarterly.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third-party service providers, we perform assessments of their information security capabilities prior to entering into a contractual agreement. We also perform periodic information security capabilities reviews for existing third-party service providers based on the risks identified in the initial review, or if events and circumstances necessitate a review.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part of our comprehensive defense strategy we conduct monthly mandatory user training and bi-monthly phishing simulation exercises.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we have not identified any risks from cybersecurity incidents or threats, including as a result of previous cybersecurity incidents, that have materially affected or are reasonably likely to materially affect us, including our business strategy, results of operations, or financial condition. However, we are subject to ongoing risks from cybersecurity threats that could materially affect us, including our business strategy, results of operations, or financial conditions, as further described in “A cyber-attack or failure of one or more key information technology systems, operational technology systems, networks, processes, associated sites or service providers could have a material adverse impact on our business and reputation” in Item 1A. “Risk Factors.”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Lake Forest, Illinois. In addition, as of December 31, 2025, our production and distribution network consisted of 29 manufacturing and warehouse facilities in 12 states and one manufacturing facility and one warehouse in Canada, which are used to produce and store the products sold in all four of our business segments. We own the majority of our manufacturing facilities. We believe that all of our properties are in good operating condition and are suitable to adequately meet our current needs.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are a party to various claims, charges and litigation matters arising in the ordinary course of business. Management and legal counsel regularly review the probable outcome of such proceedings. We have established reserves for legal matters that are probable and estimable, and at December 31, 2025, these reserves were not significant. While we cannot feasibly predict the outcome of these matters with certainty, we believe, based on examination of these matters, experience to date and discussions with counsel, that the ultimate liability, individually or in the aggregate, will not have a material adverse effect on our business, financial position, results of operations or cash flows.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Market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Stock Market LLC under the “REYN” symbol and began “regular way” trading on The Nasdaq Stock Market LLC on January 31, 2020. Prior to that date, there was no public trading market for our common stock.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January 30, 2025, there were four holders of record of our common stock. The actual number of our stockholders is greater than this number, and includes beneficial owners whose shares are held in “street name” by banks, brokers and other nominees.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our practice of paying quarterly cash dividends on our common stock will continue, although the payment of future dividends is at the discretion of our Board of Directors and will depend upon our earnings, capital requirements, financial condition, contractual restrictions (including under our External Debt Facilities) and other factors.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The information required by this Item concerning our equity compensation plan is incorporated herein by reference to Part III, Item 12 of this report.</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graph compares our cumulative total stockholder return from December 31, 2020 to December 31, 2025 to that of the S&amp;P 500 Index, the Russell MidCap Index and a peer group. The graph assumes that the value for the investment in our common stock, each index and the peer group was $100 on December 31, 2020, and that all dividends were reinvested. The complete list of our peer group comprises: Church &amp; Dwight Co., Inc., The Clorox Company, Colgate-Palmolive Company, Energizer Holdings, Inc., Kimberly-Clark Corporation, Newell Brands Inc., The Procter &amp; Gamble Company, The Scotts Miracle-Gro Company, Spectrum Brands Holdings, Inc. and WD-40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returns over the indicated period should not be considered indicative of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445770</wp:posOffset>
            </wp:positionV>
            <wp:extent cx="6172200" cy="51263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72200" cy="5126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management’s discussion and analysis is intended to help the reader understand our results of operations and financial condition and is provided as an addition to, and should be read in connection with, our consolidated financial statements and the accompanying notes included elsewhere in this Annual Report on Form 10-K.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Company and its Business Segments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market-leading consumer products company with a presence in 95% of households across the United States. We produce and sell products that people use in their homes for cooking, serving, cleanup and storage. We sell our products under iconic brands such as Reynolds and Hefty and also under store brands that are strategically important to our retail partners. Overall, across both our branded and store brand offerings, we hold the #1 or #2 U.S. market share position in the majority of product categories in which we participate. Over 50% of our revenue comes from products that are #1 in their respective categories. We have developed our market-leading position by investing in our product categories and consistently developing innovative products that meet the evolving needs and preferences of the modern consumer.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mix of branded and store brand products is a key competitive advantage that aligns our goal of growing the overall product categories where we have offerings. Our retail partners also generally measure their success in category growth, which positions us as a trusted strategic partner. Our Reynolds and Hefty brands have preeminent positions in their categories and carry strong brand recognition in household aisles.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operations in four operating and reportable segments: Reynolds Cooking &amp; Baking, Hefty Waste &amp; Storage, Hefty Tableware and Presto Products:</w:t>
      </w:r>
    </w:p>
    <w:p>
      <w:pPr>
        <w:spacing w:after="0" w:line="54" w:lineRule="exact"/>
        <w:rPr>
          <w:sz w:val="20"/>
          <w:szCs w:val="20"/>
          <w:color w:val="auto"/>
        </w:rPr>
      </w:pPr>
    </w:p>
    <w:p>
      <w:pPr>
        <w:jc w:val="both"/>
        <w:ind w:left="440" w:hanging="316"/>
        <w:spacing w:after="0" w:line="253" w:lineRule="auto"/>
        <w:tabs>
          <w:tab w:leader="none" w:pos="4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Reynolds Cooking &amp; Baking: Through our Reynolds Cooking &amp; Baking segment, we sell both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 international markets, under the ALCAN brand in Canada and under the Diamond brand outside of North America. With our flagship Reynolds Wrap products, we hold the #1 market position in the U.S. consumer foil market measured by retail sales and volume. We also hold the #1 market position in the Canadian branded foil market under the ALCAN brand. We have no significant branded competitor in this market. Reynolds is one of the most recognized household brands in the United States, with 98% brand awareness, and has been the top trusted brand in the consumer foil market for over 75 years, with greater than 50% market share in most of its categories. We also offer more sustainable solutions, such as Reynolds Wrap 100% recycled aluminum, unbleached parchment paper made with a chlorine-free process and coreless wax paper, which uses less packaging material than traditional wax paper rolls.</w:t>
      </w:r>
    </w:p>
    <w:p>
      <w:pPr>
        <w:spacing w:after="0" w:line="86" w:lineRule="exact"/>
        <w:rPr>
          <w:rFonts w:ascii="Times New Roman" w:cs="Times New Roman" w:eastAsia="Times New Roman" w:hAnsi="Times New Roman"/>
          <w:sz w:val="18"/>
          <w:szCs w:val="18"/>
          <w:color w:val="auto"/>
        </w:rPr>
      </w:pPr>
    </w:p>
    <w:p>
      <w:pPr>
        <w:jc w:val="both"/>
        <w:ind w:left="440" w:hanging="316"/>
        <w:spacing w:after="0" w:line="254" w:lineRule="auto"/>
        <w:tabs>
          <w:tab w:leader="none" w:pos="4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Waste &amp; Storage: Through our Hefty Waste &amp; Storage segment, we produce both branded and store brand trash and food storage bags. Hefty is a well-recognized leader in the trash bag and food storage bag categories and our private label products offer value to our retail partners. Our branded products are sold under the Hefty Ultra Strong and Hefty Strong brands for trash bags in the U.S. and select international markets, and as the Hefty brand for our food storage bags in the U.S. Our food storage bags are sold internationally as Reynolds, Diamond, or Hefty Basics brands based on the region. Hefty has 98% brand awareness and is most commonly identified with the Brand’s famous “Hefty! Hefty! Hefty!” slogan. We have the #1 branded market share in the U.S. large black trash bag segment, and the #2 branded market share in the food storage bag and tall kitchen trash bag segments. Our robust product portfolio includes a full suite of products, including sustainable solutions such as compostable bags and bags made from recycled materials.</w:t>
      </w:r>
    </w:p>
    <w:p>
      <w:pPr>
        <w:spacing w:after="0" w:line="83" w:lineRule="exact"/>
        <w:rPr>
          <w:rFonts w:ascii="Times New Roman" w:cs="Times New Roman" w:eastAsia="Times New Roman" w:hAnsi="Times New Roman"/>
          <w:sz w:val="18"/>
          <w:szCs w:val="18"/>
          <w:color w:val="auto"/>
        </w:rPr>
      </w:pPr>
    </w:p>
    <w:p>
      <w:pPr>
        <w:jc w:val="both"/>
        <w:ind w:left="440" w:hanging="316"/>
        <w:spacing w:after="0" w:line="256" w:lineRule="auto"/>
        <w:tabs>
          <w:tab w:leader="none" w:pos="4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Tableware: Through our Hefty Tableware segment, we sell both branded and store brand disposable and compostable plates, bowls, platters, containers, cups and cutlery. Our Hefty branded products include dishes, party cups, cutlery and containers. Hefty branded party cups are the #1 party cup in America measured by market share. Our branded products use our Hefty brand to represent both quality and value, and we bring this same quality and value promise to all of our store brands as well. We sell across a broad range of materials and price points in all retail channels, allowing our consumers to select the product that best suits their price, function and aesthetic needs. In 2025, we launched the line of Hefty ECOSAVE Cutlery, a high quality compostable offering.</w:t>
      </w:r>
    </w:p>
    <w:p>
      <w:pPr>
        <w:spacing w:after="0" w:line="79" w:lineRule="exact"/>
        <w:rPr>
          <w:rFonts w:ascii="Times New Roman" w:cs="Times New Roman" w:eastAsia="Times New Roman" w:hAnsi="Times New Roman"/>
          <w:sz w:val="18"/>
          <w:szCs w:val="18"/>
          <w:color w:val="auto"/>
        </w:rPr>
      </w:pPr>
    </w:p>
    <w:p>
      <w:pPr>
        <w:jc w:val="both"/>
        <w:ind w:left="440" w:hanging="316"/>
        <w:spacing w:after="0" w:line="256" w:lineRule="auto"/>
        <w:tabs>
          <w:tab w:leader="none" w:pos="4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Products: Through our Presto Products segment, we primarily sell store brand products in three main consumer categories: food storage bags, trash bags, and plastic wrap. Presto Products is a market leader in food storage bags and differentiates itself by providing access to category management, consumer insights, marketing, merchandising and research and development (“R&amp;D”) resources. Presto Products was the first in the U.S. market to offer a store branded sandwich bag made with an approximately 20% proprietary blend of plant and ocean, renewable materials. Our Presto Products segment also includes our specialty business, which serves other consumer products companies by providing Fresh-Lock and Slide-Rite resealable closure systems.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but also pose risks and challenges, including those discussed below and in the section of this Annual Report on Form 10-K titled “Risk Factors.”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Demand for our Products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largely impacted by the demands of our customers, and our success depends on our ability to anticipate and respond to changes in consumer preferences. Our products are household staples with a presence in 95% of households across the United States.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Consumer demand for our products is influenced by changes in household needs, economic conditions and evolving lifestyle preferences. While convenience remains an important consideration, particularly among younger consumers, ongoing inflationary pressures and broader economic uncertainty have contributed to increased price sensitivity and shifting purchasing behaviors. These dynamics vary across income groups, with some households placing greater emphasis on affordability.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broad product portfolio, which includes both branded offerings and value oriented private label products, allows us to address these diverse consumer needs and mitigate demand fluctuations across economic environments. This multi-tiered approach positions us to serve consumers seeking convenience features as well as prioritizing lower cost alternatives, while maintaining product quality across our offerings. Consumer demand may continue to be affected by future changes in economic conditions, consumer preferences and other external factors.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Branded products and store brand products accounted for 61% and 39% of our revenue, excluding business-to-business revenue, respectively, in the year ended December 31, 2025. We intend to continue investing in both our branded and store brand products to grow the entire product category. Our scale across household aisles and ability to offer both branded and store brand products enable us to grow the overall category. Through our category captain level advisorship roles with our retail partners, we offer marketing and consumer shopping strategies, both in store and online, which expand usage occasions and stimulate consumption for our categories.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for Raw Materials, Energy, Labor and Freight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impacted by fluctuations in the prices of the raw materials, energy and freight costs incurred in manufacturing and distributing our products, as well as fluctuations in labor costs. The primary raw materials used to manufacture our products are plastic resins and aluminum, and we also use commodity chemicals and energy. We are exposed to commodity and other price risk principally from the purchase of resin, aluminum, natural gas, electricity, carton board and diesel. We distribute our products and receive raw materials primarily by rail and truck, which exposes us to fluctuations in labor, freight and handling costs caused by reduced rail and trucking capacity. Sales contracts for our products typically do not contain pass-through mechanisms for raw material, energy, labor and freight cost changes, but we adjust prices, where possible, in response to such price fluctuations.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Resin prices have historically fluctuated with supply and demand, changes in the prices of crude oil and natural gas, changes in refining capacity and the demand for other petroleum-based products. Aluminum prices have also historically fluctuated, as aluminum is a cyclical commodity with prices subject to global market factors. Raw material costs have also been impacted by governmental actions, such as tariffs and trade sanctions.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Purchases of most of our raw materials are based on negotiated rates with suppliers, which are linked to published indices. Typically, we do not enter into long-term purchase contracts that provide for fixed quantities or prices for our principal raw materials.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various strategies to manage our cost exposures on certain raw material purchases, including managing these costs through supplier negotiations and entering into contracts of varying durations, and we use naturally established forecast cycles to influence the timing of purchases of raw materials.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since we distribute our products and receive raw materials primarily by rail and truck, reduced availability of rail or trucking capacity and fluctuations in labor, freight and handling costs have caused us to incur increased expenses in certain periods. Where possible, we also adjust the prices of our products in response to fluctuations in production and distribution costs.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operating results are also impacted by energy-related cost movements, including those impacting both our manufacturing operations and transportation and utility costs.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Environment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in a marketplace influenced by large retailers with strong negotiating power over their suppliers. Current trends among these large retailers include increased demand for innovative new products from suppliers, requiring suppliers to maintain or reduce product prices and to deliver products within shorter lead times. We also face the threat of competition from new entrants to our markets as well as from existing competitors, including those overseas who may have lower production costs. In addition, the timing and amount in which our competitors invest in advertising and promotional spending may vary from quarter to quarter and impact our sales volumes and financial results. See “Business - Competition” for more detail on our competitors.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Portions of our business historically have been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Reynolds Parchment Paper and disposable aluminum pans. Our tableware products generally have higher sales in the second and fourth quarters of the year, primarily due to outdoor summertime and holiday uses of disposable plates, cups, bowls and cutlery.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Sustainability</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in environmental sustainability has increased over the past decade, and it has played, and we expect it will continue to play, an increasing role in consumer purchasing decisions. For instance, there have been recent concerns about the environmental impact of single-use disposable products and products made from plastic, particularly polystyrene foam, affecting our products, especially our Hefty Tableware segment. While there is a focus on environmentally friendly products, survey results indicate that in most of our product categories, consumers continue to rank performance-related purchase criteria, such as durability and ease of use, followed by price, as top considerations, rather than sustainability. As our consumers may shift towards purchasing more sustainable products, we have focused much of our innovation efforts around sustainability. We offer a broad line of products made with recycled, renewable, recyclable and compostable materials. We intend to continue sustainability innovation in our efforts to be at the leading edge of recyclability, renewability and compostability in order to offer our customers environmentally sustainable choices. Our 2023 acquisition of privately held Atacama Manufacturing Inc. enhanced our innovation pipeline with sustainable products from plant-based resins.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Annual Report on Form 10-K we use the non-GAAP financial measures “Adjusted EBITDA”, “Adjusted Net Income” and “Adjusted EPS”, which are measures adjusted for the impact of specified items and are not in accordance with GAAP.</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calculated in accordance with GAAP, plus income tax expense, net interest expense, debt refinancing expense, depreciation and amortization, costs to execute strategic initiatives and CEO transition costs. We define Adjusted Net Income and Adjusted EPS as Net Income and Diluted Earnings Per Share calculated in accordance with GAAP, plus debt refinancing expense, costs to execute strategic initiatives and CEO transition costs.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present Adjusted EBITDA because it is a key measure used by our management team to evaluate our operating performance, generate future operating plans and make strategic decisions. In addition, our chief operating decision maker uses Adjusted EBITDA of each reportable segment to evaluate the operating performance of such segments. We use Adjusted Net Income and Adjusted EPS as supplemental measures to evaluate our business’ performance in a way that also considers our ability to generate profit without the impact of certain items. Accordingly, we believe presenting these measures provides useful information to investors and others in understanding and evaluating our operating results in the same manner as our management team and board of directors.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our net income, the most directly comparable GAAP financial measure, to Adjusted EBITDA: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0" w:type="dxa"/>
            <w:vAlign w:val="bottom"/>
            <w:gridSpan w:val="6"/>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GAAP</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6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Debt refinancing expense</w:t>
            </w:r>
            <w:r>
              <w:rPr>
                <w:rFonts w:ascii="Times New Roman" w:cs="Times New Roman" w:eastAsia="Times New Roman" w:hAnsi="Times New Roman"/>
                <w:sz w:val="23"/>
                <w:szCs w:val="23"/>
                <w:color w:val="auto"/>
                <w:vertAlign w:val="superscript"/>
              </w:rPr>
              <w:t>(1)</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6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Costs to execute strategic initiatives</w:t>
            </w:r>
            <w:r>
              <w:rPr>
                <w:rFonts w:ascii="Times New Roman" w:cs="Times New Roman" w:eastAsia="Times New Roman" w:hAnsi="Times New Roman"/>
                <w:sz w:val="23"/>
                <w:szCs w:val="23"/>
                <w:color w:val="auto"/>
                <w:vertAlign w:val="superscript"/>
              </w:rPr>
              <w:t>(2)</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CEO transition costs</w:t>
            </w:r>
            <w:r>
              <w:rPr>
                <w:rFonts w:ascii="Times New Roman" w:cs="Times New Roman" w:eastAsia="Times New Roman" w:hAnsi="Times New Roman"/>
                <w:sz w:val="23"/>
                <w:szCs w:val="23"/>
                <w:color w:val="auto"/>
                <w:vertAlign w:val="superscript"/>
              </w:rPr>
              <w:t>(3)</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667</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678</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636</w:t>
            </w:r>
          </w:p>
        </w:tc>
      </w:tr>
      <w:tr>
        <w:trPr>
          <w:trHeight w:val="20"/>
        </w:trPr>
        <w:tc>
          <w:tcPr>
            <w:tcW w:w="6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expense recorded related to our March 2025 Term Loan Facility refinancing.</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costs related to the execution of cost savings and revenue growth strategic initiatives.</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compensation and other costs related to the CEO transition effective January 1, 2025.</w:t>
      </w:r>
    </w:p>
    <w:p>
      <w:pPr>
        <w:spacing w:after="0" w:line="25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our net income and diluted EPS, the most directly comparable GAAP financial measures, to Adjusted Net Income and Adjusted EPS: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40" w:type="dxa"/>
            <w:vAlign w:val="bottom"/>
          </w:tcPr>
          <w:p>
            <w:pPr>
              <w:spacing w:after="0"/>
              <w:rPr>
                <w:sz w:val="16"/>
                <w:szCs w:val="16"/>
                <w:color w:val="auto"/>
              </w:rPr>
            </w:pPr>
          </w:p>
        </w:tc>
        <w:tc>
          <w:tcPr>
            <w:tcW w:w="248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00" w:type="dxa"/>
            <w:vAlign w:val="bottom"/>
          </w:tcPr>
          <w:p>
            <w:pPr>
              <w:spacing w:after="0"/>
              <w:rPr>
                <w:sz w:val="16"/>
                <w:szCs w:val="16"/>
                <w:color w:val="auto"/>
              </w:rPr>
            </w:pPr>
          </w:p>
        </w:tc>
        <w:tc>
          <w:tcPr>
            <w:tcW w:w="2320" w:type="dxa"/>
            <w:vAlign w:val="bottom"/>
            <w:gridSpan w:val="6"/>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per share data)</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860" w:type="dxa"/>
            <w:vAlign w:val="bottom"/>
            <w:tcBorders>
              <w:top w:val="single" w:sz="8" w:color="auto"/>
            </w:tcBorders>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Diluted</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ind w:right="35"/>
              <w:spacing w:after="0" w:line="129" w:lineRule="exact"/>
              <w:rPr>
                <w:sz w:val="20"/>
                <w:szCs w:val="20"/>
                <w:color w:val="auto"/>
              </w:rPr>
            </w:pPr>
            <w:r>
              <w:rPr>
                <w:rFonts w:ascii="Times New Roman" w:cs="Times New Roman" w:eastAsia="Times New Roman" w:hAnsi="Times New Roman"/>
                <w:sz w:val="14"/>
                <w:szCs w:val="14"/>
                <w:b w:val="1"/>
                <w:bCs w:val="1"/>
                <w:color w:val="auto"/>
              </w:rPr>
              <w:t>Diluted</w:t>
            </w: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880" w:type="dxa"/>
            <w:vAlign w:val="bottom"/>
            <w:tcBorders>
              <w:top w:val="single" w:sz="8" w:color="auto"/>
            </w:tcBorders>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Diluted</w:t>
            </w: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55"/>
              <w:spacing w:after="0" w:line="129" w:lineRule="exact"/>
              <w:rPr>
                <w:sz w:val="20"/>
                <w:szCs w:val="20"/>
                <w:color w:val="auto"/>
              </w:rPr>
            </w:pPr>
            <w:r>
              <w:rPr>
                <w:rFonts w:ascii="Times New Roman" w:cs="Times New Roman" w:eastAsia="Times New Roman" w:hAnsi="Times New Roman"/>
                <w:sz w:val="14"/>
                <w:szCs w:val="14"/>
                <w:b w:val="1"/>
                <w:bCs w:val="1"/>
                <w:color w:val="auto"/>
              </w:rPr>
              <w:t>Diluted</w:t>
            </w:r>
          </w:p>
        </w:tc>
        <w:tc>
          <w:tcPr>
            <w:tcW w:w="140" w:type="dxa"/>
            <w:vAlign w:val="bottom"/>
          </w:tcPr>
          <w:p>
            <w:pPr>
              <w:spacing w:after="0"/>
              <w:rPr>
                <w:sz w:val="11"/>
                <w:szCs w:val="11"/>
                <w:color w:val="auto"/>
              </w:rPr>
            </w:pPr>
          </w:p>
        </w:tc>
        <w:tc>
          <w:tcPr>
            <w:tcW w:w="92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88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Diluted</w:t>
            </w: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55"/>
              <w:spacing w:after="0" w:line="129" w:lineRule="exact"/>
              <w:rPr>
                <w:sz w:val="20"/>
                <w:szCs w:val="20"/>
                <w:color w:val="auto"/>
              </w:rPr>
            </w:pPr>
            <w:r>
              <w:rPr>
                <w:rFonts w:ascii="Times New Roman" w:cs="Times New Roman" w:eastAsia="Times New Roman" w:hAnsi="Times New Roman"/>
                <w:sz w:val="14"/>
                <w:szCs w:val="14"/>
                <w:b w:val="1"/>
                <w:bCs w:val="1"/>
                <w:color w:val="auto"/>
                <w:w w:val="99"/>
              </w:rPr>
              <w:t>Diluted</w:t>
            </w:r>
          </w:p>
        </w:tc>
        <w:tc>
          <w:tcPr>
            <w:tcW w:w="0" w:type="dxa"/>
            <w:vAlign w:val="bottom"/>
          </w:tcPr>
          <w:p>
            <w:pPr>
              <w:spacing w:after="0"/>
              <w:rPr>
                <w:sz w:val="1"/>
                <w:szCs w:val="1"/>
                <w:color w:val="auto"/>
              </w:rPr>
            </w:pPr>
          </w:p>
        </w:tc>
      </w:tr>
      <w:tr>
        <w:trPr>
          <w:trHeight w:val="196"/>
        </w:trPr>
        <w:tc>
          <w:tcPr>
            <w:tcW w:w="3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EPS</w:t>
            </w:r>
          </w:p>
        </w:tc>
        <w:tc>
          <w:tcPr>
            <w:tcW w:w="140" w:type="dxa"/>
            <w:vAlign w:val="bottom"/>
          </w:tcPr>
          <w:p>
            <w:pPr>
              <w:spacing w:after="0"/>
              <w:rPr>
                <w:sz w:val="17"/>
                <w:szCs w:val="17"/>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EPS</w:t>
            </w:r>
          </w:p>
        </w:tc>
        <w:tc>
          <w:tcPr>
            <w:tcW w:w="920" w:type="dxa"/>
            <w:vAlign w:val="bottom"/>
            <w:gridSpan w:val="3"/>
            <w:vMerge w:val="continue"/>
          </w:tcPr>
          <w:p>
            <w:pPr>
              <w:spacing w:after="0"/>
              <w:rPr>
                <w:sz w:val="17"/>
                <w:szCs w:val="17"/>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6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EPS</w:t>
            </w:r>
          </w:p>
        </w:tc>
        <w:tc>
          <w:tcPr>
            <w:tcW w:w="0" w:type="dxa"/>
            <w:vAlign w:val="bottom"/>
          </w:tcPr>
          <w:p>
            <w:pPr>
              <w:spacing w:after="0"/>
              <w:rPr>
                <w:sz w:val="1"/>
                <w:szCs w:val="1"/>
                <w:color w:val="auto"/>
              </w:rPr>
            </w:pPr>
          </w:p>
        </w:tc>
      </w:tr>
      <w:tr>
        <w:trPr>
          <w:trHeight w:val="229"/>
        </w:trPr>
        <w:tc>
          <w:tcPr>
            <w:tcW w:w="35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 Reported - GAAP</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4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14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210.4</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4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210.0</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0" w:type="dxa"/>
            <w:vAlign w:val="bottom"/>
          </w:tcPr>
          <w:p>
            <w:pPr>
              <w:spacing w:after="0"/>
              <w:rPr>
                <w:sz w:val="1"/>
                <w:szCs w:val="1"/>
                <w:color w:val="auto"/>
              </w:rPr>
            </w:pPr>
          </w:p>
        </w:tc>
      </w:tr>
      <w:tr>
        <w:trPr>
          <w:trHeight w:val="229"/>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Debt refinancing expense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Costs to execute strategic initiatives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CEO transition costs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(Non-GAAP)</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210.4</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210.0</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660" w:right="20" w:hanging="652"/>
        <w:spacing w:after="0" w:line="282" w:lineRule="auto"/>
        <w:tabs>
          <w:tab w:leader="none" w:pos="6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after tax, calculated based on the applicable tax treatment of each adjustment, using a normalized effective tax rate of 23.3% for deductible items and 0% for non-deductible items.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included elsewhere in this Annual Report on Form 10-K.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Detailed comparisons of revenue and results are presented in the discussions of the operating segments, which follow our consolidated results discussion.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discussions in this section provide a breakdown of net revenues between our retail business and non-retail business. Our retail business net revenues consist of sales to grocery stores, mass merchants, warehouse clubs, discount chains, dollar stores, drug stores, home improvement stores, military outlets and eCommerce retailers. Our non-retail business net revenues consist of aluminum sales to food service customers, which were classified as related party revenues during the three months ended March 31, 2025, and industrial customers.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Discussions of the year ended December 31, 2024 items and comparisons between the year ended December 31, 2024 and the year ended December 31, 2023 can be found in “Management’s Discussion and Analysis of Financial Condition and Results of Operations” in our Annual Report on Form 10-K filed on February 5, 2025.</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Aggregation of Segment Revenue and Adjusted EBITDA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4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Reynolds</w:t>
            </w:r>
          </w:p>
        </w:tc>
        <w:tc>
          <w:tcPr>
            <w:tcW w:w="0" w:type="dxa"/>
            <w:vAlign w:val="bottom"/>
          </w:tcPr>
          <w:p>
            <w:pPr>
              <w:spacing w:after="0"/>
              <w:rPr>
                <w:sz w:val="1"/>
                <w:szCs w:val="1"/>
                <w:color w:val="auto"/>
              </w:rPr>
            </w:pPr>
          </w:p>
        </w:tc>
      </w:tr>
      <w:tr>
        <w:trPr>
          <w:trHeight w:val="146"/>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10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Cooking &amp;</w:t>
            </w:r>
          </w:p>
        </w:tc>
        <w:tc>
          <w:tcPr>
            <w:tcW w:w="140" w:type="dxa"/>
            <w:vAlign w:val="bottom"/>
          </w:tcPr>
          <w:p>
            <w:pPr>
              <w:spacing w:after="0"/>
              <w:rPr>
                <w:sz w:val="12"/>
                <w:szCs w:val="12"/>
                <w:color w:val="auto"/>
              </w:rPr>
            </w:pPr>
          </w:p>
        </w:tc>
        <w:tc>
          <w:tcPr>
            <w:tcW w:w="9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Unallocated</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²</w:t>
            </w:r>
            <w:r>
              <w:rPr>
                <w:rFonts w:ascii="MS PGothic" w:cs="MS PGothic" w:eastAsia="MS PGothic" w:hAnsi="MS PGothic"/>
                <w:sz w:val="14"/>
                <w:szCs w:val="14"/>
                <w:color w:val="auto"/>
              </w:rPr>
              <w:t>⁾</w:t>
            </w:r>
          </w:p>
        </w:tc>
        <w:tc>
          <w:tcPr>
            <w:tcW w:w="140" w:type="dxa"/>
            <w:vAlign w:val="bottom"/>
          </w:tcPr>
          <w:p>
            <w:pPr>
              <w:spacing w:after="0"/>
              <w:rPr>
                <w:sz w:val="12"/>
                <w:szCs w:val="12"/>
                <w:color w:val="auto"/>
              </w:rPr>
            </w:pPr>
          </w:p>
        </w:tc>
        <w:tc>
          <w:tcPr>
            <w:tcW w:w="920" w:type="dxa"/>
            <w:vAlign w:val="bottom"/>
          </w:tcPr>
          <w:p>
            <w:pPr>
              <w:jc w:val="center"/>
              <w:ind w:right="119"/>
              <w:spacing w:after="0" w:line="146"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0" w:type="dxa"/>
            <w:vAlign w:val="bottom"/>
          </w:tcPr>
          <w:p>
            <w:pPr>
              <w:spacing w:after="0"/>
              <w:rPr>
                <w:sz w:val="1"/>
                <w:szCs w:val="1"/>
                <w:color w:val="auto"/>
              </w:rPr>
            </w:pPr>
          </w:p>
        </w:tc>
      </w:tr>
      <w:tr>
        <w:trPr>
          <w:trHeight w:val="202"/>
        </w:trPr>
        <w:tc>
          <w:tcPr>
            <w:tcW w:w="44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Baking</w:t>
            </w:r>
          </w:p>
        </w:tc>
        <w:tc>
          <w:tcPr>
            <w:tcW w:w="14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Tableware</w:t>
            </w:r>
          </w:p>
        </w:tc>
        <w:tc>
          <w:tcPr>
            <w:tcW w:w="14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tcPr>
          <w:p>
            <w:pPr>
              <w:jc w:val="right"/>
              <w:ind w:right="3753"/>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jc w:val="right"/>
              <w:ind w:right="3753"/>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jc w:val="right"/>
              <w:ind w:right="3753"/>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34"/>
        </w:trPr>
        <w:tc>
          <w:tcPr>
            <w:tcW w:w="4440" w:type="dxa"/>
            <w:vAlign w:val="bottom"/>
          </w:tcPr>
          <w:p>
            <w:pPr>
              <w:jc w:val="right"/>
              <w:ind w:right="3753"/>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6179185</wp:posOffset>
            </wp:positionH>
            <wp:positionV relativeFrom="paragraph">
              <wp:posOffset>-1004570</wp:posOffset>
            </wp:positionV>
            <wp:extent cx="94615" cy="749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4615" cy="74930"/>
                    </a:xfrm>
                    <a:prstGeom prst="rect">
                      <a:avLst/>
                    </a:prstGeom>
                    <a:noFill/>
                  </pic:spPr>
                </pic:pic>
              </a:graphicData>
            </a:graphic>
          </wp:anchor>
        </w:drawing>
      </w:r>
    </w:p>
    <w:p>
      <w:pPr>
        <w:spacing w:after="0" w:line="159" w:lineRule="exact"/>
        <w:rPr>
          <w:sz w:val="20"/>
          <w:szCs w:val="20"/>
          <w:color w:val="auto"/>
        </w:rPr>
      </w:pPr>
    </w:p>
    <w:p>
      <w:pPr>
        <w:ind w:left="640" w:hanging="63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9" w:lineRule="exact"/>
        <w:rPr>
          <w:rFonts w:ascii="Times New Roman" w:cs="Times New Roman" w:eastAsia="Times New Roman" w:hAnsi="Times New Roman"/>
          <w:sz w:val="18"/>
          <w:szCs w:val="18"/>
          <w:color w:val="auto"/>
        </w:rPr>
      </w:pPr>
    </w:p>
    <w:p>
      <w:pPr>
        <w:ind w:left="660" w:hanging="652"/>
        <w:spacing w:after="0" w:line="260"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net revenues include elimination of intersegment revenues and other revenue adjustments. The unallocated Adjusted EBITDA represents the combination of corporate expenses which are not allocated to our segments and other unallocated revenue adjustments.</w:t>
      </w:r>
    </w:p>
    <w:p>
      <w:pPr>
        <w:spacing w:after="0" w:line="110" w:lineRule="exact"/>
        <w:rPr>
          <w:sz w:val="20"/>
          <w:szCs w:val="20"/>
          <w:color w:val="auto"/>
        </w:rPr>
      </w:pPr>
    </w:p>
    <w:p>
      <w:pPr>
        <w:ind w:right="2420" w:firstLine="2427"/>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Year Ended December 31, 2025 Compared with the Year Ended December 31, 2024 </w:t>
      </w:r>
      <w:r>
        <w:rPr>
          <w:rFonts w:ascii="Times New Roman" w:cs="Times New Roman" w:eastAsia="Times New Roman" w:hAnsi="Times New Roman"/>
          <w:sz w:val="18"/>
          <w:szCs w:val="18"/>
          <w:i w:val="1"/>
          <w:iCs w:val="1"/>
          <w:color w:val="auto"/>
        </w:rPr>
        <w:t>Total Reynolds Consumer Products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40" w:type="dxa"/>
            <w:vAlign w:val="bottom"/>
          </w:tcPr>
          <w:p>
            <w:pPr>
              <w:spacing w:after="0"/>
              <w:rPr>
                <w:sz w:val="11"/>
                <w:szCs w:val="11"/>
                <w:color w:val="auto"/>
              </w:rPr>
            </w:pPr>
          </w:p>
        </w:tc>
        <w:tc>
          <w:tcPr>
            <w:tcW w:w="76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1"/>
                <w:szCs w:val="11"/>
                <w:color w:val="auto"/>
              </w:rPr>
            </w:pPr>
          </w:p>
        </w:tc>
        <w:tc>
          <w:tcPr>
            <w:tcW w:w="1000" w:type="dxa"/>
            <w:vAlign w:val="bottom"/>
          </w:tcPr>
          <w:p>
            <w:pPr>
              <w:jc w:val="right"/>
              <w:ind w:right="252"/>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1"/>
                <w:szCs w:val="11"/>
                <w:color w:val="auto"/>
              </w:rPr>
            </w:pPr>
          </w:p>
        </w:tc>
        <w:tc>
          <w:tcPr>
            <w:tcW w:w="1020" w:type="dxa"/>
            <w:vAlign w:val="bottom"/>
          </w:tcPr>
          <w:p>
            <w:pPr>
              <w:jc w:val="right"/>
              <w:ind w:right="272"/>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gridSpan w:val="2"/>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3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9"/>
                <w:szCs w:val="19"/>
                <w:color w:val="auto"/>
              </w:rPr>
            </w:pP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3,721</w:t>
            </w:r>
          </w:p>
        </w:tc>
        <w:tc>
          <w:tcPr>
            <w:tcW w:w="1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3,695</w:t>
            </w: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30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14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(75) %</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40" w:type="dxa"/>
            <w:vAlign w:val="bottom"/>
          </w:tcPr>
          <w:p>
            <w:pPr>
              <w:spacing w:after="0"/>
              <w:rPr>
                <w:sz w:val="19"/>
                <w:szCs w:val="19"/>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(74) %</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9"/>
                <w:szCs w:val="19"/>
                <w:color w:val="auto"/>
              </w:rPr>
            </w:pP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w:t>
            </w:r>
          </w:p>
        </w:tc>
        <w:tc>
          <w:tcPr>
            <w:tcW w:w="1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978</w:t>
            </w: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30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 %</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40" w:type="dxa"/>
            <w:vAlign w:val="bottom"/>
          </w:tcPr>
          <w:p>
            <w:pPr>
              <w:spacing w:after="0"/>
              <w:rPr>
                <w:sz w:val="19"/>
                <w:szCs w:val="19"/>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 %</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9"/>
                <w:szCs w:val="19"/>
                <w:color w:val="auto"/>
              </w:rPr>
            </w:pP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NM %</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1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1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refinancing expense</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1520" w:type="dxa"/>
            <w:vAlign w:val="bottom"/>
            <w:gridSpan w:val="3"/>
          </w:tcPr>
          <w:p>
            <w:pPr>
              <w:jc w:val="right"/>
              <w:ind w:right="255"/>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NM %</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1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w:t>
            </w: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30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19"/>
                <w:szCs w:val="19"/>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48"/>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30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23"/>
                <w:szCs w:val="23"/>
                <w:b w:val="1"/>
                <w:bCs w:val="1"/>
                <w:color w:val="auto"/>
                <w:vertAlign w:val="superscript"/>
              </w:rPr>
              <w:t>(1)</w:t>
            </w: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tcBorders>
              <w:top w:val="single" w:sz="8" w:color="CCEEFF"/>
            </w:tcBorders>
            <w:vMerge w:val="continue"/>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667</w:t>
            </w:r>
          </w:p>
        </w:tc>
        <w:tc>
          <w:tcPr>
            <w:tcW w:w="14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w:t>
            </w:r>
          </w:p>
        </w:tc>
        <w:tc>
          <w:tcPr>
            <w:tcW w:w="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24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678</w:t>
            </w:r>
          </w:p>
        </w:tc>
        <w:tc>
          <w:tcPr>
            <w:tcW w:w="14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w:t>
            </w:r>
          </w:p>
        </w:tc>
        <w:tc>
          <w:tcPr>
            <w:tcW w:w="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w:t>
            </w:r>
          </w:p>
        </w:tc>
        <w:tc>
          <w:tcPr>
            <w:tcW w:w="14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w:t>
            </w:r>
          </w:p>
        </w:tc>
        <w:tc>
          <w:tcPr>
            <w:tcW w:w="3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40" w:hanging="632"/>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Change in Net Revenues for the Year Ended December 31, 2025 vs. the Year Ended December 31, 2024</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9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190"/>
        </w:trPr>
        <w:tc>
          <w:tcPr>
            <w:tcW w:w="47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Non-Retail</w:t>
            </w:r>
          </w:p>
        </w:tc>
        <w:tc>
          <w:tcPr>
            <w:tcW w:w="30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r>
      <w:tr>
        <w:trPr>
          <w:trHeight w:val="22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Reynolds Cooking &amp; Baking</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Hefty Waste &amp; Storage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Hefty Tableware</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 %</w:t>
            </w:r>
          </w:p>
        </w:tc>
      </w:tr>
      <w:tr>
        <w:trPr>
          <w:trHeight w:val="229"/>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Presto Products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1 %</w:t>
            </w:r>
          </w:p>
        </w:tc>
      </w:tr>
    </w:tbl>
    <w:p>
      <w:pPr>
        <w:spacing w:after="0" w:line="2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Net Revenues</w:t>
      </w:r>
      <w:r>
        <w:rPr>
          <w:rFonts w:ascii="Times New Roman" w:cs="Times New Roman" w:eastAsia="Times New Roman" w:hAnsi="Times New Roman"/>
          <w:sz w:val="18"/>
          <w:szCs w:val="18"/>
          <w:color w:val="auto"/>
        </w:rPr>
        <w:t>. Total net revenues increased by $26 million, or 1%, to $3,721 million. The 1% increase was primarily driven by higher pricing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pass through of higher input costs, partially offset by lower retail volume.</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increased by $90 million, or 3%, to $2,807 million. The increase was primarily driven by higher input, manufacturing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logistics costs, partially offset by lower sales volume.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$47 million to $382 million due to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and advertising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was $40 million, reflecting costs to execute strategic initiatives and costs associated with our CEO transition.</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w:t>
      </w:r>
      <w:r>
        <w:rPr>
          <w:rFonts w:ascii="Times New Roman" w:cs="Times New Roman" w:eastAsia="Times New Roman" w:hAnsi="Times New Roman"/>
          <w:sz w:val="18"/>
          <w:szCs w:val="18"/>
          <w:color w:val="auto"/>
        </w:rPr>
        <w:t>. Interest expense, net decreased by $12 million, or 12%, to $86 million. The decrease was primarily due to a lower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as a result of principal payments made on our term loan facility.</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Debt refinancing expense. </w:t>
      </w:r>
      <w:r>
        <w:rPr>
          <w:rFonts w:ascii="Times New Roman" w:cs="Times New Roman" w:eastAsia="Times New Roman" w:hAnsi="Times New Roman"/>
          <w:sz w:val="18"/>
          <w:szCs w:val="18"/>
          <w:color w:val="auto"/>
        </w:rPr>
        <w:t>In connection with the refinancing of our senior secured term loan facility in March 2025, we recorded debt refinancing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$13 million for the year ended December 31, 2025.</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Our effective tax rate increased by 1.4%, from 21.9% for the year ended December 31, 2024, to 23.3%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2025. The increase was primarily due to the recognition of a discrete tax benefit for the remeasurement of deferred tax liabilities in 2024.</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decreased by $11 million, or 2%, to $667 million. The decrease in Adjusted EBITDA was primarily due to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retail volume and higher material, manufacturing and logistics costs, partially offset by higher pricing and lower selling, general and administrative expenses.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net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Non-retail net revenues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5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1,259</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1,206</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04"/>
        </w:trPr>
        <w:tc>
          <w:tcPr>
            <w:tcW w:w="4780" w:type="dxa"/>
            <w:vAlign w:val="bottom"/>
            <w:vMerge w:val="continue"/>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219</w:t>
            </w:r>
          </w:p>
        </w:tc>
        <w:tc>
          <w:tcPr>
            <w:tcW w:w="260" w:type="dxa"/>
            <w:vAlign w:val="bottom"/>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216</w:t>
            </w:r>
          </w:p>
        </w:tc>
        <w:tc>
          <w:tcPr>
            <w:tcW w:w="260" w:type="dxa"/>
            <w:vAlign w:val="bottom"/>
          </w:tcPr>
          <w:p>
            <w:pPr>
              <w:spacing w:after="0"/>
              <w:rPr>
                <w:sz w:val="17"/>
                <w:szCs w:val="17"/>
                <w:color w:val="auto"/>
              </w:rPr>
            </w:pPr>
          </w:p>
        </w:tc>
        <w:tc>
          <w:tcPr>
            <w:tcW w:w="28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w:t>
            </w:r>
          </w:p>
        </w:tc>
        <w:tc>
          <w:tcPr>
            <w:tcW w:w="158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17 %</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18 %</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Reynolds Cooking &amp; Baking total segment net revenues increased by $53 million, or 4%, to $1,259 million. The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revenues was primarily due to higher pricing driven by the pass through of higher input costs and higher non-retail volume, partially offset by lower retail volume.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Reynolds Cooking &amp; Baking Adjusted EBITDA increased by $3 million, or 1%, to $219 million. The increase in Adjusted EBITDA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driven by the timing of pricing actions to recover higher input costs and lower selling, general and administrative expenses, partially offset by lower retail volume.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80" w:type="dxa"/>
            <w:vAlign w:val="bottom"/>
            <w:vMerge w:val="continue"/>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28 %</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28 %</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Hefty Waste &amp; Storage total segment net revenues increased by $30 million, or 3%, to $1,011 million. The increase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was primarily driven by higher volume.</w:t>
      </w:r>
    </w:p>
    <w:p>
      <w:pPr>
        <w:spacing w:after="0" w:line="15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Waste &amp; Storage Adjusted EBITDA increased by $2 million, or 1%, to $279 million. The increase in Adjusted EBITDA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higher revenue and lower selling, general and administrative expenses, partially offset by higher input, manufacturing and logistics costs.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vMerge w:val="continue"/>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9"/>
                <w:szCs w:val="19"/>
                <w:color w:val="auto"/>
              </w:rPr>
            </w:pP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16 %</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16 %</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Hefty Tableware total segment net revenues decreased by $86 million, or 9%, to $850 million. The decrease in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lower foam volume, partially offset by higher pricing, including lower promotional spending.</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Tableware Adjusted EBITDA decreased by $15 million, or 10%, to $133 million. The decrease in Adjusted EBITDA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lower foam volume and higher related costs, partially offset by higher pricing and lower selling, general and administrative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vMerge w:val="continue"/>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21 %</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22 %</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Presto Products total segment net revenues increased by $31 million, or 5%, to $628 million. The increase in net revenues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higher volume.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Presto Products Adjusted EBITDA was $130 million in both years. Higher volume was fully offset by higher operational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scaling new distribution.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Portions of our business historically have been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Reynolds Parchment Paper and disposable aluminum pans. Our tableware products generally have higher sales in the second and fourth quarters of the year, primarily due to outdoor summertime and holiday uses of disposable plates, cups, bowls and cutlery.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existing cash and cash equivalents, cash generated from operating activities, including proceeds from factored receivables, and available borrowings under the Revolving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our cash flows for the years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on cash and cash equivalents</w:t>
            </w:r>
          </w:p>
        </w:tc>
        <w:tc>
          <w:tcPr>
            <w:tcW w:w="26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from operating activities decreased by $12 million, or 2%, to $477 million. The decrease was primarily driven by lower net income.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increased by $41 million, or 34%, to $161 million. The increase was driven by an increase in cash outlays for capital expenditures.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financing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decreased by $40 million, or 12%, to $306 million. We made principal payments of $108 million during the year ended December 31, 2025 compared to principal payments of $150 million during the year ended December 31, 2024.</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External Debt Facilities consist of a senior secured term loan facility (“Term Loan Facility”) and a $700 million senior secured revolving credit facility (“Revolving Facility”) in a syndicated loan arrangement. During March 2025, we amended the Term Loan Facility, replacing the then-existing facility, which was originally set to mature in February 2027, with a new $1,645 million facility maturing in March 2032 (“Amendment No. 4”). Other than the new maturity date and the recommencement of quarterly amortization payments, the material terms of our External Debt Facilities remain unchanged as a result of Amendment No. 4.</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outstanding balance under the Term Loan Facility was $1,586 million. As of December 31, 2025, we had no outstanding borrowings under the Revolving Facility, and we had $7 million of letters of credit outstanding, which reduces the borrowing capacity under the Revolving Facility.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borrower under the External Debt Facilities is Reynolds Consumer Products LLC (the “Borrower”). The Revolving Facility includes a sub-facility for letters of credit. In addition, the External Debt Facilities provide that the Borrower has the right at any time, subject to customary conditions, to request incremental term loans or incremental revolving credit commitments in amounts and on terms set forth therein. The lenders under the External Debt Facilities are not under any obligation to provide any such incremental loans or commitments, and any such addition of or increase in loans is subject to certain customary conditions precedent and other provisions.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and fees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Borrowings under the External Debt Facilities bear interest at a rate per annum equal to, at our option, either a base rate plus an applicable margin of 0.75% or a SOFR rate plus an applicable margin of 1.75%.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entered into a series of interest rate swaps to fix the SOFR of our External Debt Facilities.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notional amount of the interest rate swaps in effect as of December 31, 2025 and 2024 was $1,000 million and $1,150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SOFR of the swaps in effect is fixed at an annual rate of 2.66% to 3.40% (for an annual effective interest rate of 4.41% to 5.15%, including margin).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interest rate swaps that are in effect have maturity dates of less than one year, and a weighted average effective rate of 4.71%.</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during the year ended December 31, 2025, we entered into additional interest rate swaps with forward start dates beginning in February 2026, that had an aggregate notional value of $900 million, which fixes the SOFR to an annual rate of 3.33% to 3.41% (for an annual effective interest rate of 5.08% to 5.16%, including margin). These interest rate swaps with forward start dates have maturity dates between March 2028 and March 2031, and a weighted average effective rate of 5.12%.</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contains customary mandatory prepayments, including with respect to excess cash flow, asset sale proceeds and proceeds from certain incurrences of indebtedness.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Borrower may voluntarily repay outstanding loans under the Term Loan Facility at any time without premium or penalty, other than customary breakage costs with respect to SOFR based loans. During the years ended December 31, 2025 and 2024, we made voluntary principal payments of $100 million and $150 million, respectively, related to the Term Loan Facility, which were not subject to a prepayment premium.</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and maturity</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Loan Facility matures in March 2032. The Term Loan Facility amortizes in equal quarterly installments of $4 million, which commenced in June 2025, with the balance payable on maturity. As a result of voluntary principal repayments made after amending our External Debt Facilities, the Term Loan Facility has no quarterly amortization payments due until December 2028, when the quarterly amortization payments will recommence.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Revolving Facility matures in October 2029.</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 and security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obligations under the External Debt Facilities and certain hedge agreements and cash management arrangements provided by any lender party to the External Debt Facilities or any of its affiliates and certain other persons are unconditionally guaranteed by Reynolds Consumer Products Inc. (“RCPI”), the Borrower (with respect to hedge agreements and cash management arrangements not entered into by the Borrower) and certain of RCPI’s existing and subsequently acquired or organized direct or indirect material wholly-owned U.S. restricted subsidiaries, with customary exceptions including, among other things, where providing such guarantees is not permitted by law, regulation or contract or would result in material adverse tax consequences.</w:t>
      </w:r>
    </w:p>
    <w:p>
      <w:pPr>
        <w:spacing w:after="0" w:line="18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All obligations under the External Debt Facilities and certain hedge agreements and cash management arrangements provided by any lender party to the External Debt Facilities or any of its affiliates and certain other persons, and the guarantees of such obligations, are secured, subject to permitted liens and other exceptions, by: (i) a perfected first-priority pledge of all the equity interests of each wholly-owned material restricted subsidiary of RCPI, the Borrower or a subsidiary guarantor, including the equity interests of the Borrower (limited to 65% of voting stock in the case of first-tier non-U.S. subsidiaries of RCPI, the Borrower or any subsidiary guarantor) and (ii) perfected first-priority security interests in substantially all tangible and intangible personal property of RCPI, the Borrower and the subsidiary guarantors (subject to certain other exclusions).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covenants and events of default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External Debt Facilities contain a number of covenants that, among other things, restrict, subject to certain exceptions, our ability and the ability of the restricted subsidiaries of RCPI to:</w:t>
      </w:r>
    </w:p>
    <w:p>
      <w:pPr>
        <w:spacing w:after="0" w:line="54" w:lineRule="exact"/>
        <w:rPr>
          <w:sz w:val="20"/>
          <w:szCs w:val="20"/>
          <w:color w:val="auto"/>
        </w:rPr>
      </w:pPr>
    </w:p>
    <w:p>
      <w:pPr>
        <w:ind w:left="440" w:hanging="316"/>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or repurchase capital stock;</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indebtedness;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and advances;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which limit the ability of our restricted subsidiaries to incur restrictions on their ability to make distributions;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amendments to certain indebtedness in a manner materially adverse to the lenders.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External Debt Facilities are entitled to take various actions, including the acceleration of amounts due under the External Debt Facilities and all actions permitted to be taken by secured creditors.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in compliance with the covenants contained in our External Debt Facilities.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Factoring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party to a factoring agreement with a financial institution to sell certain accounts receivable up to $95 million. We had no outstanding balance owed under the factoring arrangement as of December 31, 2025 and 2024. Transactions under this agreement are accounted for as sales of accounts receivable, and the receivables sold are removed from the consolidated balance sheet at the time of the sales transaction. We classify proceeds received from the sales of accounts receivable as an operating cash flow in the consolidated statement of cash flows. We record the discount as other expense, net in the consolidated statement of income.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Financing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an ongoing Supply Chain Finance program (the “SCF”) with a global financial institution (the “SCF Bank”). Under the SCF, qualifying suppliers may elect to sell their receivables from us to the SCF Bank. These participating suppliers negotiate their receivables sales arrangements directly with the SCF Bank. We are not party to those agreements, nor do we provide any security or other forms of guarantees to the SCF Bank. The participation in the program is at the sole discretion of the supplier, we have no economic interest in a supplier’s decision to enter into the agreement and have no direct financial relationship with the SCF Bank, as it relates to the SCF. Once a qualifying supplier elects to participate in the SCF and reaches an agreement with the SCF Bank, they elect which individual invoices they sell to the SCF Bank.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our payment obligations are not impacted by a supplier’s participation in the SCF and as such, the SCF has no impact on our balance sheets, cash flows or liquidity. Our payment terms with our suppliers for similar services and materials within individual markets are consistent between suppliers that elect to participate in the SCF and those that do not participate.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outstanding amounts related to suppliers participating in the SCF are recorded within accounts payable in the consolidated balance sheet and associated payments are included as an operating cash flow in the consolidated statement of cash flows. As of December 31, 2025 and 2024, the amount of obligations outstanding that we have confirmed as valid under the SCF were $9 million and $12 million,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cash dividends totaling $0.92 per share were declared and paid. On January 29, 2026, a quarterly cash dividend of $0.23 per share was declared and is to be paid on February 27, 2026. We expect to continue paying cash dividends on a quarterly basis; however, future dividends are at the discretion of our Board of Directors and will depend upon our earnings, capital requirements, financial condition, contractual limitations (including under the External Debt Facilities) and other factors.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including proceeds from factored receivables, and available borrowings under the Revolving Facility are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“Item 1A. Risk Factors”.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material contractual obligations as of December 31, 2025: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3"/>
                <w:szCs w:val="13"/>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6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One to three</w:t>
            </w:r>
          </w:p>
        </w:tc>
        <w:tc>
          <w:tcPr>
            <w:tcW w:w="16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to five</w:t>
            </w:r>
          </w:p>
        </w:tc>
        <w:tc>
          <w:tcPr>
            <w:tcW w:w="140" w:type="dxa"/>
            <w:vAlign w:val="bottom"/>
          </w:tcPr>
          <w:p>
            <w:pPr>
              <w:spacing w:after="0"/>
              <w:rPr>
                <w:sz w:val="13"/>
                <w:szCs w:val="13"/>
                <w:color w:val="auto"/>
              </w:rPr>
            </w:pP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0" w:type="dxa"/>
            <w:vAlign w:val="bottom"/>
          </w:tcPr>
          <w:p>
            <w:pPr>
              <w:spacing w:after="0"/>
              <w:rPr>
                <w:sz w:val="1"/>
                <w:szCs w:val="1"/>
                <w:color w:val="auto"/>
              </w:rPr>
            </w:pPr>
          </w:p>
        </w:tc>
      </w:tr>
      <w:tr>
        <w:trPr>
          <w:trHeight w:val="195"/>
        </w:trPr>
        <w:tc>
          <w:tcPr>
            <w:tcW w:w="4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60" w:type="dxa"/>
            <w:vAlign w:val="bottom"/>
          </w:tcPr>
          <w:p>
            <w:pPr>
              <w:spacing w:after="0"/>
              <w:rPr>
                <w:sz w:val="16"/>
                <w:szCs w:val="16"/>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6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6"/>
                <w:szCs w:val="16"/>
                <w:color w:val="auto"/>
              </w:rPr>
            </w:pPr>
          </w:p>
        </w:tc>
        <w:tc>
          <w:tcPr>
            <w:tcW w:w="10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0" w:type="dxa"/>
            <w:vAlign w:val="bottom"/>
          </w:tcPr>
          <w:p>
            <w:pPr>
              <w:spacing w:after="0"/>
              <w:rPr>
                <w:sz w:val="1"/>
                <w:szCs w:val="1"/>
                <w:color w:val="auto"/>
              </w:rPr>
            </w:pPr>
          </w:p>
        </w:tc>
      </w:tr>
      <w:tr>
        <w:trPr>
          <w:trHeight w:val="228"/>
        </w:trPr>
        <w:tc>
          <w:tcPr>
            <w:tcW w:w="464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Unconditional capital expenditure obligations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plan obligations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2,322</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1,676</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hanging="652"/>
        <w:spacing w:after="0" w:line="282"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obligations for long-term debt consist of the principal amounts and interest obligations. The interest rate on the floating rate debt balances has been assumed to be the same as the rate in effect as of December 31, 2025.</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2025, our liabilities for uncertain tax positions and defined benefit pension obligations totaled $13 million. The ultimate timing of these liabilities cannot be determined; therefore, we have excluded these amounts from the contractual obligations table above.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material off-balance sheet obligations.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methods, estimates and judgments we use in applying our most critical accounting policies have a significant impact on the results we report in our consolidated financial statements. Critical accounting estimates are those that involve a significant level of estimation uncertainty and have had or are reasonably likely to have a material impact on our financial condition and results of operations. Specific areas requiring the application of management’s estimates and judgments include, among others, assumptions pertaining to valuation assumptions of goodwill and intangible assets, useful lives of long-lived assets and sales incentives. Accordingly, a different financial presentation could result depending on the judgments, estimates or assumptions that are used. A summary of our significant accounting policies and use of estimates is contained in Note 2 - Summary of Significant Accounting Policies of our consolidated financial statements included elsewhere in this Annual Report on Form 10-K.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accounting estimates and assumptions described below involve significant subjectivity and judgment, and changes to such estimates or assumptions could have a material impact on our financial condition or operating results. Therefore, we consider an understanding of the variability and judgment required in making these estimates and assumptions to be critical in fully understanding and evaluating our reported financial results.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Recognition-Sales Incentives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routinely commit to one-time or ongoing trade-promotion programs with our customers. Programs include discounts, allowances, shelf-price reductions, end-of-aisle or in-store displays of our products and graphics and other trade-promotion activities conducted by the customer, such as coupons. Collectively, we refer to these as sales incentives or trade promotions. Costs related to these programs are recorded as a reduction to revenue. Our trade promotion accruals are primarily based on estimated volume and incorporate historical sales and spending trends by customer and category. The determination of these estimated accruals requires judgment and may change in the future as a result of changes in customer promotion participation, particularly for new programs and for programs related to the introduction of new products. Final determination of the total cost of a promotion is dependent upon customers providing information about proof of performance and other information related to the promotional event. This process of analyzing and settling trade-promotion programs with customers could impact our results of operations and trade promotion accruals depending on how actual results of the programs compare to original estimates. Sales incentives represented 5% of total net revenues for each of the years ended December 31, 2025, 2024 and 2023. As of December 31, 2025 and 2024, we had accruals of $33 million and $36 million, respectively, reflected on our consolidated balance sheets in Accrued and other current liabilities related to sales incentive programs.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Indefinite-Lived Intangible Assets and Long-Lived Assets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test our goodwill and other indefinite-lived intangible assets for impairment annually in the fiscal fourth quarter unless there are indications during a different interim period that these assets may have become impaired. No impairments were identified as a result of our impairment review performed annually during the fourth quarter of fiscal years 2025, 2024 and 2023.</w:t>
      </w:r>
    </w:p>
    <w:p>
      <w:pPr>
        <w:spacing w:after="0" w:line="28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Goodwill</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reporting units for goodwill impairment testing purposes are Reynolds Cooking &amp; Baking, Hefty Waste &amp; Storage, Hefty Tableware and Presto Products. No instances of impairment were identified during the fiscal year 2025 annual impairment review. All of our reporting units had fair values that significantly exceeded recorded carrying values. However, future changes in the judgments, assumptions and estimates that are used in the impairment testing for goodwill as described below could result in significantly different estimates of the fair values.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our evaluation of goodwill impairment, we have the option to first assess qualitative factors such as the maturity and stability of the reporting unit, the magnitude of the excess fair value over carrying value from the prior year’s impairment testing, other reporting unit operating results as well as new events and circumstances impacting the operations at the reporting unit level. If the result of a qualitative test indicates a potential for impairment, or if we voluntarily elect, a quantitative test is performed, wherein we compare the estimated fair value of each reporting unit to its carrying value. In all instances where a quantitative test was performed, the estimated fair value exceeded the carrying value of the reporting unit and none of our reporting units were at a risk of failing the quantitative test. If the estimated fair value of any reporting unit had been less than its carrying value, an impairment charge would have been recorded for the amount by which the reporting unit’s carrying amount exceeds its fair value.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determine the fair value of a reporting unit as part of our quantitative test, we use a capitalization of earnings method under the income approach. Under this approach, we estimate the forecasted Adjusted EBITDA of each reporting unit and capitalize this amount using a multiple. The Adjusted EBITDA amounts are consistent with those we use in our internal planning, which gives consideration to actual business trends experienced and the long-term business strategy. The selection of a capitalization multiple incorporates consideration of comparable entity trading multiples within the same industry and recent sale and purchase transactions. Changes in such estimates or the application of alternative assumptions could produce different results.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Indefinite-Lived Intangible Assets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indefinite-lived intangible assets consist of certain trade names. We test indefinite-lived intangible assets for impairment on an annual basis in the fourth quarter and whenever events or changes in circumstances indicate that the carrying amount of such assets may not be recoverable. We have the option to first assess qualitative factors such as the maturity of the trade name, the magnitude of the excess fair value over carrying value from the prior year’s impairment testing, as well as new events and circumstances impacting the trade name. If the result of a qualitative test indicates a potential for impairment, or if we voluntarily elect, a quantitative test is performed. If the carrying amount of such asset exceeds its estimated fair value, an impairment charge is recorded for the difference between the carrying amount and the estimated fair value. When a quantitative test is performed we use a relief from royalty computation under the income approach to estimate the fair value of our trade names. This approach requires significant judgments in determining</w:t>
      </w:r>
    </w:p>
    <w:p>
      <w:pPr>
        <w:spacing w:after="0" w:line="3" w:lineRule="exact"/>
        <w:rPr>
          <w:sz w:val="20"/>
          <w:szCs w:val="20"/>
          <w:color w:val="auto"/>
        </w:rPr>
      </w:pPr>
    </w:p>
    <w:p>
      <w:pPr>
        <w:jc w:val="both"/>
        <w:ind w:firstLine="8"/>
        <w:spacing w:after="0" w:line="253" w:lineRule="auto"/>
        <w:tabs>
          <w:tab w:leader="none" w:pos="22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future branded revenue from the use of the asset; (ii) the relevant royalty rate to be applied to these estimated future cash flows; and (iii) the appropriate discount rates applied to those cash flows to determine fair value. Changes in such estimates or the use of alternative assumptions could produce different results. No instances of impairment were identified during the fiscal year 2025 annual impairment review. Each of our indefinite-lived intangible assets had fair values that significantly exceeded recorded carrying values.</w:t>
      </w:r>
    </w:p>
    <w:p>
      <w:pPr>
        <w:spacing w:after="0" w:line="29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Long-Lived Assets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Long-lived assets, including finite-lived intangible assets, are reviewed for possible impairment whenever events or changes in circumstances occur that indicate that the carrying amount of an asset (or asset group) may not be recoverable. Our impairment review requires significant management judgment, including estimating the future success of product lines, future sales volumes, revenue and expense growth rates, alternative uses for the assets and estimated proceeds from the disposal of the assets. We review business plans for possible impairment indicators. Impairment occurs when the carrying amount of the asset (or asset group) exceeds its estimated future undiscounted cash flows. When impairment is indicated, an impairment charge is recorded for the difference between the asset’s carrying value and its estimated fair value. Depending on the asset, estimated fair value may be determined either by use of a discounted cash flow model or by reference to estimated selling values of assets in similar condition. The use of different assumptions would increase or decrease the estimated fair value of assets and would increase or decrease any impairment measurement.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accounting guidance that we have recently adopted, as well as accounting guidance that has been recently issued but not yet adopted by us, is included in Note 2 - Summary of Significant Accounting Policies of our consolidated financial statements included elsewhere in this Annual Report on Form 10-K.</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are subject to risks from adverse fluctuations in interest rates and commodity prices. Our objective in managing our exposure to market risk is to limit the impact on earnings and cash flow.</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significant variable rate debt commitments outstanding as of December 31, 2025, which accrue interest at the SOFR rate plus an applicable margin of 1.75%. These on-balance sheet financial instruments expose us to interest rate risk.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entered into a series of interest rate swaps to fix the SOFR of our External Debt Facilities.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notional amount of the interest rate swaps in effect as of December 31, 2025 and 2024 was $1,000 million and $1,150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SOFR of the swaps in effect is fixed at an annual rate of 2.66% to 3.40% (for an annual effective interest rate of 4.41% to 5.15%, including margin).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interest rate swaps that are in effect have maturity dates of less than one year, and a weighted average effective rate of 4.71%.</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during the year ended December 31, 2025, we entered into additional interest rate swaps with forward start dates beginning in February 2026, that had an aggregate notional value of $900 million, which fixes the SOFR to an annual rate of 3.33% to 3.41% (for an annual effective interest rate of 5.08% to 5.16%, including margin). These interest rate swaps with forward start dates have maturity dates between March 2028 and March 2031, and a weighted average effective rate of 5.12%. The fair value of our interest rate swaps included on our consolidated balance sheets as of December 31, 2025 was $1 million. Refer to Note 8 – Financial Instruments for further detail.</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Pay fixed / receive</w:t>
            </w:r>
          </w:p>
        </w:tc>
        <w:tc>
          <w:tcPr>
            <w:tcW w:w="1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4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variable notional (in</w:t>
            </w:r>
          </w:p>
        </w:tc>
        <w:tc>
          <w:tcPr>
            <w:tcW w:w="1940" w:type="dxa"/>
            <w:vAlign w:val="bottom"/>
            <w:gridSpan w:val="2"/>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 xml:space="preserve">Average pay rate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03"/>
        </w:trPr>
        <w:tc>
          <w:tcPr>
            <w:tcW w:w="7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9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rate swaps in effect as of December 31, 2025</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xml:space="preserve">5.1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9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xml:space="preserve">5.2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rate swaps with forward start dates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900</w:t>
            </w:r>
          </w:p>
        </w:tc>
        <w:tc>
          <w:tcPr>
            <w:tcW w:w="1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1.75% applicable margin on the one-month SOFR.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unhedged outstanding borrowings under the Term Loan Facility as of December 31, 2025, a 100-basis point increase (decrease) in the interest rates under the Term Loan Facility would result in a $6 million increase (decrease) in interest expense, per annum, on our borrowings.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Risk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commodity and other price risk principally from the purchase of resin, aluminum, natural gas, electricity, carton board and diesel. In some instances, we use contracts of varying durations along with strategic pricing mechanisms to manage volatility for a portion of our commodity costs, but derivative instruments are not currently being used to manage these risks.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439"/>
        </w:trPr>
        <w:tc>
          <w:tcPr>
            <w:tcW w:w="20" w:type="dxa"/>
            <w:vAlign w:val="bottom"/>
          </w:tcPr>
          <w:p>
            <w:pPr>
              <w:spacing w:after="0"/>
              <w:rPr>
                <w:sz w:val="24"/>
                <w:szCs w:val="24"/>
                <w:color w:val="auto"/>
              </w:rPr>
            </w:pPr>
          </w:p>
        </w:tc>
        <w:tc>
          <w:tcPr>
            <w:tcW w:w="104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4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Income for the years ended December 31, 2025, 2024 and 2023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04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2025, 2024 and 2023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71"/>
        </w:trPr>
        <w:tc>
          <w:tcPr>
            <w:tcW w:w="20" w:type="dxa"/>
            <w:vAlign w:val="bottom"/>
          </w:tcPr>
          <w:p>
            <w:pPr>
              <w:spacing w:after="0"/>
              <w:rPr>
                <w:sz w:val="24"/>
                <w:szCs w:val="24"/>
                <w:color w:val="auto"/>
              </w:rPr>
            </w:pPr>
          </w:p>
        </w:tc>
        <w:tc>
          <w:tcPr>
            <w:tcW w:w="46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3120" w:type="dxa"/>
            <w:vAlign w:val="bottom"/>
            <w:tcBorders>
              <w:top w:val="single" w:sz="8" w:color="0000FF"/>
            </w:tcBorders>
            <w:gridSpan w:val="4"/>
          </w:tcPr>
          <w:p>
            <w:pPr>
              <w:spacing w:after="0"/>
              <w:rPr>
                <w:sz w:val="24"/>
                <w:szCs w:val="24"/>
                <w:color w:val="auto"/>
              </w:rPr>
            </w:pPr>
          </w:p>
        </w:tc>
        <w:tc>
          <w:tcPr>
            <w:tcW w:w="2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72"/>
        </w:trPr>
        <w:tc>
          <w:tcPr>
            <w:tcW w:w="20" w:type="dxa"/>
            <w:vAlign w:val="bottom"/>
          </w:tcPr>
          <w:p>
            <w:pPr>
              <w:spacing w:after="0"/>
              <w:rPr>
                <w:sz w:val="24"/>
                <w:szCs w:val="24"/>
                <w:color w:val="auto"/>
              </w:rPr>
            </w:pPr>
          </w:p>
        </w:tc>
        <w:tc>
          <w:tcPr>
            <w:tcW w:w="7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2025, 2024 and 2023</w:t>
            </w:r>
          </w:p>
        </w:tc>
        <w:tc>
          <w:tcPr>
            <w:tcW w:w="288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71"/>
        </w:trPr>
        <w:tc>
          <w:tcPr>
            <w:tcW w:w="20" w:type="dxa"/>
            <w:vAlign w:val="bottom"/>
          </w:tcPr>
          <w:p>
            <w:pPr>
              <w:spacing w:after="0"/>
              <w:rPr>
                <w:sz w:val="24"/>
                <w:szCs w:val="24"/>
                <w:color w:val="auto"/>
              </w:rPr>
            </w:pPr>
          </w:p>
        </w:tc>
        <w:tc>
          <w:tcPr>
            <w:tcW w:w="69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2024 and 2023</w:t>
            </w:r>
          </w:p>
        </w:tc>
        <w:tc>
          <w:tcPr>
            <w:tcW w:w="356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72"/>
        </w:trPr>
        <w:tc>
          <w:tcPr>
            <w:tcW w:w="20" w:type="dxa"/>
            <w:vAlign w:val="bottom"/>
          </w:tcPr>
          <w:p>
            <w:pPr>
              <w:spacing w:after="0"/>
              <w:rPr>
                <w:sz w:val="24"/>
                <w:szCs w:val="24"/>
                <w:color w:val="auto"/>
              </w:rPr>
            </w:pPr>
          </w:p>
        </w:tc>
        <w:tc>
          <w:tcPr>
            <w:tcW w:w="3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706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520"/>
        </w:trPr>
        <w:tc>
          <w:tcPr>
            <w:tcW w:w="662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the </w:t>
      </w:r>
      <w:r>
        <w:rPr>
          <w:rFonts w:ascii="Times New Roman" w:cs="Times New Roman" w:eastAsia="Times New Roman" w:hAnsi="Times New Roman"/>
          <w:sz w:val="18"/>
          <w:szCs w:val="18"/>
          <w:color w:val="383336"/>
        </w:rPr>
        <w:t>Board of Directors and Stockholders of Reynolds Consumer Products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Reynolds Consumer Products Inc. and its subsidiaries (the “Company”) as of December 31, 2025 and 2024, and the related consolidated statements of income, of comprehensive income, of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w:t>
      </w:r>
      <w:r>
        <w:rPr>
          <w:rFonts w:ascii="Times New Roman" w:cs="Times New Roman" w:eastAsia="Times New Roman" w:hAnsi="Times New Roman"/>
          <w:sz w:val="18"/>
          <w:szCs w:val="18"/>
          <w:color w:val="008080"/>
        </w:rPr>
        <w:t>’</w:t>
      </w:r>
      <w:r>
        <w:rPr>
          <w:rFonts w:ascii="Times New Roman" w:cs="Times New Roman" w:eastAsia="Times New Roman" w:hAnsi="Times New Roman"/>
          <w:sz w:val="18"/>
          <w:szCs w:val="18"/>
          <w:color w:val="auto"/>
        </w:rPr>
        <w: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for Certain Contracts with Customers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recorded total net revenues of $3,721 million for the year ended December 31, 2025, of which a portion relates to certain contracts with customers, recorded net of discounts, allowances and trade promotions (collectively referred to as “sales incentives”) recognized throughout the year. Consideration in contracts with customers is variable due to anticipated reductions such as sales incentives. Accordingly, revenues are recorded net of estimated sales incentives recognized throughout the year and as of year-end. The transaction price is estimated based on the amount of consideration to which management believes the Company will be entitled, using an expected value method.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for certain contracts with customers is a critical audit matter is a high degree of auditor effort in performing procedures related to revenue recognition for certain contracts with customers, recorded net of sales incentives recognized throughout the year.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(i) evaluating certain revenue transactions by testing the issuance and settlement of invoices and credit memos, tracing transactions not settled to a detailed listing of accounts receivable, and testing the completeness and accuracy of data provided by management; (ii) evaluating and recalculating, on a sample basis, certain sales incentives recognized by obtaining and inspecting source documents, such as executed contracts and support for the amount; and (iii) evaluating, on a sample basis, outstanding customer invoice balances as of December 31, 2025 by obtaining and inspecting source documents, such as executed contracts, invoices, proof of shipment, and subsequent cash receipts.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4,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3,721</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3,756</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512</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refinancing expense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2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w:t>
            </w:r>
          </w:p>
        </w:tc>
        <w:tc>
          <w:tcPr>
            <w:tcW w:w="2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70"/>
        </w:trPr>
        <w:tc>
          <w:tcPr>
            <w:tcW w:w="6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income taxes:</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benefit plans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income taxes</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8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1,101</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4,936</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4,873</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6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payables</w:t>
            </w:r>
          </w:p>
        </w:tc>
        <w:tc>
          <w:tcPr>
            <w:tcW w:w="8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postretirement benefit obligation</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6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2,731</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75"/>
        </w:trPr>
        <w:tc>
          <w:tcPr>
            <w:tcW w:w="82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$0.001 par value; 2,000 shares authorized; 210.3 shares issued and</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8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outstanding</w:t>
            </w:r>
          </w:p>
        </w:tc>
        <w:tc>
          <w:tcPr>
            <w:tcW w:w="860" w:type="dxa"/>
            <w:vAlign w:val="bottom"/>
          </w:tcPr>
          <w:p>
            <w:pPr>
              <w:spacing w:after="0"/>
              <w:rPr>
                <w:sz w:val="21"/>
                <w:szCs w:val="21"/>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2,253</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2,142</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86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4,936</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9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80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7"/>
                <w:szCs w:val="17"/>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1,868</w:t>
            </w: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income taxes</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($0.92 per share declared and paid)</w:t>
            </w:r>
          </w:p>
        </w:tc>
        <w:tc>
          <w:tcPr>
            <w:tcW w:w="1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1,396</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10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1,983</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29"/>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income taxes</w:t>
            </w:r>
          </w:p>
        </w:tc>
        <w:tc>
          <w:tcPr>
            <w:tcW w:w="1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($0.92 per share declared and paid)</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9"/>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2,142</w:t>
            </w:r>
          </w:p>
        </w:tc>
        <w:tc>
          <w:tcPr>
            <w:tcW w:w="0" w:type="dxa"/>
            <w:vAlign w:val="bottom"/>
          </w:tcPr>
          <w:p>
            <w:pPr>
              <w:spacing w:after="0"/>
              <w:rPr>
                <w:sz w:val="1"/>
                <w:szCs w:val="1"/>
                <w:color w:val="auto"/>
              </w:rPr>
            </w:pPr>
          </w:p>
        </w:tc>
      </w:tr>
      <w:tr>
        <w:trPr>
          <w:trHeight w:val="229"/>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income taxes</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($0.92 per share declared and paid)</w:t>
            </w:r>
          </w:p>
        </w:tc>
        <w:tc>
          <w:tcPr>
            <w:tcW w:w="1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5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6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operating cash flows: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5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6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payables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 / receivable</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6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0"/>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w:t>
            </w:r>
          </w:p>
        </w:tc>
      </w:tr>
      <w:tr>
        <w:trPr>
          <w:trHeight w:val="25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5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business</w:t>
            </w:r>
          </w:p>
        </w:tc>
        <w:tc>
          <w:tcPr>
            <w:tcW w:w="880" w:type="dxa"/>
            <w:vAlign w:val="bottom"/>
          </w:tcPr>
          <w:p>
            <w:pPr>
              <w:spacing w:after="0"/>
              <w:rPr>
                <w:sz w:val="21"/>
                <w:szCs w:val="21"/>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57"/>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8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2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24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r>
      <w:tr>
        <w:trPr>
          <w:trHeight w:val="25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provided by financing activities</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5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63"/>
        </w:trPr>
        <w:tc>
          <w:tcPr>
            <w:tcW w:w="6700" w:type="dxa"/>
            <w:vAlign w:val="bottom"/>
            <w:shd w:val="clear" w:color="auto" w:fill="CCEEFF"/>
          </w:tcPr>
          <w:p>
            <w:pPr>
              <w:ind w:left="180"/>
              <w:spacing w:after="0" w:line="263" w:lineRule="exact"/>
              <w:rPr>
                <w:sz w:val="20"/>
                <w:szCs w:val="20"/>
                <w:color w:val="auto"/>
              </w:rPr>
            </w:pPr>
            <w:r>
              <w:rPr>
                <w:rFonts w:ascii="Times New Roman" w:cs="Times New Roman" w:eastAsia="Times New Roman" w:hAnsi="Times New Roman"/>
                <w:sz w:val="18"/>
                <w:szCs w:val="18"/>
                <w:color w:val="auto"/>
              </w:rPr>
              <w:t>Proceeds from term loan refinancing</w:t>
            </w:r>
            <w:r>
              <w:rPr>
                <w:rFonts w:ascii="Times New Roman" w:cs="Times New Roman" w:eastAsia="Times New Roman" w:hAnsi="Times New Roman"/>
                <w:sz w:val="23"/>
                <w:szCs w:val="23"/>
                <w:color w:val="auto"/>
                <w:vertAlign w:val="superscript"/>
              </w:rPr>
              <w:t>(1)</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0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Repayments of existing term loan</w:t>
            </w:r>
            <w:r>
              <w:rPr>
                <w:rFonts w:ascii="Times New Roman" w:cs="Times New Roman" w:eastAsia="Times New Roman" w:hAnsi="Times New Roman"/>
                <w:sz w:val="23"/>
                <w:szCs w:val="23"/>
                <w:color w:val="auto"/>
                <w:vertAlign w:val="superscript"/>
              </w:rPr>
              <w:t>(1)</w:t>
            </w:r>
          </w:p>
        </w:tc>
        <w:tc>
          <w:tcPr>
            <w:tcW w:w="8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8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8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50"/>
        </w:trPr>
        <w:tc>
          <w:tcPr>
            <w:tcW w:w="6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Balance as of beginning of the year</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75"/>
        </w:trPr>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Balance as of end of the year</w:t>
            </w: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64"/>
        </w:trPr>
        <w:tc>
          <w:tcPr>
            <w:tcW w:w="6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w:t>
            </w:r>
          </w:p>
        </w:tc>
        <w:tc>
          <w:tcPr>
            <w:tcW w:w="8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50"/>
        </w:trPr>
        <w:tc>
          <w:tcPr>
            <w:tcW w:w="6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 long-term debt, net of interest rate swaps</w:t>
            </w: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63"/>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bl>
    <w:p>
      <w:pPr>
        <w:spacing w:after="0" w:line="279" w:lineRule="exact"/>
        <w:rPr>
          <w:sz w:val="20"/>
          <w:szCs w:val="20"/>
          <w:color w:val="auto"/>
        </w:rPr>
      </w:pPr>
    </w:p>
    <w:p>
      <w:pPr>
        <w:ind w:left="400" w:hanging="392"/>
        <w:spacing w:after="0"/>
        <w:tabs>
          <w:tab w:leader="none" w:pos="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inflows and outflows due to changes in term loan lender composition.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non-cash investing and financing activities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7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Leases for details of non-cash additions to lease right-of-use assets, net as a result of changes in lease liabilities.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ectPr>
          <w:pgSz w:w="11900" w:h="16838" w:orient="portrait"/>
          <w:cols w:equalWidth="0" w:num="1">
            <w:col w:w="11240"/>
          </w:cols>
          <w:pgMar w:left="320" w:top="121" w:right="339" w:bottom="1440" w:gutter="0" w:footer="0" w:header="0"/>
        </w:sect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Description of Business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Reynolds Consumer Products Inc. and its subsidiaries (“we”, “us” or “our”) produce and sell products that people use in their homes for cooking, serving, cleanup and storage. We sell our products under brands such as Reynolds and Hefty, and also under store brands. Our product portfolio includes aluminum foil, wraps, disposable bakeware, trash bags, food storage bags and disposable tableware. We report four business segments: Reynolds Cooking &amp; Baking; Hefty Waste &amp; Storage; Hefty Tableware; and Presto Products.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8"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8"/>
          <w:szCs w:val="18"/>
          <w:color w:val="auto"/>
        </w:rPr>
        <w:t>We have prepared the accompanying audited consolidated financial statements in accordance with United States generally accepted accounting principles (“GAAP”).</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Consolidation: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intercompany transactions and balances have been eliminated in consolidation.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GAAP, which requires us to make estimates and assumptions that affect a number of amounts in our consolidated financial statements. Significant accounting policy elections, estimates and assumptions include, among others, valuation assumptions of goodwill and intangible assets, useful lives of long-lived assets, sales incentives, income taxes and benefit plan assumptions. We base our estimates on historical experience and other assumptions that we believe are reasonable. If actual amounts differ from estimates, we include the revisions in our consolidated results of operations in the period the actual amounts become known. Historically, the aggregate differences, if any, between our estimates and actual amounts in any year have not had a material effect on our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Translation: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presented in U.S. dollars, which is our reporting currency. We translate the results of operations of our subsidiaries with functional currencies other than the U.S. dollar using average exchange rates during each period and translate balance sheet accounts using exchange rates at the end of each period. We record currency translation adjustments as a component of stockholders’ equity within accumulated other comprehensive income and transaction gains and losses in other expense, net in our consolidated statements of income.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demand deposits with banks and all highly liquid investments with original maturities of three months or less. We maintain our bank accounts with a relatively small number of high quality financial institutions. Cash balances held by non-U.S. entities as of December 31, 2025 and 2024 were $9 million and $10 million,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are recorded at face amounts less an allowance for doubtful accounts. The allowance is an estimate based on historical collection experience, current economic and market conditions and a review of the current status of each customer’s trade accounts receivable balance. We evaluate the aging of the accounts receivable balances and the financial condition of our customers to estimate the amount of accounts receivable that may not be collected in the future and record the appropriate provision. The allowance for doubtful accounts was not material as of December 31, 2025 and 2024.</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party to a factoring agreement with a financial institution to sell certain accounts receivable up to $95 million. We had no outstanding balance owed under the factoring arrangement as of December 31, 2025 and 2024. Transactions under this agreement are accounted for as sales of accounts receivable, and the receivables sold are removed from the consolidated balance sheet at the time of the sales transaction. We classify proceeds received from the sales of accounts receivable as an operating cash flow in the consolidated statement of cash flows. We record the discount as other expense, net in the consolidated statement of income.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value our inventories using the first-in, first-out method. Inventory is valued at actual cost, which includes raw materials, supplies, direct labor and manufacturing overhead associated with production. Inventory is stated at the lower of cost or net realizable value, which includes any costs to sell or dispose. In addition, appropriate consideration is given to obsolescence, excessive inventory levels, product deterioration and other factors in evaluating net realizable value.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stated at historical cost less depreciation, which is computed using the straight-line method over the estimated useful lives of the assets. Machinery and equipment are depreciated over periods ranging from 5 to 20 years and buildings and building improvements over periods ranging from 15 to 40 years. Finite-lived intangible assets, which primarily consist of customer relationships, are stated at historical cost and amortized using the straight-line method (which reflects the pattern of how the assets’ economic benefits are consumed) over the assets’ estimated useful lives which range from 18 to 20 years.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Expenditures for maintenance and repairs are expensed as incurred. When property, plant or equipment is sold or otherwise disposed of, the related cost and accumulated depreciation is removed from the respective accounts and any gain or loss realized on disposition is reflected in other expense, net in our consolidated statements of income.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review long-lived assets, including finite-lived intangible assets, for recoverability on an ongoing basis. Changes in depreciation or amortization are recorded prospectively when estimates of the remaining useful lives or residual values of long-lived assets change. We also review our long-lived assets for impairment when conditions exist that indicate the carrying amount of the assets may not be fully recoverable. In those circumstances, we perform undiscounted cash flow analysis to determine if an impairment exists. When testing for asset impairment, we group assets and liabilities at the lowest level for which cash flows are separately identifiable. If an impairment loss is recorded, it is calculated as the excess of the asset’s carrying value over its estimated fair value as determined by an estimate of discounted future cash flows. Depending on the nature of the asset, impairment losses are recorded in either cost of sales or selling, general and administrative expenses in our consolidated statements of income. There were no impairments of long-lived assets in any of the years presented.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determine whether a contract is or contains a lease at contract inception. Right-of-use (“ROU”) assets represent our right to use an underlying asset for the lease term and lease liabilities represent our obligation to make lease payments arising from the lease. ROU assets are recognized at the commencement date at the value of the lease liability, adjusted for any prepayments, lease incentives received and initial direct costs incurred. Lease liabilities are recognized at the commencement date based on the present value of remaining lease payments over the lease term. For operating leases, following initial recognition, lease liability balances are amortized using the effective interest method, while the related operating lease ROU assets are adjusted by the difference between the fixed lease expense recognized under a straight-line method and the interest expense associated with the effective interest method in the period.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leases contain non-lease components, for example common area or other maintenance costs, that relate to the lease components of the agreement. Non-lease components and the lease components to which they relate are accounted for as a single lease component as we have elected to combine lease and non-lease components for all classes of underlying assets. All operating lease cash payments are recorded within cash flows from operating activities in the consolidated statements of cash flows. Principal cash payments on finance leases are recorded within cash flows from financing activities, while interest payments associated with finance leases are recorded within cash flows from operating activities in the consolidated statements of cash flows. Our lease agreements do not include significant restrictions, covenants or residual value guarantees.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Indefinite-Lived Intangible Assets: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net assets acquired. We test goodwill for impairment on an annual basis in the fourth quarter and whenever events or changes in circumstances indicate that the carrying value of goodwill may not be recoverable. We assess goodwill impairment risk by performing a qualitative review of entity-specific, industry, market and general economic factors affecting our goodwill reporting units. Depending on factors such as prior-year test results, current year developments, current risk evaluations and other practical considerations, we may elect to perform quantitative testing instead. In our quantitative testing, we compare a reporting unit’s estimated fair value with its carrying value. Estimating the fair value of individual reporting units requires us to make assumptions and estimates regarding our future plans and industry and economic conditions. The key assumptions associated with determining the estimated fair value are forecasted Adjusted EBITDA and a relevant earnings multiple. Our actual results and conditions may differ over time. If the carrying value of a reporting unit’s net assets exceeds its fair value, we would recognize an impairment charge for the amount by which the carrying value exceeds the reporting unit’s fair value.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indefinite-lived intangible assets consist of certain trade names. We test indefinite-lived intangible assets for impairment on an annual basis in the fourth quarter and whenever events or changes in circumstances indicate that the carrying amount of such assets may not be recoverable. Depending on factors such as prior-year test results, current year developments, current risk evaluations and other practical considerations, we may elect to perform quantitative testing instead. If potential impairment risk exists for a specific asset, we quantitatively test it for impairment by comparing its estimated fair value with its carrying value. We determine estimated fair value using the relief-from-royalty method, using key assumptions including planned revenue growth rates, market-based discount rates and estimates of royalty rates. If the carrying value of the asset exceeds its fair value, we consider the asset impaired and reduce its carrying value to the estimated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Financing: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an ongoing Supply Chain Finance program (the “SCF”) with a global financial institution (the “SCF Bank”). Under the SCF, qualifying suppliers may elect to sell their receivables from us to the SCF Bank. These participating suppliers negotiate their receivables sales arrangements directly with the SCF Bank. We are not party to those agreements, nor do we provide any security or other forms of guarantees to the SCF Bank. The participation in the program is at the sole discretion of the supplier, we have no economic interest in a supplier’s decision to enter into the agreement and have no direct financial relationship with the SCF Bank, as it relates to the SCF. Once a qualifying supplier elects to participate in the SCF and reaches an agreement with the SCF Bank, they elect which individual invoices they sell to the SCF Bank.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our payment obligations are not impacted by a supplier’s participation in the SCF and as such, the SCF has no impact on our balance sheets, cash flows or liquidity. Our payment terms with our suppliers for similar services and materials within individual markets are consistent between suppliers that elect to participate in the SCF and those that do not participate.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outstanding amounts related to suppliers participating in the SCF are recorded within accounts payable in the consolidated balance sheet and associated payments are included as an operating cash flow in the consolidated statement of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outstanding obligations confirmed as valid under our SCF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39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8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Confirmed obligations outstanding at the beginning of the year</w:t>
            </w:r>
          </w:p>
        </w:tc>
        <w:tc>
          <w:tcPr>
            <w:tcW w:w="3980" w:type="dxa"/>
            <w:vAlign w:val="bottom"/>
            <w:gridSpan w:val="2"/>
            <w:shd w:val="clear" w:color="auto" w:fill="CCEEFF"/>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Invoices confirmed during the year</w:t>
            </w:r>
          </w:p>
        </w:tc>
        <w:tc>
          <w:tcPr>
            <w:tcW w:w="3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jc w:val="center"/>
              <w:ind w:left="514"/>
              <w:spacing w:after="0"/>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Confirmed invoices paid during the year</w:t>
            </w:r>
          </w:p>
        </w:tc>
        <w:tc>
          <w:tcPr>
            <w:tcW w:w="306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w w:val="99"/>
              </w:rPr>
              <w:t>(67)</w:t>
            </w:r>
          </w:p>
        </w:tc>
        <w:tc>
          <w:tcPr>
            <w:tcW w:w="0" w:type="dxa"/>
            <w:vAlign w:val="bottom"/>
          </w:tcPr>
          <w:p>
            <w:pPr>
              <w:spacing w:after="0"/>
              <w:rPr>
                <w:sz w:val="1"/>
                <w:szCs w:val="1"/>
                <w:color w:val="auto"/>
              </w:rPr>
            </w:pPr>
          </w:p>
        </w:tc>
      </w:tr>
      <w:tr>
        <w:trPr>
          <w:trHeight w:val="24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Confirmed obligations outstanding at the end of the year</w:t>
            </w:r>
          </w:p>
        </w:tc>
        <w:tc>
          <w:tcPr>
            <w:tcW w:w="398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4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center"/>
              <w:ind w:left="514"/>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60" w:type="dxa"/>
            <w:vAlign w:val="bottom"/>
            <w:vMerge w:val="restart"/>
          </w:tcPr>
          <w:p>
            <w:pPr>
              <w:jc w:val="right"/>
              <w:ind w:right="2290"/>
              <w:spacing w:after="0"/>
              <w:rPr>
                <w:sz w:val="20"/>
                <w:szCs w:val="20"/>
                <w:color w:val="auto"/>
              </w:rPr>
            </w:pPr>
            <w:r>
              <w:rPr>
                <w:rFonts w:ascii="Times New Roman" w:cs="Times New Roman" w:eastAsia="Times New Roman" w:hAnsi="Times New Roman"/>
                <w:sz w:val="18"/>
                <w:szCs w:val="18"/>
                <w:color w:val="auto"/>
              </w:rPr>
              <w:t>54</w:t>
            </w:r>
          </w:p>
        </w:tc>
        <w:tc>
          <w:tcPr>
            <w:tcW w:w="92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50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assessing our customers’ creditworthiness, we recognize revenue when control over products transfers to our customers, which generally occurs upon delivery or shipment of the products. We account for product shipping, handling and insurance as fulfillment activities, with revenues for these activities recorded in net revenues and costs recorded in cost of sales. Any taxes collected on behalf of government authorities are excluded from net revenues.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Consideration in our contracts with customers is variable due to anticipated reductions such as discounts, allowances and trade promotions, collectively referred to as “sales incentives”. Accordingly, revenues are recorded net of estimated sales incentives, recognized throughout the year and as of year-end. The transaction price reflects our estimate of the amount of consideration to which we will be entitled, using an expected value method. We base these estimates principally on historical utilization and redemption rates, anticipated performance and our best judgment at the time to the extent that it is probable that a significant reversal of revenue recognized will not occur. Estimates of sales incentives are monitored and adjusted each period until the sales incentives are realized.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consider purchase orders, which in some cases are governed by master supply agreements, to be the contracts with a customer. Key sales terms, such as pricing and quantities ordered, are established frequently, so most customer arrangements and related sales incentives have a duration of one year or shorter. We generally do not have any unbilled receivables at the end of a period. Deferred revenues are not material and primarily include customer advance payments typically collected a few days before product delivery, at which time deferred revenues are reclassified and recorded as net revenues. We generally do not receive non-cash consideration for the sale of goods nor do we grant payment financing terms greater than one year. We do not incur any significant costs to obtain a contract.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Advertising and Research and Development: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promote our products with marketing and advertising programs. These programs include, but are not limited to, cooperative advertising, in-store displays and consumer marketing promotions. The costs of end-consumer marketing programs that are conducted in conjunction with our customers, such as coupons, are recorded as a reduction to revenue. We do not defer these costs on our consolidated balance sheets and all marketing and advertising costs are recorded as an expense in the year incurred. Advertising expense was $55 million, $78 million and $79 million in the years ended December 31, 2025, 2024 and 2023, respectively. We expense product research and development costs as incurred. Research and development expense was $48 million, $45 million and $44 million in the years ended December 31, 2025, 2024 and 2023, respectively. We record marketing and advertising as well as research and development expenses in selling, general and administrative expenses.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Stock-based compensation expense is measured at the grant date based on the fair value of the award and is recognized as expense over the period in which the award vests in accordance with applicable guidance under Accounting Standards Codification (“ASC”) 718, Compensation—Stock Compensation. We have granted restricted stock units (“RSUs”) to certain members of management and to certain members of our Board of Directors that have a service-based vesting condition. In addition, we have granted performance stock units (“PSUs”) to certain members of management that have a performance-based vesting condition. We account for forfeitures of outstanding but unvested grants in the period they occur.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manage interest rate risk by using interest rate derivative instruments. Interest rate swaps (pay fixed, receive variable) are entered into as cash flow hedges to manage a portion of the interest rate risk associated with our floating-rate borrowings.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record interest rate derivative instruments at fair value (Level 2) and on a net basis by counterparty based on our master netting arrangements. The fair value of our interest rate derivatives is determined using a discounted cash flow method based on market-based swap yield curves, taking into account current interest rates. The instruments are classified in our consolidated balance sheets in other assets or other liabilities, as applicable. Cash flows from interest rate derivative instruments are classified as operating activities in our consolidated statements of cash flows based on the nature of the derivative instrument. We have elected to use hedge accounting for our interest rate derivative instruments. Accordingly, the effective portion of the gain or loss on the open hedging instrument is recorded in other comprehensive income and is reclassified into earnings as interest expense, net when settled. We terminate derivative instruments if the underlying asset or liability matures or is repaid, or if we determine the underlying forecasted transaction is no longer probable of occurring.</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income tax expense includes amounts payable or refundable for the current year, the effects of deferred taxes and impacts from uncertain tax positions. We recognize deferred tax assets and liabilities for the expected future tax consequences of temporary differences between the financial statement and tax basis of our assets and liabilities, operating loss carryforwards and tax credit carryforwards. Deferred tax assets and liabilities are measured using enacted tax rates expected to apply in the years in which those differences are expected to reverse.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realization of certain deferred tax assets is dependent on generating sufficient taxable income in the appropriate jurisdiction prior to the expiration of the carryforward periods. Deferred tax assets are reduced by a valuation allowance if it is more likely than not that some portion, or all, of the deferred tax assets will not be realized. When assessing the need for a valuation allowance, we consider any carryback potential, future reversals of existing taxable temporary differences (including liabilities for unrecognized tax benefits), future taxable income and tax planning strategies.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the tax benefits from uncertain tax positions only if it is more likely than not that the tax position will be sustained based on the technical merits of the position. The amount we recognize is measured as the largest amount of benefit that is greater than 50 percent likely of being realized upon resolution. Future changes related to the expected resolution of uncertain tax positions could affect tax expense in the period when the change occurs.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 and Disclosures: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GAAP establishes a hierarchy for measuring fair value. A financial instrument’s categorization within the hierarchy is based on the lowest level of input that is significant to the fair value measurement. The following three levels of inputs may be used to measure fair value:</w:t>
      </w:r>
    </w:p>
    <w:p>
      <w:pPr>
        <w:spacing w:after="0" w:line="54" w:lineRule="exact"/>
        <w:rPr>
          <w:sz w:val="20"/>
          <w:szCs w:val="20"/>
          <w:color w:val="auto"/>
        </w:rPr>
      </w:pPr>
    </w:p>
    <w:p>
      <w:pPr>
        <w:ind w:left="440" w:hanging="316"/>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117" w:lineRule="exact"/>
        <w:rPr>
          <w:rFonts w:ascii="Times New Roman" w:cs="Times New Roman" w:eastAsia="Times New Roman" w:hAnsi="Times New Roman"/>
          <w:sz w:val="18"/>
          <w:szCs w:val="18"/>
          <w:color w:val="auto"/>
        </w:rPr>
      </w:pPr>
    </w:p>
    <w:p>
      <w:pPr>
        <w:jc w:val="both"/>
        <w:ind w:left="440" w:hanging="316"/>
        <w:spacing w:after="0" w:line="266" w:lineRule="auto"/>
        <w:tabs>
          <w:tab w:leader="none" w:pos="4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6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in which little or no market data exists, therefore requiring an entity to develop its own assumptions.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assets and liabilities measured at fair value on a recurring basis are presented in Note 8 - Financial Instruments. We had no assets or liabilities measured at fair value on a non-recurring basis in any of the years presented.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fair value disclosure requirements related to financial instruments carried at fair value, accounting standards require disclosures regarding the fair value of all of our financial instruments. The carrying values of cash equivalents, accounts receivables, other receivables, related party receivables, accounts payable, related party payables and accrued and other current liabilities are reasonable estimates of their fair values as of December 31, 2025 and 2024 due to the short-term nature of these instruments.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Guidance: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w:t>
      </w:r>
      <w:r>
        <w:rPr>
          <w:rFonts w:ascii="Times New Roman" w:cs="Times New Roman" w:eastAsia="Times New Roman" w:hAnsi="Times New Roman"/>
          <w:sz w:val="18"/>
          <w:szCs w:val="18"/>
          <w:color w:val="auto"/>
        </w:rPr>
        <w:t>, which enhances disclosures about significant segment expenses by requiring disclosure of incremental segment information on an annual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interim basis. This ASU is effective for fiscal years beginning after December 15, 2023, and interim periods within fiscal years beginning after December 15, 2024, with early adoption permitted. We adopted the standard as of January 1, 2024, with no material impact on our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which enhances disclosures within the income tax rate reconciliation and information disclosed related to income taxes paid, and requires disaggregation of certain financial statement captions between domestic, foreign, federal and state. This ASU is effective for annual periods beginning after December 15, 2024, with early adoption permitted. We adopted the standard, prospectively, as of January 1, 2025, with no material impact on our consolidated financial statements.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Guidance: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w:t>
      </w:r>
      <w:r>
        <w:rPr>
          <w:rFonts w:ascii="Times New Roman" w:cs="Times New Roman" w:eastAsia="Times New Roman" w:hAnsi="Times New Roman"/>
          <w:sz w:val="18"/>
          <w:szCs w:val="18"/>
          <w:color w:val="auto"/>
        </w:rPr>
        <w:t>, which will require additional disclosure about specific expense categories included in the income statement. Annual disclosure requirements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effective for us in our Annual Report on Form 10-K for the fiscal year ending December 31, 2026, and quarterly disclosure requirements will be effective for us in the first quarter of 2027, with early adoption permitted. We are currently assessing the impact of this standard on our consolidated financial statements and related disclosures.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September 2025, FASB issued ASU 2025-06, </w:t>
      </w:r>
      <w:r>
        <w:rPr>
          <w:rFonts w:ascii="Times New Roman" w:cs="Times New Roman" w:eastAsia="Times New Roman" w:hAnsi="Times New Roman"/>
          <w:sz w:val="18"/>
          <w:szCs w:val="18"/>
          <w:i w:val="1"/>
          <w:iCs w:val="1"/>
          <w:color w:val="auto"/>
        </w:rPr>
        <w:t>Intangibles - Goodwill and Other - Internal-Use Software (Subtopic 350-40),</w:t>
      </w:r>
      <w:r>
        <w:rPr>
          <w:rFonts w:ascii="Times New Roman" w:cs="Times New Roman" w:eastAsia="Times New Roman" w:hAnsi="Times New Roman"/>
          <w:sz w:val="18"/>
          <w:szCs w:val="18"/>
          <w:color w:val="auto"/>
        </w:rPr>
        <w:t xml:space="preserve"> which updates the accounting for internal-use software costs by increasing the operability of the recognition guidance considering different methods of software development. This ASU is effective for annual reporting periods beginning after December 15, 2027, and interim reporting periods within those annual reporting periods, with early adoption permitted. We are currently assessing the impact of this standard on our consolidated financial statements.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November 2025, FASB issued ASU 2025-09, </w:t>
      </w:r>
      <w:r>
        <w:rPr>
          <w:rFonts w:ascii="Times New Roman" w:cs="Times New Roman" w:eastAsia="Times New Roman" w:hAnsi="Times New Roman"/>
          <w:sz w:val="18"/>
          <w:szCs w:val="18"/>
          <w:i w:val="1"/>
          <w:iCs w:val="1"/>
          <w:color w:val="auto"/>
        </w:rPr>
        <w:t>Derivatives and Hedging (Topic 815): Hedge Accounting Improvements,</w:t>
      </w:r>
      <w:r>
        <w:rPr>
          <w:rFonts w:ascii="Times New Roman" w:cs="Times New Roman" w:eastAsia="Times New Roman" w:hAnsi="Times New Roman"/>
          <w:sz w:val="18"/>
          <w:szCs w:val="18"/>
          <w:color w:val="auto"/>
        </w:rPr>
        <w:t xml:space="preserve"> which updates hedge accounting requirements. This ASU is effective for annual reporting periods beginning after December 15, 2026, and interim reporting periods within those annual reporting periods, with early adoption permitted. We are currently assessing the impact of this standard on our consolidated financial statements.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December 2025, FASB issued ASU 2025-11, </w:t>
      </w:r>
      <w:r>
        <w:rPr>
          <w:rFonts w:ascii="Times New Roman" w:cs="Times New Roman" w:eastAsia="Times New Roman" w:hAnsi="Times New Roman"/>
          <w:sz w:val="18"/>
          <w:szCs w:val="18"/>
          <w:i w:val="1"/>
          <w:iCs w:val="1"/>
          <w:color w:val="auto"/>
        </w:rPr>
        <w:t>Interim Reporting (Topic 270): Narrow Scope Improvements,</w:t>
      </w:r>
      <w:r>
        <w:rPr>
          <w:rFonts w:ascii="Times New Roman" w:cs="Times New Roman" w:eastAsia="Times New Roman" w:hAnsi="Times New Roman"/>
          <w:sz w:val="18"/>
          <w:szCs w:val="18"/>
          <w:color w:val="auto"/>
        </w:rPr>
        <w:t xml:space="preserve"> which clarifies interim disclosure requirements. This ASU is effective for interim reporting periods beginning after December 15, 2027, with early adoption permitted. We are currently assessing the impact of this standard on our consolidated financial statements.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6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5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Spare parts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5"/>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584</w:t>
            </w:r>
          </w:p>
        </w:tc>
        <w:tc>
          <w:tcPr>
            <w:tcW w:w="2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Property, Plant and Equipment, Net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82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8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3"/>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8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6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25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5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0" w:type="dxa"/>
            <w:vAlign w:val="bottom"/>
          </w:tcPr>
          <w:p>
            <w:pPr>
              <w:spacing w:after="0"/>
              <w:rPr>
                <w:sz w:val="1"/>
                <w:szCs w:val="1"/>
                <w:color w:val="auto"/>
              </w:rPr>
            </w:pPr>
          </w:p>
        </w:tc>
      </w:tr>
      <w:tr>
        <w:trPr>
          <w:trHeight w:val="25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75"/>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823</w:t>
            </w:r>
          </w:p>
        </w:tc>
        <w:tc>
          <w:tcPr>
            <w:tcW w:w="2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expense was $104 million, $98 million and $93 million for the years ended December 31, 2025, 2024 and 2023, respectively, of which $95 million, $89 million and $82 million, respectively, was recognized in cost of sales and $9 million, $9 million and $11 million, respectively, was recognized in selling, general and administrative expenses.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Goodwill and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by reportable segment was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6"/>
        </w:trPr>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Cooking &amp;</w:t>
            </w:r>
          </w:p>
        </w:tc>
        <w:tc>
          <w:tcPr>
            <w:tcW w:w="20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Hefty Waste</w:t>
            </w:r>
          </w:p>
        </w:tc>
        <w:tc>
          <w:tcPr>
            <w:tcW w:w="22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6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4"/>
        </w:trPr>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Baking</w:t>
            </w:r>
          </w:p>
        </w:tc>
        <w:tc>
          <w:tcPr>
            <w:tcW w:w="20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&amp; Storage</w:t>
            </w:r>
          </w:p>
        </w:tc>
        <w:tc>
          <w:tcPr>
            <w:tcW w:w="22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26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320" w:type="dxa"/>
            <w:vAlign w:val="bottom"/>
          </w:tcPr>
          <w:p>
            <w:pPr>
              <w:spacing w:after="0"/>
              <w:rPr>
                <w:sz w:val="17"/>
                <w:szCs w:val="17"/>
                <w:color w:val="auto"/>
              </w:rPr>
            </w:pP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1,895</w:t>
            </w:r>
          </w:p>
        </w:tc>
      </w:tr>
      <w:tr>
        <w:trPr>
          <w:trHeight w:val="250"/>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Movements</w:t>
            </w:r>
          </w:p>
        </w:tc>
        <w:tc>
          <w:tcPr>
            <w:tcW w:w="2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1,895</w:t>
            </w:r>
          </w:p>
        </w:tc>
      </w:tr>
      <w:tr>
        <w:trPr>
          <w:trHeight w:val="250"/>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Movements</w:t>
            </w:r>
          </w:p>
        </w:tc>
        <w:tc>
          <w:tcPr>
            <w:tcW w:w="2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794</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1,895</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60" w:type="dxa"/>
            <w:vAlign w:val="bottom"/>
            <w:gridSpan w:val="6"/>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60" w:type="dxa"/>
            <w:vAlign w:val="bottom"/>
            <w:gridSpan w:val="6"/>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860" w:type="dxa"/>
            <w:vAlign w:val="bottom"/>
          </w:tcPr>
          <w:p>
            <w:pPr>
              <w:spacing w:after="0"/>
              <w:rPr>
                <w:sz w:val="16"/>
                <w:szCs w:val="16"/>
                <w:color w:val="auto"/>
              </w:rPr>
            </w:pPr>
          </w:p>
        </w:tc>
      </w:tr>
      <w:tr>
        <w:trPr>
          <w:trHeight w:val="23"/>
        </w:trPr>
        <w:tc>
          <w:tcPr>
            <w:tcW w:w="3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5"/>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6"/>
        </w:trPr>
        <w:tc>
          <w:tcPr>
            <w:tcW w:w="3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4"/>
        </w:trPr>
        <w:tc>
          <w:tcPr>
            <w:tcW w:w="3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7"/>
                <w:szCs w:val="17"/>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300" w:type="dxa"/>
            <w:vAlign w:val="bottom"/>
          </w:tcPr>
          <w:p>
            <w:pPr>
              <w:spacing w:after="0"/>
              <w:rPr>
                <w:sz w:val="17"/>
                <w:szCs w:val="17"/>
                <w:color w:val="auto"/>
              </w:rPr>
            </w:pPr>
          </w:p>
        </w:tc>
        <w:tc>
          <w:tcPr>
            <w:tcW w:w="7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7"/>
                <w:szCs w:val="17"/>
                <w:color w:val="auto"/>
              </w:rPr>
            </w:pPr>
          </w:p>
        </w:tc>
        <w:tc>
          <w:tcPr>
            <w:tcW w:w="8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3"/>
        </w:trPr>
        <w:tc>
          <w:tcPr>
            <w:tcW w:w="3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5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6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finite-lived intangible assets</w:t>
            </w:r>
          </w:p>
        </w:tc>
        <w:tc>
          <w:tcPr>
            <w:tcW w:w="2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w:t>
            </w:r>
          </w:p>
        </w:tc>
        <w:tc>
          <w:tcPr>
            <w:tcW w:w="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(512)</w:t>
            </w: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4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w:t>
            </w:r>
          </w:p>
        </w:tc>
        <w:tc>
          <w:tcPr>
            <w:tcW w:w="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r>
      <w:tr>
        <w:trPr>
          <w:trHeight w:val="26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5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7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1,455</w:t>
            </w: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943</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1,455</w:t>
            </w: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972</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$29 million, $29 million and $30 million for the years ended December 31, 2025, 2024 and 2023, respectively, and has been recognized in selling, general and administrative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annual amortization for intangible assets over the next five calendar years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2030</w:t>
            </w:r>
          </w:p>
        </w:tc>
      </w:tr>
      <w:tr>
        <w:trPr>
          <w:trHeight w:val="23"/>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annual amortization</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513"/>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23"/>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r>
      <w:tr>
        <w:trPr>
          <w:trHeight w:val="23"/>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6"/>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86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4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w:t>
            </w: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transaction costs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63"/>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Original issue discounts</w:t>
            </w:r>
          </w:p>
        </w:tc>
        <w:tc>
          <w:tcPr>
            <w:tcW w:w="860" w:type="dxa"/>
            <w:vAlign w:val="bottom"/>
            <w:shd w:val="clear" w:color="auto" w:fill="CFF0FC"/>
          </w:tcPr>
          <w:p>
            <w:pPr>
              <w:spacing w:after="0"/>
              <w:rPr>
                <w:sz w:val="22"/>
                <w:szCs w:val="22"/>
                <w:color w:val="auto"/>
              </w:rPr>
            </w:pPr>
          </w:p>
        </w:tc>
        <w:tc>
          <w:tcPr>
            <w:tcW w:w="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86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1,580</w:t>
            </w:r>
          </w:p>
        </w:tc>
        <w:tc>
          <w:tcPr>
            <w:tcW w:w="24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1,686</w:t>
            </w:r>
          </w:p>
        </w:tc>
      </w:tr>
      <w:tr>
        <w:trPr>
          <w:trHeight w:val="27"/>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external debt facilities (“External Debt Facilities”) consist of a senior secured term loan facility (“Term Loan Facility”) and a $700 million senior secured revolving credit facility (“Revolving Facility”) in a syndicated loan arrangement. During March 2025, we amended the Term Loan Facility, replacing the then-existing facility, which was originally set to mature in February 2027, with a new $1,645 million facility maturing in March 2032 (“Amendment No. 4”). Other than the new maturity date and the recommencement of quarterly amortization payments, the material terms of our External Debt Facilities as a result of Amendment No. 4 remain unchanged.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Amendment No. 4 to our syndicated loan arrangement, we evaluated the accounting treatment of deferred and new debt transaction costs on a creditor-by-creditor basis in accordance with GAAP. This analysis resulted in the recognition of a debt refinancing expense of $13 million during fiscal year 2025, comprised of $12 million of new fees allocated to modified loans and $1 million of deferred financing transaction costs and original issue discount expensed related to extinguished loans. This expense is presented separately in our condensed consolidated statements of income. Additionally, during fiscal year 2025, we capitalized $1 million of qualifying financing-related costs associated with Amendment No. 4. These costs, along with $7 million of remaining deferred financing transaction costs, will be amortized over the remaining term of the Term Loan Facility, subject to acceleration for early term loan principal payments.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External Debt Facilities bear interest at a rate per annum equal to, at our option, either a base rate plus an applicable margin of 0.75% or a SOFR plus an applicable margin of 1.75%. We have entered into a series of interest rate swaps to hedge a portion of the interest rate exposure resulting from these borrowings. Refer to Note 8 – Financial Instruments for further details.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 We are currently in compliance with the covenants contained in our External Debt Facilities.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External Debt Facilities are entitled to take various actions, including the acceleration of amounts due under the External Debt Facilities and all actions permitted to be taken by secured creditors.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 Loan Facility matures in March 2032. The Term Loan Facility amortizes in equal quarterly installments of $4 million, which commenced in June 2025, with the balance payable on maturity. During the years ended December 31, 2025 and 2024, we made voluntary principal repayments of $100 million and $150 million. As a result of voluntary principal repayments made after amending our External Debt Facilities, the Term Loan Facility has no quarterly amortization payments due until December 2028, when the quarterly amortization payments will recommence.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Facility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we amended the External Debt Facilities to extend the maturity date of the Revolving Facility by one year. In October 2024, we further amended the External Debt Facilities to replace the undrawn $250 million revolving facility maturing in February 2026 with an undrawn $700 million revolving facility maturing in October 2029. The Revolving Facility includes a sub-facility for letters of credit. As of December 31, 2025, we had no outstanding borrowings under the Revolving Facility, and we had $7 million of letters of credit outstanding, which reduces the borrowing capacity under the Revolving Facility.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Our Long-Term Debt</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our long-term debt as of December 31, 2025, which is a Level 2 fair value measurement, approximates the carrying value due to the variable market interest rate and the stability of our credit profile.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0" w:type="dxa"/>
            <w:vAlign w:val="bottom"/>
            <w:gridSpan w:val="6"/>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Term Loan Facility</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5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transaction costs</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 (benefit) expense</w:t>
            </w:r>
          </w:p>
        </w:tc>
        <w:tc>
          <w:tcPr>
            <w:tcW w:w="9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5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5"/>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2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Scheduled Maturities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schedule of required future repayments on our debt outstanding as of December 31, 2025:</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358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9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6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9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9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6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1,586</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bottom w:val="single" w:sz="8" w:color="CCEEFF"/>
            </w:tcBorders>
            <w:vMerge w:val="restart"/>
          </w:tcPr>
          <w:p>
            <w:pPr>
              <w:jc w:val="right"/>
              <w:ind w:right="3750"/>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580" w:type="dxa"/>
            <w:vAlign w:val="bottom"/>
          </w:tcPr>
          <w:p>
            <w:pPr>
              <w:spacing w:after="0"/>
              <w:rPr>
                <w:sz w:val="24"/>
                <w:szCs w:val="24"/>
                <w:color w:val="auto"/>
              </w:rPr>
            </w:pPr>
          </w:p>
        </w:tc>
        <w:tc>
          <w:tcPr>
            <w:tcW w:w="5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580" w:type="dxa"/>
            <w:vAlign w:val="bottom"/>
            <w:tcBorders>
              <w:bottom w:val="single" w:sz="8" w:color="9A9A9A"/>
            </w:tcBorders>
          </w:tcPr>
          <w:p>
            <w:pPr>
              <w:spacing w:after="0"/>
              <w:rPr>
                <w:sz w:val="8"/>
                <w:szCs w:val="8"/>
                <w:color w:val="auto"/>
              </w:rPr>
            </w:pPr>
          </w:p>
        </w:tc>
        <w:tc>
          <w:tcPr>
            <w:tcW w:w="59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lease certain buildings and plant and equipment. Our leases have reasonably assured remaining lease terms of up to 11 years. Certain leases include options to renew for up to 15 years. At lease inception, we determine the lease term by assuming the exercise of those renewal options that are reasonably certain. Some leases have variable payments, however, because they are not based on an index or rate, they are not included in the measurement of ROU assets and lease liabilities. Variable payments for real estate leases relate primarily to common area maintenance, insurance, taxes and utilities associated with the properties. Variable payments for equipment leases relate primarily to hours, miles, or other quantifiable usage factors, which are not determinable at the time of lease inception. These variable payments are expensed as incurred. The discount rate applied to our leases in determining the present value of lease payments is our incremental borrowing rate based on the information available at the commencement date. Leases with an initial term of 12 months or less are not recorded in our consolidated balance sheets and we recognize lease expense for these leases on a straight-line basis over the lease term.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960" w:type="dxa"/>
            <w:vAlign w:val="bottom"/>
          </w:tcPr>
          <w:p>
            <w:pPr>
              <w:spacing w:after="0"/>
              <w:rPr>
                <w:sz w:val="21"/>
                <w:szCs w:val="21"/>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96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lease costs</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20" w:type="dxa"/>
            <w:vAlign w:val="bottom"/>
          </w:tcPr>
          <w:p>
            <w:pPr>
              <w:spacing w:after="0"/>
              <w:rPr>
                <w:sz w:val="21"/>
                <w:szCs w:val="21"/>
                <w:color w:val="auto"/>
              </w:rPr>
            </w:pP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4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r>
      <w:tr>
        <w:trPr>
          <w:trHeight w:val="27"/>
        </w:trPr>
        <w:tc>
          <w:tcPr>
            <w:tcW w:w="6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Lease costs related to the amortization of finance lease assets and interest on finance lease liabilities were not material for the years ended December 31, 2025, 2024 and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lease payments under non-cancellable leases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Pr>
          <w:p>
            <w:pPr>
              <w:spacing w:after="0"/>
              <w:rPr>
                <w:sz w:val="16"/>
                <w:szCs w:val="16"/>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400" w:type="dxa"/>
            <w:vAlign w:val="bottom"/>
          </w:tcPr>
          <w:p>
            <w:pPr>
              <w:spacing w:after="0"/>
              <w:rPr>
                <w:sz w:val="16"/>
                <w:szCs w:val="16"/>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5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5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5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undiscounted lease payments</w:t>
            </w:r>
          </w:p>
        </w:tc>
        <w:tc>
          <w:tcPr>
            <w:tcW w:w="2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r>
      <w:tr>
        <w:trPr>
          <w:trHeight w:val="25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Present value of lease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540" w:right="2080" w:hanging="5525"/>
        <w:spacing w:after="0" w:line="516" w:lineRule="auto"/>
        <w:rPr>
          <w:sz w:val="20"/>
          <w:szCs w:val="20"/>
          <w:color w:val="auto"/>
        </w:rPr>
      </w:pPr>
      <w:r>
        <w:rPr>
          <w:rFonts w:ascii="Times New Roman" w:cs="Times New Roman" w:eastAsia="Times New Roman" w:hAnsi="Times New Roman"/>
          <w:sz w:val="18"/>
          <w:szCs w:val="18"/>
          <w:color w:val="auto"/>
        </w:rPr>
        <w:t>As of December 31, 2025, we had no material commitments related to operating leases executed that have not yet commenced.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liabilities and ROU assets included in our consolidated balance sheets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40" w:type="dxa"/>
            <w:vAlign w:val="bottom"/>
          </w:tcPr>
          <w:p>
            <w:pPr>
              <w:spacing w:after="0"/>
              <w:rPr>
                <w:sz w:val="16"/>
                <w:szCs w:val="16"/>
                <w:color w:val="auto"/>
              </w:rPr>
            </w:pPr>
          </w:p>
        </w:tc>
      </w:tr>
      <w:tr>
        <w:trPr>
          <w:trHeight w:val="23"/>
        </w:trPr>
        <w:tc>
          <w:tcPr>
            <w:tcW w:w="31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31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31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2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16"/>
                <w:szCs w:val="16"/>
                <w:color w:val="auto"/>
              </w:rPr>
            </w:pPr>
          </w:p>
        </w:tc>
      </w:tr>
      <w:tr>
        <w:trPr>
          <w:trHeight w:val="23"/>
        </w:trPr>
        <w:tc>
          <w:tcPr>
            <w:tcW w:w="31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44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4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4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22"/>
                <w:szCs w:val="22"/>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44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57"/>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442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68"/>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31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44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4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Other assets</w:t>
            </w:r>
          </w:p>
        </w:tc>
        <w:tc>
          <w:tcPr>
            <w:tcW w:w="114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2"/>
                <w:szCs w:val="22"/>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44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442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Other liabilities</w:t>
            </w: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8"/>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4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new leases and lease modifications resulted in the recognition of operating ROU assets and corresponding operating lease liabilities totaling $32 million and $53 million, respectively. New leases and lease modifications resulting in the recognition of finance lease ROU assets and corresponding finance lease liabilities were not material during the years ended December 31, 2025 and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2024 and 2023, cash flows from operating activities in the consolidated statements of cash flows reflected $27 million, $21 million and $18 million, respectively, of payments for operating lease liabilities. Payments for finance lease liabilities in the years ended December 31, 2025, 2024 and 2023 were not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3380" w:type="dxa"/>
            <w:vAlign w:val="bottom"/>
            <w:gridSpan w:val="4"/>
          </w:tcPr>
          <w:p>
            <w:pPr>
              <w:ind w:left="11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3"/>
        </w:trPr>
        <w:tc>
          <w:tcPr>
            <w:tcW w:w="71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190"/>
        </w:trPr>
        <w:tc>
          <w:tcPr>
            <w:tcW w:w="716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380" w:type="dxa"/>
            <w:vAlign w:val="bottom"/>
            <w:tcBorders>
              <w:bottom w:val="single" w:sz="8" w:color="auto"/>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r>
      <w:tr>
        <w:trPr>
          <w:trHeight w:val="25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4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4.83</w:t>
            </w:r>
          </w:p>
        </w:tc>
        <w:tc>
          <w:tcPr>
            <w:tcW w:w="2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9.69</w:t>
            </w:r>
          </w:p>
        </w:tc>
        <w:tc>
          <w:tcPr>
            <w:tcW w:w="320" w:type="dxa"/>
            <w:vAlign w:val="bottom"/>
            <w:shd w:val="clear" w:color="auto" w:fill="CCEEFF"/>
          </w:tcPr>
          <w:p>
            <w:pPr>
              <w:spacing w:after="0"/>
              <w:rPr>
                <w:sz w:val="22"/>
                <w:szCs w:val="22"/>
                <w:color w:val="auto"/>
              </w:rPr>
            </w:pPr>
          </w:p>
        </w:tc>
      </w:tr>
      <w:tr>
        <w:trPr>
          <w:trHeight w:val="260"/>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4.96 %</w:t>
            </w:r>
          </w:p>
        </w:tc>
        <w:tc>
          <w:tcPr>
            <w:tcW w:w="1360" w:type="dxa"/>
            <w:vAlign w:val="bottom"/>
          </w:tcPr>
          <w:p>
            <w:pPr>
              <w:spacing w:after="0"/>
              <w:rPr>
                <w:sz w:val="22"/>
                <w:szCs w:val="22"/>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xml:space="preserve">5.52 </w:t>
            </w:r>
            <w:r>
              <w:rPr>
                <w:rFonts w:ascii="Arial" w:cs="Arial" w:eastAsia="Arial" w:hAnsi="Arial"/>
                <w:sz w:val="18"/>
                <w:szCs w:val="18"/>
                <w:color w:val="auto"/>
              </w:rPr>
              <w:t>%</w:t>
            </w:r>
          </w:p>
        </w:tc>
      </w:tr>
    </w:tbl>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entered into a series of interest rate swaps to fix the SOFR of our External Debt Facilities.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notional amount of the interest rate swaps in effect as of December 31, 2025 and 2024 was $1,000 million and $1,150 million,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SOFR of the swaps in effect is fixed at an annual rate of 2.66% to 3.40% (for an annual effective interest rate of 4.41% to 5.15%, including margin).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interest rate swaps that are in effect have maturity dates of less than one year, and a weighted average effective rate of 4.71%.</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during the year ended December 31, 2025, we entered into additional interest rate swaps with forward start dates beginning in February 2026, that had an aggregate notional value of $900 million, which fixes the SOFR to an annual rate of 3.33% to 3.41% (for an annual effective interest rate of 5.08% to 5.16%, including margin). These interest rate swaps with forward start dates have maturity dates between March 2028 and March 2031, and a weighted average effective rate of 5.12%.</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interest rate swaps outstanding as of December 31, 2025 hedge a portion of the interest rate exposure resulting from borrowings under our Term Loan Facility. We have classified these instruments as cash flow hedges.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assets and liabilities associated with our interest rate swaps, as reflected gross in the consolidated balance sheets,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180" w:type="dxa"/>
            <w:vAlign w:val="bottom"/>
          </w:tcPr>
          <w:p>
            <w:pPr>
              <w:spacing w:after="0"/>
              <w:rPr>
                <w:sz w:val="16"/>
                <w:szCs w:val="16"/>
                <w:color w:val="auto"/>
              </w:rPr>
            </w:pPr>
          </w:p>
        </w:tc>
      </w:tr>
      <w:tr>
        <w:trPr>
          <w:trHeight w:val="23"/>
        </w:trPr>
        <w:tc>
          <w:tcPr>
            <w:tcW w:w="72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724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gridSpan w:val="3"/>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80" w:type="dxa"/>
            <w:vAlign w:val="bottom"/>
          </w:tcPr>
          <w:p>
            <w:pPr>
              <w:spacing w:after="0"/>
              <w:rPr>
                <w:sz w:val="17"/>
                <w:szCs w:val="17"/>
                <w:color w:val="auto"/>
              </w:rPr>
            </w:pPr>
          </w:p>
        </w:tc>
      </w:tr>
      <w:tr>
        <w:trPr>
          <w:trHeight w:val="23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16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7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5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63"/>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16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1160" w:type="dxa"/>
            <w:vAlign w:val="bottom"/>
            <w:tcBorders>
              <w:bottom w:val="single" w:sz="8" w:color="auto"/>
            </w:tcBorders>
            <w:shd w:val="clear" w:color="auto" w:fill="CCEEFF"/>
          </w:tcPr>
          <w:p>
            <w:pPr>
              <w:jc w:val="right"/>
              <w:ind w:right="9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Benefit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Plan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defined benefit plan for certain of our employees, which is non-contributory and eligible employees are fully vested after five years of service.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the liability of the defined benefit plan on our consolidated balance sheets as of December 31, 2025 and 2024 was not material.</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offer defined contribution plans to eligible employees in the United States as well as employees in certain other countries. Our expense relating to defined contribution plans was $32 million, $32 million and $29 million for the years ended December 31, 2025, 2024 and 2023,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Postretirement Benefit Plan</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of our employees in the United States participate in a postretirement benefit plan. Our postretirement benefit plan is not funded. The changes in and the amount of the accumulated postretirement benefit obligation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postretirement benefit obligation as of January 1</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60" w:type="dxa"/>
            <w:vAlign w:val="bottom"/>
          </w:tcPr>
          <w:p>
            <w:pPr>
              <w:spacing w:after="0"/>
              <w:rPr>
                <w:sz w:val="21"/>
                <w:szCs w:val="21"/>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860" w:type="dxa"/>
            <w:vAlign w:val="bottom"/>
          </w:tcPr>
          <w:p>
            <w:pPr>
              <w:spacing w:after="0"/>
              <w:rPr>
                <w:sz w:val="21"/>
                <w:szCs w:val="21"/>
                <w:color w:val="auto"/>
              </w:rPr>
            </w:pPr>
          </w:p>
        </w:tc>
        <w:tc>
          <w:tcPr>
            <w:tcW w:w="5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5"/>
              </w:rPr>
              <w:t>(1)</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6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gains</w:t>
            </w:r>
          </w:p>
        </w:tc>
        <w:tc>
          <w:tcPr>
            <w:tcW w:w="8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(1)</w:t>
            </w:r>
          </w:p>
        </w:tc>
        <w:tc>
          <w:tcPr>
            <w:tcW w:w="24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postretirement benefit obligation as of December 31</w:t>
            </w:r>
          </w:p>
        </w:tc>
        <w:tc>
          <w:tcPr>
            <w:tcW w:w="8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40" w:type="dxa"/>
            <w:vAlign w:val="bottom"/>
          </w:tcPr>
          <w:p>
            <w:pPr>
              <w:spacing w:after="0"/>
              <w:rPr>
                <w:sz w:val="21"/>
                <w:szCs w:val="21"/>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7"/>
        </w:trPr>
        <w:tc>
          <w:tcPr>
            <w:tcW w:w="8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accrued benefit obligation was included in our consolidated balance sheets as follows:</w:t>
            </w: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82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8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postretirement benefit obligation</w:t>
            </w:r>
          </w:p>
        </w:tc>
        <w:tc>
          <w:tcPr>
            <w:tcW w:w="8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5"/>
        </w:trPr>
        <w:tc>
          <w:tcPr>
            <w:tcW w:w="8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portion of our accrued benefit obligation has been recorded in accumulated other comprehensive income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Actuarial Gain</w:t>
            </w:r>
          </w:p>
        </w:tc>
        <w:tc>
          <w:tcPr>
            <w:tcW w:w="160" w:type="dxa"/>
            <w:vAlign w:val="bottom"/>
          </w:tcPr>
          <w:p>
            <w:pPr>
              <w:spacing w:after="0"/>
              <w:rPr>
                <w:sz w:val="13"/>
                <w:szCs w:val="13"/>
                <w:color w:val="auto"/>
              </w:rPr>
            </w:pPr>
          </w:p>
        </w:tc>
        <w:tc>
          <w:tcPr>
            <w:tcW w:w="16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Deferred Income Tax</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228"/>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b w:val="1"/>
                <w:bCs w:val="1"/>
                <w:color w:val="auto"/>
              </w:rPr>
              <w:t>44</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34</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Changes</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b w:val="1"/>
                <w:bCs w:val="1"/>
                <w:color w:val="auto"/>
              </w:rPr>
              <w:t>40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Changes</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0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b w:val="1"/>
                <w:bCs w:val="1"/>
                <w:color w:val="auto"/>
              </w:rPr>
              <w:t>36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We used the following weighted-average assumptions to determine our postretirement benefit obligations:</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5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gridSpan w:val="6"/>
          </w:tcPr>
          <w:p>
            <w:pPr>
              <w:ind w:left="9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8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2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5"/>
              </w:rPr>
              <w:t>5.31</w:t>
            </w: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3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5.58</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care cost trend rate assumed for next year</w:t>
            </w: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w w:val="95"/>
              </w:rPr>
              <w:t>8.50</w:t>
            </w:r>
          </w:p>
        </w:tc>
        <w:tc>
          <w:tcPr>
            <w:tcW w:w="80" w:type="dxa"/>
            <w:vAlign w:val="bottom"/>
          </w:tcPr>
          <w:p>
            <w:pPr>
              <w:spacing w:after="0"/>
              <w:rPr>
                <w:sz w:val="22"/>
                <w:szCs w:val="22"/>
                <w:color w:val="auto"/>
              </w:rPr>
            </w:pP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3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8.50</w:t>
            </w:r>
          </w:p>
        </w:tc>
        <w:tc>
          <w:tcPr>
            <w:tcW w:w="20" w:type="dxa"/>
            <w:vAlign w:val="bottom"/>
          </w:tcPr>
          <w:p>
            <w:pPr>
              <w:spacing w:after="0"/>
              <w:rPr>
                <w:sz w:val="22"/>
                <w:szCs w:val="22"/>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Ultimate trend rate</w:t>
            </w:r>
          </w:p>
        </w:tc>
        <w:tc>
          <w:tcPr>
            <w:tcW w:w="2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5"/>
              </w:rPr>
              <w:t>4.40</w:t>
            </w: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3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4.40</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w w:val="99"/>
              </w:rPr>
              <w:t>2035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4"/>
              </w:rPr>
              <w:t>2035</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year-end discount rate for our plan reflects a weighted-average rate from a high-quality corporate bond yield curve that matches the expected duration of the benefit payments. Changes in our discount rates were primarily the result of changes in bond yields year-over-year. Our expected health care cost trend rate is based on historical costs and long-term expectations. We also review our participation rates based on historical actual and expected trends on an annual basis.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Net Periodic Postretirement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net periodic postretirement benefit cost for each of the years ended December 31, 2025, 2024 and 2023 was not material.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used the following weighted-average assumptions to determine our net periodic postretirement health care cost:</w:t>
      </w:r>
    </w:p>
    <w:p>
      <w:pPr>
        <w:spacing w:after="0" w:line="25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33655</wp:posOffset>
            </wp:positionV>
            <wp:extent cx="29400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gridSpan w:val="2"/>
          </w:tcPr>
          <w:p>
            <w:pPr>
              <w:ind w:left="68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4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r>
      <w:tr>
        <w:trPr>
          <w:trHeight w:val="23"/>
        </w:trPr>
        <w:tc>
          <w:tcPr>
            <w:tcW w:w="6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r>
      <w:tr>
        <w:trPr>
          <w:trHeight w:val="25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5.58 %</w:t>
            </w:r>
          </w:p>
        </w:tc>
        <w:tc>
          <w:tcPr>
            <w:tcW w:w="9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4.95 %</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5.18 %</w:t>
            </w:r>
          </w:p>
        </w:tc>
      </w:tr>
      <w:tr>
        <w:trPr>
          <w:trHeight w:val="257"/>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Health care cost trend rate assumed for next year</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8.50 %</w:t>
            </w:r>
          </w:p>
        </w:tc>
        <w:tc>
          <w:tcPr>
            <w:tcW w:w="900" w:type="dxa"/>
            <w:vAlign w:val="bottom"/>
          </w:tcPr>
          <w:p>
            <w:pPr>
              <w:spacing w:after="0"/>
              <w:rPr>
                <w:sz w:val="22"/>
                <w:szCs w:val="22"/>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8.00 %</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7.00 %</w:t>
            </w:r>
          </w:p>
        </w:tc>
      </w:tr>
      <w:tr>
        <w:trPr>
          <w:trHeight w:val="256"/>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Ultimate trend rate</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4.40 %</w:t>
            </w:r>
          </w:p>
        </w:tc>
        <w:tc>
          <w:tcPr>
            <w:tcW w:w="9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4.50 %</w:t>
            </w: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4.50 %</w:t>
            </w:r>
          </w:p>
        </w:tc>
      </w:tr>
      <w:tr>
        <w:trPr>
          <w:trHeight w:val="243"/>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2035</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2033</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4"/>
              </w:rPr>
              <w:t>2032</w:t>
            </w:r>
          </w:p>
        </w:tc>
        <w:tc>
          <w:tcPr>
            <w:tcW w:w="280" w:type="dxa"/>
            <w:vAlign w:val="bottom"/>
          </w:tcPr>
          <w:p>
            <w:pPr>
              <w:spacing w:after="0"/>
              <w:rPr>
                <w:sz w:val="21"/>
                <w:szCs w:val="21"/>
                <w:color w:val="auto"/>
              </w:rPr>
            </w:pPr>
          </w:p>
        </w:tc>
      </w:tr>
      <w:tr>
        <w:trPr>
          <w:trHeight w:val="540"/>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Future Benefit Payments:</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4"/>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contributions for the next fiscal year equal the estimated benefit payments of $2 million.</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32"/>
        </w:trPr>
        <w:tc>
          <w:tcPr>
            <w:tcW w:w="8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Our estimated future benefit payments for our postretirement benefit plan as of December 31, 2025 were as follows:</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35"/>
        </w:trPr>
        <w:tc>
          <w:tcPr>
            <w:tcW w:w="6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6340" w:type="dxa"/>
            <w:vAlign w:val="bottom"/>
            <w:tcBorders>
              <w:bottom w:val="single" w:sz="8" w:color="CFF0FC"/>
            </w:tcBorders>
          </w:tcPr>
          <w:p>
            <w:pPr>
              <w:spacing w:after="0"/>
              <w:rPr>
                <w:sz w:val="2"/>
                <w:szCs w:val="2"/>
                <w:color w:val="auto"/>
              </w:rPr>
            </w:pPr>
          </w:p>
        </w:tc>
        <w:tc>
          <w:tcPr>
            <w:tcW w:w="900" w:type="dxa"/>
            <w:vAlign w:val="bottom"/>
            <w:tcBorders>
              <w:bottom w:val="single" w:sz="8" w:color="CFF0FC"/>
            </w:tcBorders>
          </w:tcPr>
          <w:p>
            <w:pPr>
              <w:spacing w:after="0"/>
              <w:rPr>
                <w:sz w:val="2"/>
                <w:szCs w:val="2"/>
                <w:color w:val="auto"/>
              </w:rPr>
            </w:pPr>
          </w:p>
        </w:tc>
        <w:tc>
          <w:tcPr>
            <w:tcW w:w="460" w:type="dxa"/>
            <w:vAlign w:val="bottom"/>
            <w:tcBorders>
              <w:bottom w:val="single" w:sz="8" w:color="CFF0FC"/>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900" w:type="dxa"/>
            <w:vAlign w:val="bottom"/>
            <w:tcBorders>
              <w:bottom w:val="single" w:sz="8" w:color="CFF0FC"/>
            </w:tcBorders>
          </w:tcPr>
          <w:p>
            <w:pPr>
              <w:spacing w:after="0"/>
              <w:rPr>
                <w:sz w:val="2"/>
                <w:szCs w:val="2"/>
                <w:color w:val="auto"/>
              </w:rPr>
            </w:pPr>
          </w:p>
        </w:tc>
        <w:tc>
          <w:tcPr>
            <w:tcW w:w="680" w:type="dxa"/>
            <w:vAlign w:val="bottom"/>
            <w:tcBorders>
              <w:bottom w:val="single" w:sz="8" w:color="CFF0FC"/>
            </w:tcBorders>
            <w:gridSpan w:val="2"/>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r>
      <w:tr>
        <w:trPr>
          <w:trHeight w:val="250"/>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980" w:type="dxa"/>
            <w:vAlign w:val="bottom"/>
            <w:gridSpan w:val="4"/>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63"/>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9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2031-2035</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Stock-based Compensation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equity incentive plan was established in 2020 for purposes of granting stock-based compensation awards to certain members of our senior management, our non-executive directors and to certain employees, to incentivize their performance and align their interests with ours. We have granted RSUs to certain employees and non-employee directors that have a service-based vesting condition. In addition, we have granted PSUs to certain members of management that have a performance-based vesting condition. We account for forfeitures of outstanding but unvested grants in the period they occur. A maximum of 10.5 million shares of common stock were initially available for issuance under equity incentive awards granted pursuant to the plan. In the year ended December 31, 2025, 0.8 million RSUs and 0.4 million PSUs were granted.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for RSUs and PSUs for the year ended December 31, 2025 is as follows (in millions, except for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62"/>
        </w:trPr>
        <w:tc>
          <w:tcPr>
            <w:tcW w:w="8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Grant-Date Fair</w:t>
            </w:r>
          </w:p>
        </w:tc>
      </w:tr>
      <w:tr>
        <w:trPr>
          <w:trHeight w:val="190"/>
        </w:trPr>
        <w:tc>
          <w:tcPr>
            <w:tcW w:w="8280" w:type="dxa"/>
            <w:vAlign w:val="bottom"/>
          </w:tcPr>
          <w:p>
            <w:pPr>
              <w:spacing w:after="0"/>
              <w:rPr>
                <w:sz w:val="16"/>
                <w:szCs w:val="16"/>
                <w:color w:val="auto"/>
              </w:rPr>
            </w:pPr>
          </w:p>
        </w:tc>
        <w:tc>
          <w:tcPr>
            <w:tcW w:w="9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Value Per Share</w:t>
            </w:r>
          </w:p>
        </w:tc>
      </w:tr>
      <w:tr>
        <w:trPr>
          <w:trHeight w:val="23"/>
        </w:trPr>
        <w:tc>
          <w:tcPr>
            <w:tcW w:w="82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2024</w:t>
            </w:r>
          </w:p>
        </w:tc>
        <w:tc>
          <w:tcPr>
            <w:tcW w:w="94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r>
      <w:tr>
        <w:trPr>
          <w:trHeight w:val="250"/>
        </w:trPr>
        <w:tc>
          <w:tcPr>
            <w:tcW w:w="9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w:t>
            </w:r>
          </w:p>
        </w:tc>
      </w:tr>
      <w:tr>
        <w:trPr>
          <w:trHeight w:val="263"/>
        </w:trPr>
        <w:tc>
          <w:tcPr>
            <w:tcW w:w="9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r>
      <w:tr>
        <w:trPr>
          <w:trHeight w:val="250"/>
        </w:trPr>
        <w:tc>
          <w:tcPr>
            <w:tcW w:w="9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w:t>
            </w:r>
          </w:p>
        </w:tc>
      </w:tr>
      <w:tr>
        <w:trPr>
          <w:trHeight w:val="263"/>
        </w:trPr>
        <w:tc>
          <w:tcPr>
            <w:tcW w:w="9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PSU performance adjustment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2025</w:t>
            </w:r>
          </w:p>
        </w:tc>
        <w:tc>
          <w:tcPr>
            <w:tcW w:w="94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27.00</w:t>
            </w:r>
          </w:p>
        </w:tc>
      </w:tr>
      <w:tr>
        <w:trPr>
          <w:trHeight w:val="21"/>
        </w:trPr>
        <w:tc>
          <w:tcPr>
            <w:tcW w:w="8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relating to unvested RSUs as of December 31, 2025, was $9 million, which is expected to be recognized over a weighted average period of 1.38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relating to unvested PSUs as of December 31, 2025, was $5 million, which is expected to be recognized over a weighted average period of 1.75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stock-based compensation awards, representing 2.0 million shares and 1.3 million shares outstanding at December 31, 2025 and 2024, respectively. Stock-based compensation expense was $21 million, $19 million and $14 million for the years ended December 31, 2025, 2024 and 2023,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Accrued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80" w:type="dxa"/>
            <w:vAlign w:val="bottom"/>
          </w:tcPr>
          <w:p>
            <w:pPr>
              <w:spacing w:after="0"/>
              <w:rPr>
                <w:sz w:val="16"/>
                <w:szCs w:val="16"/>
                <w:color w:val="auto"/>
              </w:rPr>
            </w:pPr>
          </w:p>
        </w:tc>
        <w:tc>
          <w:tcPr>
            <w:tcW w:w="4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personnel costs</w:t>
            </w:r>
          </w:p>
        </w:tc>
        <w:tc>
          <w:tcPr>
            <w:tcW w:w="49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5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promotion allowances</w:t>
            </w:r>
          </w:p>
        </w:tc>
        <w:tc>
          <w:tcPr>
            <w:tcW w:w="4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6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100" w:type="dxa"/>
            <w:vAlign w:val="bottom"/>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4"/>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Accrued and other current liabilities</w:t>
            </w:r>
          </w:p>
        </w:tc>
        <w:tc>
          <w:tcPr>
            <w:tcW w:w="49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24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4100" w:type="dxa"/>
            <w:vAlign w:val="bottom"/>
            <w:vMerge w:val="restart"/>
          </w:tcPr>
          <w:p>
            <w:pPr>
              <w:jc w:val="right"/>
              <w:ind w:right="2475"/>
              <w:spacing w:after="0"/>
              <w:rPr>
                <w:sz w:val="20"/>
                <w:szCs w:val="20"/>
                <w:color w:val="auto"/>
              </w:rPr>
            </w:pPr>
            <w:r>
              <w:rPr>
                <w:rFonts w:ascii="Times New Roman" w:cs="Times New Roman" w:eastAsia="Times New Roman" w:hAnsi="Times New Roman"/>
                <w:sz w:val="18"/>
                <w:szCs w:val="18"/>
                <w:color w:val="auto"/>
              </w:rPr>
              <w:t>65</w:t>
            </w:r>
          </w:p>
        </w:tc>
        <w:tc>
          <w:tcPr>
            <w:tcW w:w="86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418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180" w:type="dxa"/>
            <w:vAlign w:val="bottom"/>
            <w:tcBorders>
              <w:bottom w:val="single" w:sz="8" w:color="9A9A9A"/>
            </w:tcBorders>
          </w:tcPr>
          <w:p>
            <w:pPr>
              <w:spacing w:after="0"/>
              <w:rPr>
                <w:sz w:val="8"/>
                <w:szCs w:val="8"/>
                <w:color w:val="auto"/>
              </w:rPr>
            </w:pPr>
          </w:p>
        </w:tc>
        <w:tc>
          <w:tcPr>
            <w:tcW w:w="41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Other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5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670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Costs to execute strategic initiatives </w:t>
            </w:r>
            <w:r>
              <w:rPr>
                <w:rFonts w:ascii="Times New Roman" w:cs="Times New Roman" w:eastAsia="Times New Roman" w:hAnsi="Times New Roman"/>
                <w:sz w:val="23"/>
                <w:szCs w:val="23"/>
                <w:color w:val="auto"/>
                <w:vertAlign w:val="superscript"/>
              </w:rPr>
              <w:t>(1)</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00" w:type="dxa"/>
            <w:vAlign w:val="bottom"/>
            <w:tcBorders>
              <w:bottom w:val="single" w:sz="8" w:color="CCEEFF"/>
            </w:tcBorders>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CEO transition costs </w:t>
            </w:r>
            <w:r>
              <w:rPr>
                <w:rFonts w:ascii="Times New Roman" w:cs="Times New Roman" w:eastAsia="Times New Roman" w:hAnsi="Times New Roman"/>
                <w:sz w:val="23"/>
                <w:szCs w:val="23"/>
                <w:color w:val="auto"/>
                <w:vertAlign w:val="superscript"/>
              </w:rPr>
              <w:t>(2)</w:t>
            </w:r>
          </w:p>
        </w:tc>
        <w:tc>
          <w:tcPr>
            <w:tcW w:w="9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980" w:hanging="648"/>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costs related to the execution of cost savings and revenue growth strategic initiatives.</w:t>
      </w:r>
    </w:p>
    <w:p>
      <w:pPr>
        <w:spacing w:after="0" w:line="117"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compensation and other costs related to the CEO transition effective January 1,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from time to time party to litigation, legal proceedings and tax examinations arising from our operations. Most of these matters involve allegations of damages against us related to employment matters, consumer complaints, advertising/labeling claims, personal injury claims and commercial or contractual disputes. We record estimates for claims and proceedings that constitute a present obligation when it is probable that an outflow of resources will be required to settle the obligation and a reliable estimate of such obligation can be made. While it is not possible to predict the outcome of any of these matters, based on our assessment of the facts and circumstances as of December 31, 2025, we do not believe any of these matters, individually or in the aggregate, will have a material adverse effect on our financial position, results of operations or cash flows. However, actual outcomes may differ from those expected and could have a material effect on our financial position, results of operations or cash flows in a future period.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Accumulated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our balances of each component of accumulated other comprehensive income.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Employee Benefit Plans</w:t>
            </w:r>
          </w:p>
        </w:tc>
        <w:tc>
          <w:tcPr>
            <w:tcW w:w="1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20" w:type="dxa"/>
            <w:vAlign w:val="bottom"/>
            <w:tcBorders>
              <w:bottom w:val="single" w:sz="8" w:color="auto"/>
            </w:tcBorders>
            <w:gridSpan w:val="3"/>
            <w:vMerge w:val="continue"/>
          </w:tcPr>
          <w:p>
            <w:pPr>
              <w:spacing w:after="0"/>
              <w:rPr>
                <w:sz w:val="17"/>
                <w:szCs w:val="17"/>
                <w:color w:val="auto"/>
              </w:rPr>
            </w:pPr>
          </w:p>
        </w:tc>
        <w:tc>
          <w:tcPr>
            <w:tcW w:w="1660" w:type="dxa"/>
            <w:vAlign w:val="bottom"/>
            <w:tcBorders>
              <w:bottom w:val="single" w:sz="8" w:color="auto"/>
            </w:tcBorders>
            <w:gridSpan w:val="3"/>
            <w:vMerge w:val="continue"/>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80" w:type="dxa"/>
            <w:vAlign w:val="bottom"/>
            <w:gridSpan w:val="3"/>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arising during the period</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 arising during the period</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arising during the period</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5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before income tax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0" w:type="dxa"/>
            <w:vAlign w:val="bottom"/>
            <w:gridSpan w:val="6"/>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25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560" w:type="dxa"/>
            <w:vAlign w:val="bottom"/>
            <w:gridSpan w:val="2"/>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16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1640" w:type="dxa"/>
            <w:vAlign w:val="bottom"/>
          </w:tcPr>
          <w:p>
            <w:pPr>
              <w:spacing w:after="0"/>
              <w:rPr>
                <w:sz w:val="19"/>
                <w:szCs w:val="19"/>
                <w:color w:val="auto"/>
              </w:rPr>
            </w:pP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Significant components of income tax expense were as follows:</w:t>
            </w:r>
          </w:p>
        </w:tc>
        <w:tc>
          <w:tcPr>
            <w:tcW w:w="1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06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5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0" w:type="dxa"/>
            <w:vAlign w:val="bottom"/>
            <w:gridSpan w:val="6"/>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25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6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560" w:type="dxa"/>
            <w:vAlign w:val="bottom"/>
            <w:gridSpan w:val="2"/>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64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income tax expense</w:t>
            </w:r>
          </w:p>
        </w:tc>
        <w:tc>
          <w:tcPr>
            <w:tcW w:w="16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6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income tax (benefit) expense</w:t>
            </w:r>
          </w:p>
        </w:tc>
        <w:tc>
          <w:tcPr>
            <w:tcW w:w="164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4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1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67</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50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6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income taxes computed at the U.S. Federal statutory income tax rate of 21% for 2025 to our income tax expense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90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11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8140" w:type="dxa"/>
            <w:vAlign w:val="bottom"/>
          </w:tcPr>
          <w:p>
            <w:pPr>
              <w:spacing w:after="0"/>
              <w:rPr>
                <w:sz w:val="11"/>
                <w:szCs w:val="11"/>
                <w:color w:val="auto"/>
              </w:rPr>
            </w:pPr>
          </w:p>
        </w:tc>
        <w:tc>
          <w:tcPr>
            <w:tcW w:w="1060" w:type="dxa"/>
            <w:vAlign w:val="bottom"/>
          </w:tcPr>
          <w:p>
            <w:pPr>
              <w:jc w:val="right"/>
              <w:ind w:right="61"/>
              <w:spacing w:after="0" w:line="137"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81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06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State and local income taxes, net of Federal income tax effect </w:t>
            </w:r>
            <w:r>
              <w:rPr>
                <w:rFonts w:ascii="Times New Roman" w:cs="Times New Roman" w:eastAsia="Times New Roman" w:hAnsi="Times New Roman"/>
                <w:sz w:val="23"/>
                <w:szCs w:val="23"/>
                <w:color w:val="auto"/>
                <w:vertAlign w:val="superscript"/>
              </w:rPr>
              <w:t>(1)</w:t>
            </w:r>
          </w:p>
        </w:tc>
        <w:tc>
          <w:tcPr>
            <w:tcW w:w="10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cross-border tax laws</w:t>
            </w:r>
          </w:p>
        </w:tc>
        <w:tc>
          <w:tcPr>
            <w:tcW w:w="10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0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 and effective tax rate</w:t>
            </w:r>
          </w:p>
        </w:tc>
        <w:tc>
          <w:tcPr>
            <w:tcW w:w="1060" w:type="dxa"/>
            <w:vAlign w:val="bottom"/>
            <w:tcBorders>
              <w:top w:val="single" w:sz="8" w:color="auto"/>
              <w:bottom w:val="single" w:sz="8" w:color="auto"/>
            </w:tcBorders>
          </w:tcPr>
          <w:p>
            <w:pPr>
              <w:jc w:val="right"/>
              <w:ind w:right="88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240" w:type="dxa"/>
            <w:vAlign w:val="bottom"/>
          </w:tcPr>
          <w:p>
            <w:pPr>
              <w:spacing w:after="0"/>
              <w:rPr>
                <w:sz w:val="19"/>
                <w:szCs w:val="19"/>
                <w:color w:val="auto"/>
              </w:rPr>
            </w:pP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23.3 %</w:t>
            </w:r>
          </w:p>
        </w:tc>
        <w:tc>
          <w:tcPr>
            <w:tcW w:w="0" w:type="dxa"/>
            <w:vAlign w:val="bottom"/>
          </w:tcPr>
          <w:p>
            <w:pPr>
              <w:spacing w:after="0"/>
              <w:rPr>
                <w:sz w:val="1"/>
                <w:szCs w:val="1"/>
                <w:color w:val="auto"/>
              </w:rPr>
            </w:pPr>
          </w:p>
        </w:tc>
      </w:tr>
      <w:tr>
        <w:trPr>
          <w:trHeight w:val="21"/>
        </w:trPr>
        <w:tc>
          <w:tcPr>
            <w:tcW w:w="8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400" w:hanging="392"/>
        <w:spacing w:after="0"/>
        <w:tabs>
          <w:tab w:leader="none" w:pos="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taxes in Wisconsin, California and Minnesota made up the majority (greater than 50%) of the tax effect in this category.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reconciliation of income taxes computed at the U.S. Federal statutory income tax rate of 21% for 2024 and 2023, to our income tax expense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20" w:type="dxa"/>
            <w:vAlign w:val="bottom"/>
          </w:tcPr>
          <w:p>
            <w:pPr>
              <w:spacing w:after="0"/>
              <w:rPr>
                <w:sz w:val="16"/>
                <w:szCs w:val="16"/>
                <w:color w:val="auto"/>
              </w:rPr>
            </w:pPr>
          </w:p>
        </w:tc>
      </w:tr>
      <w:tr>
        <w:trPr>
          <w:trHeight w:val="23"/>
        </w:trPr>
        <w:tc>
          <w:tcPr>
            <w:tcW w:w="8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r>
      <w:tr>
        <w:trPr>
          <w:trHeight w:val="196"/>
        </w:trPr>
        <w:tc>
          <w:tcPr>
            <w:tcW w:w="8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60" w:type="dxa"/>
            <w:vAlign w:val="bottom"/>
            <w:gridSpan w:val="3"/>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7"/>
                <w:szCs w:val="17"/>
                <w:color w:val="auto"/>
              </w:rPr>
            </w:pPr>
          </w:p>
        </w:tc>
      </w:tr>
      <w:tr>
        <w:trPr>
          <w:trHeight w:val="23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income tax expense at the statutory rate</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income tax expense</w:t>
            </w: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Change in tax rates</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to provision adjustments</w:t>
            </w:r>
          </w:p>
        </w:tc>
        <w:tc>
          <w:tcPr>
            <w:tcW w:w="9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9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40" w:type="dxa"/>
            <w:vAlign w:val="bottom"/>
          </w:tcPr>
          <w:p>
            <w:pPr>
              <w:spacing w:after="0"/>
              <w:rPr>
                <w:sz w:val="19"/>
                <w:szCs w:val="19"/>
                <w:color w:val="auto"/>
              </w:rPr>
            </w:pP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r>
      <w:tr>
        <w:trPr>
          <w:trHeight w:val="20"/>
        </w:trPr>
        <w:tc>
          <w:tcPr>
            <w:tcW w:w="8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400" w:hanging="392"/>
        <w:spacing w:after="0"/>
        <w:tabs>
          <w:tab w:leader="none" w:pos="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due to a discrete tax benefit for the remeasurement of deferred tax liabilities due to a change in our state tax rates after apportionment.</w:t>
      </w:r>
    </w:p>
    <w:p>
      <w:pPr>
        <w:spacing w:after="0" w:line="21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Tax Assets and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taxes result from temporary differences between the amount of assets and liabilities recognized for financial reporting and tax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our net deferred income tax liability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23"/>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7"/>
                <w:szCs w:val="17"/>
                <w:color w:val="auto"/>
              </w:rPr>
            </w:pPr>
          </w:p>
        </w:tc>
      </w:tr>
      <w:tr>
        <w:trPr>
          <w:trHeight w:val="23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benefits</w:t>
            </w:r>
          </w:p>
        </w:tc>
        <w:tc>
          <w:tcPr>
            <w:tcW w:w="86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obligations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Reserves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Tax losses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 after valuation allowance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30"/>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right-of-use assets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instruments</w:t>
            </w:r>
          </w:p>
        </w:tc>
        <w:tc>
          <w:tcPr>
            <w:tcW w:w="8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8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w:t>
            </w:r>
          </w:p>
        </w:tc>
      </w:tr>
      <w:tr>
        <w:trPr>
          <w:trHeight w:val="20"/>
        </w:trPr>
        <w:tc>
          <w:tcPr>
            <w:tcW w:w="8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740 prescribes a recognition threshold of more-likely-than not to be sustained upon examination as it relates to the accounting for uncertainty in income taxes recognized in an enterprise’s financial statements. Our policy is to include interest and penalties related to gross unrecognized tax benefits in income tax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gross unrecognized tax benefits: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5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the year</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associated with tax positions taken during the current year</w:t>
            </w: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associated with tax positions taken in prior years</w:t>
            </w:r>
          </w:p>
        </w:tc>
        <w:tc>
          <w:tcPr>
            <w:tcW w:w="9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unrecognized tax benefits</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0"/>
        </w:trPr>
        <w:tc>
          <w:tcPr>
            <w:tcW w:w="6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year we file income tax returns in the various federal, state, local and foreign income taxing jurisdictions in which we operate. Canada is the only foreign jurisdiction in which we operate. Our income tax returns are subject to examination and possible challenge by the tax authorities. Although ultimate timing is uncertain, the net amount of tax liability for unrecognized tax benefits may change within the next twelve months due to changes in audit status, settlements of tax assessments and other events.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 Paid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cash paid for income taxes, net of refunds received,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3"/>
                <w:szCs w:val="13"/>
                <w:color w:val="auto"/>
              </w:rPr>
            </w:pP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w:t>
            </w:r>
          </w:p>
        </w:tc>
      </w:tr>
      <w:tr>
        <w:trPr>
          <w:trHeight w:val="195"/>
        </w:trPr>
        <w:tc>
          <w:tcPr>
            <w:tcW w:w="9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195"/>
        </w:trPr>
        <w:tc>
          <w:tcPr>
            <w:tcW w:w="9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9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9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9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taxes paid</w:t>
            </w: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21"/>
        </w:trPr>
        <w:tc>
          <w:tcPr>
            <w:tcW w:w="9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Reform</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(“OBBBA”) which includes, among other provisions, changes to the U.S. corporate income tax system, including the allowance of 100% expensing of qualified asset expenditures, immediate expensing of qualifying domestic research and development expenses and permanent extensions of certain other provisions within the Tax Cuts and Jobs Act. Certain provisions are effective for 2025, beginning January 19, 2025. The enactment did not have a material impact on our effective tax rate for the year ended December 31, 2025.</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Segment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Executive Officer, who has been identified as our Chief Operating Decision Maker (“CODM”), has evaluated how he views and measures our performance. In applying the criteria set forth in the standards for reporting information about segments in financial statements, we have determined that we have four reportable segments - Reynolds Cooking &amp; Baking, Hefty Waste &amp; Storage, Hefty Tableware and Presto Products. The key factors used to identify these reportable segments are the organization and alignment of our internal operations and the nature of our products. This reflects how our CODM monitors performance, allocates capital and makes strategic and operational decisions.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January 1, 2025, we updated our segment reporting to reflect our international business based on product category alignment, as opposed to the entirety of international results historically being reported in the Reynolds Cooking &amp; Baking segment. All prior period segment disclosures have been recast to reflect this reassignment. Our composition of operating segments and reportable segments did not change, and this reassignment had no effect on our previously reported consolidated results of operations.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segments are described as follows: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Reynolds Cooking &amp; Baking segment produces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 international markets, under the ALCAN brand in Canada and under the Diamond brand outside of North America.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Hefty Waste &amp; Storage segment produces both branded and store brand trash and food storage bags. Our branded products are sold under the Hefty Ultra Strong and Hefty Strong brands for trash bags in the U.S. and select international markets, and as the Hefty brand for our food storage bags in the U.S. Our food storage bags are sold internationally as Reynolds, Diamond, or Hefty Basics brands based on the region.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Hefty Tableware segment sells both branded and store brand disposable and compostable plates, bowls, platters, cups and cutlery. Our Hefty branded products include dishes, party cups, cutlery and containers.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Presto Products segment primarily sells store brand products in three main consumer categories: food storage bags, trash bags and plastic wrap. Our Presto Products segment also includes our specialty business, which serves other consumer products companies by providing Fresh-Lock and Slide-Rite resealable closure systems.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by Segment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present segment adjusted EBITDA (“Adjusted EBITDA”) as this is the financial measure by which management and our CODM evaluates the performance of each segment and allocates resources (including employees, property and financial or capital resources) for each segment, predominantly in the annual budgeting and forecasting process. The CODM considers budget-to-actual variances on a monthly basis, as well as performance versus the prior year, when making decisions about allocating capital and personnel to the segments.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represents each segment’s earnings before interest, tax, depreciation and amortization and may be further adjusted to exclude certain other items, if applicable.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by segment are those assets directly associated with the respective operating activities, comprising inventory, property, plant and equipment and operating lease right-of-use assets. Other assets, such as cash, accounts receivable and intangible assets, are monitored on an entity-wide basis and not included in segment information that is regularly reviewed by our CODM.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policies applied by our segments are the same as those described in Note 2 - Summary of Significant Accounting Policies. Transactions between segments are at negotiated prices.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13"/>
                <w:szCs w:val="13"/>
                <w:color w:val="auto"/>
              </w:rPr>
            </w:pPr>
          </w:p>
        </w:tc>
        <w:tc>
          <w:tcPr>
            <w:tcW w:w="7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180" w:type="dxa"/>
            <w:vAlign w:val="bottom"/>
          </w:tcPr>
          <w:p>
            <w:pPr>
              <w:spacing w:after="0"/>
              <w:rPr>
                <w:sz w:val="13"/>
                <w:szCs w:val="13"/>
                <w:color w:val="auto"/>
              </w:rPr>
            </w:pPr>
          </w:p>
        </w:tc>
        <w:tc>
          <w:tcPr>
            <w:tcW w:w="86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2"/>
                <w:szCs w:val="12"/>
                <w:color w:val="auto"/>
              </w:rPr>
            </w:pPr>
          </w:p>
        </w:tc>
        <w:tc>
          <w:tcPr>
            <w:tcW w:w="760" w:type="dxa"/>
            <w:vAlign w:val="bottom"/>
          </w:tcPr>
          <w:p>
            <w:pPr>
              <w:jc w:val="center"/>
              <w:ind w:right="75"/>
              <w:spacing w:after="0" w:line="146" w:lineRule="exact"/>
              <w:rPr>
                <w:sz w:val="20"/>
                <w:szCs w:val="20"/>
                <w:color w:val="auto"/>
              </w:rPr>
            </w:pPr>
            <w:r>
              <w:rPr>
                <w:rFonts w:ascii="Times New Roman" w:cs="Times New Roman" w:eastAsia="Times New Roman" w:hAnsi="Times New Roman"/>
                <w:sz w:val="14"/>
                <w:szCs w:val="14"/>
                <w:b w:val="1"/>
                <w:bCs w:val="1"/>
                <w:color w:val="auto"/>
                <w:w w:val="98"/>
              </w:rPr>
              <w:t>Waste &amp;</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2"/>
                <w:szCs w:val="12"/>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3,726</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3,721</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3,748</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3,721</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4,936</w:t>
            </w:r>
          </w:p>
        </w:tc>
        <w:tc>
          <w:tcPr>
            <w:tcW w:w="0" w:type="dxa"/>
            <w:vAlign w:val="bottom"/>
          </w:tcPr>
          <w:p>
            <w:pPr>
              <w:spacing w:after="0"/>
              <w:rPr>
                <w:sz w:val="1"/>
                <w:szCs w:val="1"/>
                <w:color w:val="auto"/>
              </w:rPr>
            </w:pPr>
          </w:p>
        </w:tc>
      </w:tr>
      <w:tr>
        <w:trPr>
          <w:trHeight w:val="542"/>
        </w:trPr>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24"/>
                <w:szCs w:val="24"/>
                <w:color w:val="auto"/>
              </w:rPr>
            </w:pPr>
          </w:p>
        </w:tc>
        <w:tc>
          <w:tcPr>
            <w:tcW w:w="7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5"/>
                <w:szCs w:val="15"/>
                <w:color w:val="auto"/>
              </w:rPr>
            </w:pPr>
          </w:p>
        </w:tc>
        <w:tc>
          <w:tcPr>
            <w:tcW w:w="7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8"/>
              </w:rPr>
              <w:t>Waste &amp;</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180" w:type="dxa"/>
            <w:vAlign w:val="bottom"/>
          </w:tcPr>
          <w:p>
            <w:pPr>
              <w:spacing w:after="0"/>
              <w:rPr>
                <w:sz w:val="15"/>
                <w:szCs w:val="15"/>
                <w:color w:val="auto"/>
              </w:rPr>
            </w:pPr>
          </w:p>
        </w:tc>
        <w:tc>
          <w:tcPr>
            <w:tcW w:w="86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3,698</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3,695</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3,695</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4,873</w:t>
            </w:r>
          </w:p>
        </w:tc>
        <w:tc>
          <w:tcPr>
            <w:tcW w:w="0" w:type="dxa"/>
            <w:vAlign w:val="bottom"/>
          </w:tcPr>
          <w:p>
            <w:pPr>
              <w:spacing w:after="0"/>
              <w:rPr>
                <w:sz w:val="1"/>
                <w:szCs w:val="1"/>
                <w:color w:val="auto"/>
              </w:rPr>
            </w:pPr>
          </w:p>
        </w:tc>
      </w:tr>
      <w:tr>
        <w:trPr>
          <w:trHeight w:val="513"/>
        </w:trPr>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3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2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180" w:type="dxa"/>
            <w:vAlign w:val="bottom"/>
          </w:tcPr>
          <w:p>
            <w:pPr>
              <w:spacing w:after="0"/>
              <w:rPr>
                <w:sz w:val="13"/>
                <w:szCs w:val="13"/>
                <w:color w:val="auto"/>
              </w:rPr>
            </w:pPr>
          </w:p>
        </w:tc>
        <w:tc>
          <w:tcPr>
            <w:tcW w:w="86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2"/>
                <w:szCs w:val="12"/>
                <w:color w:val="auto"/>
              </w:rPr>
            </w:pPr>
          </w:p>
        </w:tc>
        <w:tc>
          <w:tcPr>
            <w:tcW w:w="9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Waste &amp;</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2"/>
                <w:szCs w:val="12"/>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3,750</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3,756</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3,775</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3,756</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540" w:right="20" w:hanging="514"/>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includes the elimination of intersegment revenues, other revenue adjustments and certain corporate costs, depreciation and amortization and assets not allocated to segments. Unallocated assets are comprised of cash, accounts receivable, other receivables, entity-wide property, plant and equipment, entity-wide operating lease ROU assets, goodwill, intangible assets, related party receivables and other assets.</w:t>
      </w:r>
    </w:p>
    <w:p>
      <w:pPr>
        <w:spacing w:after="0" w:line="28" w:lineRule="exact"/>
        <w:rPr>
          <w:rFonts w:ascii="Times New Roman" w:cs="Times New Roman" w:eastAsia="Times New Roman" w:hAnsi="Times New Roman"/>
          <w:sz w:val="18"/>
          <w:szCs w:val="18"/>
          <w:color w:val="auto"/>
        </w:rPr>
      </w:pPr>
    </w:p>
    <w:p>
      <w:pPr>
        <w:jc w:val="both"/>
        <w:ind w:left="540" w:right="20" w:hanging="514"/>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included in Segment Adjusted EBITDA primarily include cost of sales (including material, manufacturing and logistics costs), salaries and benefits, advertising expenses and professional fees. The CODM allocates resources and assesses performance on a consolidated level for these other segment items.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segment Adjusted EBITDA to consolidated GAAP income before income taxes: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80" w:type="dxa"/>
            <w:vAlign w:val="bottom"/>
            <w:gridSpan w:val="6"/>
          </w:tcPr>
          <w:p>
            <w:pPr>
              <w:jc w:val="center"/>
              <w:ind w:left="55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60" w:type="dxa"/>
            <w:vAlign w:val="bottom"/>
          </w:tcPr>
          <w:p>
            <w:pPr>
              <w:spacing w:after="0"/>
              <w:rPr>
                <w:sz w:val="16"/>
                <w:szCs w:val="16"/>
                <w:color w:val="auto"/>
              </w:rPr>
            </w:pPr>
          </w:p>
        </w:tc>
      </w:tr>
      <w:tr>
        <w:trPr>
          <w:trHeight w:val="23"/>
        </w:trPr>
        <w:tc>
          <w:tcPr>
            <w:tcW w:w="6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6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30"/>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 unallocated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6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Adjustments to reconcile to GAAP income before income taxes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6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Debt refinancing expense</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Costs to execute strategic initiatives</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CEO transition costs</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GAAP income before income taxes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r>
      <w:tr>
        <w:trPr>
          <w:trHeight w:val="21"/>
        </w:trPr>
        <w:tc>
          <w:tcPr>
            <w:tcW w:w="6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00" w:hanging="392"/>
        <w:spacing w:after="0"/>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expense recorded related to our March 2025 Term Loan Facility refinancing.</w:t>
      </w:r>
    </w:p>
    <w:p>
      <w:pPr>
        <w:spacing w:after="0" w:line="225"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costs related to the execution of cost savings and revenue growth strategic initiatives.</w:t>
      </w:r>
    </w:p>
    <w:p>
      <w:pPr>
        <w:spacing w:after="0" w:line="225" w:lineRule="exact"/>
        <w:rPr>
          <w:rFonts w:ascii="Times New Roman" w:cs="Times New Roman" w:eastAsia="Times New Roman" w:hAnsi="Times New Roman"/>
          <w:sz w:val="18"/>
          <w:szCs w:val="18"/>
          <w:color w:val="auto"/>
        </w:rPr>
      </w:pPr>
    </w:p>
    <w:p>
      <w:pPr>
        <w:ind w:left="5540" w:right="4060" w:hanging="5532"/>
        <w:spacing w:after="0" w:line="516" w:lineRule="auto"/>
        <w:tabs>
          <w:tab w:leader="none" w:pos="40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compensation and other costs related to the CEO transition effective January 1, 2025.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in Relation to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product line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540" w:type="dxa"/>
            <w:vAlign w:val="bottom"/>
            <w:gridSpan w:val="6"/>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60" w:type="dxa"/>
            <w:vAlign w:val="bottom"/>
          </w:tcPr>
          <w:p>
            <w:pPr>
              <w:spacing w:after="0"/>
              <w:rPr>
                <w:sz w:val="16"/>
                <w:szCs w:val="16"/>
                <w:color w:val="auto"/>
              </w:rPr>
            </w:pPr>
          </w:p>
        </w:tc>
      </w:tr>
      <w:tr>
        <w:trPr>
          <w:trHeight w:val="23"/>
        </w:trPr>
        <w:tc>
          <w:tcPr>
            <w:tcW w:w="68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68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Cooking products</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30"/>
        </w:trPr>
        <w:tc>
          <w:tcPr>
            <w:tcW w:w="6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Waste products</w:t>
            </w:r>
            <w:r>
              <w:rPr>
                <w:rFonts w:ascii="Times New Roman" w:cs="Times New Roman" w:eastAsia="Times New Roman" w:hAnsi="Times New Roman"/>
                <w:sz w:val="23"/>
                <w:szCs w:val="23"/>
                <w:color w:val="auto"/>
                <w:vertAlign w:val="superscript"/>
              </w:rPr>
              <w:t>(1)</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Tableware products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r>
      <w:tr>
        <w:trPr>
          <w:trHeight w:val="229"/>
        </w:trPr>
        <w:tc>
          <w:tcPr>
            <w:tcW w:w="68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Storage products</w:t>
            </w:r>
            <w:r>
              <w:rPr>
                <w:rFonts w:ascii="Times New Roman" w:cs="Times New Roman" w:eastAsia="Times New Roman" w:hAnsi="Times New Roman"/>
                <w:sz w:val="23"/>
                <w:szCs w:val="23"/>
                <w:color w:val="auto"/>
                <w:vertAlign w:val="superscript"/>
              </w:rPr>
              <w:t>(1)</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3,721</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3,695</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3,756</w:t>
            </w:r>
          </w:p>
        </w:tc>
      </w:tr>
      <w:tr>
        <w:trPr>
          <w:trHeight w:val="21"/>
        </w:trPr>
        <w:tc>
          <w:tcPr>
            <w:tcW w:w="6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40" w:hanging="63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and storage products are comprised of our Hefty Waste &amp; Storage and Presto Products segments.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different product lines are generally sold to a common group of customers. For all product lines, there is a relatively short time period between the receipt of the order and the transfer of control over the goods to the customer.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Data</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Geographic data for net revenues (recognized based on location of our business operations) and long-lived assets (representing property, plant and equipment)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6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2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3,721</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3,695</w:t>
            </w: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3,756</w:t>
            </w:r>
          </w:p>
        </w:tc>
      </w:tr>
      <w:tr>
        <w:trPr>
          <w:trHeight w:val="21"/>
        </w:trPr>
        <w:tc>
          <w:tcPr>
            <w:tcW w:w="6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97"/>
        </w:trPr>
        <w:tc>
          <w:tcPr>
            <w:tcW w:w="6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24"/>
                <w:szCs w:val="24"/>
                <w:color w:val="auto"/>
              </w:rPr>
            </w:pPr>
          </w:p>
        </w:tc>
      </w:tr>
      <w:tr>
        <w:trPr>
          <w:trHeight w:val="23"/>
        </w:trPr>
        <w:tc>
          <w:tcPr>
            <w:tcW w:w="6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823</w:t>
            </w: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758</w:t>
            </w:r>
          </w:p>
        </w:tc>
      </w:tr>
      <w:tr>
        <w:trPr>
          <w:trHeight w:val="20"/>
        </w:trPr>
        <w:tc>
          <w:tcPr>
            <w:tcW w:w="6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Entity-wide Disclosures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revenues from our largest customer and its affiliates was 48% of total net revenues for each of the years ended December 31, 2025, 2024 and 2023. The net revenues from our largest customer and its affiliates were recognized across all of our segments but concentrated more heavily in our Hefty Waste &amp; Storage and Hefty Tableware segments. Another customer was 11% of total net revenues for the year ended December 31, 2025. Net revenues from this customer are in our Reynolds Cooking &amp; Baking, Hefty Tableware and Presto Products segments. No other customers accounted for 10% or more of our total net revenues in any of the years presented.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Related Party Transactions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Packaging Finance Limited (“PFL”) owns the majority of our outstanding common stock, and until April 1, 2025, owned the majority of the outstanding common stock of Pactiv Evergreen Inc. and its subsidiaries (“PEI Group”). We sell and purchase various goods and services with PEI Group under contractual arrangements that expire over a variety of periods through December 31, 2027. During the years ended December 31, 2024 and 2023, we amended these contractual arrangements with PEI Group, which, among other things, extended the expiration date for certain arrangements. Transactions between us and PEI Group are described below.</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 2025, PFL completed the sale of PEI Group, which was a related party through March 31, 2025, to an unrelated party. Accordingly, transactions and balances with PEI Group from April 1, 2025 are no longer classified as related party items. Related party receivables and payables outstanding as of March 31, 2025, have been reclassified to accounts receivable, net and accounts payable, respectively. The related party cash flow amounts presented reflect only activity through March 31, 2025. This change does not affect the presentation of historical related party disclosures.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2025, 2024 and 2023, revenues from products sold to PEI Group as a related party were $17 million, $77 million and $83 million, respectively. For the years ended December 31, 2025, 2024 and 2023, products purchased from PEI Group as a related party were $51 million, $332 million and $381 million, respectively. For the years ended December 31, 2025, 2024 and 2023, PEI Group as a related party charged us freight and warehousing costs of $4 million, $28 million and $37 million, respectively, which were included in cost of sales. The resulting related party receivables and payables are settled regularly with PEI Group in the normal course of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$143 million of dividends were paid to PFL during the years ended December 31, 2025, 2024 and 2023,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Cash Dividend</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29, 2026, our Board of Directors approved a cash dividend of $0.23 per common share to be paid on February 27, 2026 to shareholders of record on February 13, 2026.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Realignment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4, 2026, we announced an organizational realignment that is designed to increase efficiencies, sharpen the focus on innovation and establish a structure to better unlock growth opportunities. As part of this realignment, the Hefty Waste &amp; Storage and Presto Products segments have been reorganized into two new reportable segments, separating our waste bags and food storage operations. The Reynolds Cooking &amp; Baking and Hefty Tableware segments remain unchanged. The impacts of this change, including the recast of comparative segment disclosures, will be reflected beginning in the first quarter of 2026.</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described above, there have been no events subsequent to December 31, 2025 which would require recognition or disclosure in these consolidated financial statements.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 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disclosure controls and procedures (as defined in Exchange Act Rules 13a-15(e) and 15d-15(e)) are designed to ensure that information required to be disclosed by us in reports we file or submit under the Securities Exchange Act of 1934, as amended,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 We, under the supervision of and with the participation of our management, including our Chief Executive Officer and Chief Financial Officer, have evaluated the effectiveness of our disclosure controls and procedures. Based on that evaluation, our Chief Executive Officer and Chief Financial Officer concluded that our disclosure controls and procedures were effective as of December 31,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Management is responsible for establishing and maintaining adequate internal control over financial reporting, as defined in Rules 13a-15(f) and 15d-15(f) </w:t>
      </w:r>
      <w:r>
        <w:rPr>
          <w:rFonts w:ascii="Times New Roman" w:cs="Times New Roman" w:eastAsia="Times New Roman" w:hAnsi="Times New Roman"/>
          <w:sz w:val="18"/>
          <w:szCs w:val="18"/>
          <w:color w:val="000000"/>
        </w:rPr>
        <w:t>under the Exchange Act. Our internal control over financial reporting is a process designed under the supervision of the Chief Executive Officer and Chief Financial Officer to provide reasonable assurance regarding the reliability of financial reporting and the preparation of our financial statements for external purposes in accordance with accounting principles generally accepted in the United States of America.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under all potential conditions. Therefore, effective internal control over financial reporting provides only reasonable, and not absolute, assurance with respect to the preparation and presentation of financial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our internal control over financial reporting as of December 31, 2025 using the criteria set forth in the Internal Control Integrated Framework (2013) issued by the Committee of Sponsoring Organizations of the Treadway Commission (COSO). As a result of that evaluation, management concluded that our internal control over financial reporting was effective as of December 31,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PricewaterhouseCoopers LLP, has audited the effectiveness of our internal control over financial reporting as of December 31, 2025, as stated in its report which appears in Item 8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fiscal quarter ended December 31, 2025 that has materially affected, or is reasonably likely to materially affect, our internal control over financial reporting.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2025, none of our directors or officers (as defined in Rule 16a-1(f) of the Exchange Act) adopted or terminated any contract, instruction or written plan for the purchase or sale of our securities that was intended to satisfy the affirmative defense conditions of Rule 10b5-1(c) of the Exchange Act or any non-Rule 10b5-1 trading arrangement (as identified in Item 408(c) of Regulation S-K).</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January 29, 2026, the Company entered into amendments to the employment agreements (collectively, the “Amendments”) of Judith Buckner, Steve Estes and Lisa Smith (collectively, the “Executives”), each of whom is an executive officer of the Company. The Amendments modify certain post-termination compensation and benefits provisions of the Executives’ employment agreements. The material terms of the Amendments include:</w:t>
      </w:r>
    </w:p>
    <w:p>
      <w:pPr>
        <w:spacing w:after="0" w:line="68" w:lineRule="exact"/>
        <w:rPr>
          <w:sz w:val="20"/>
          <w:szCs w:val="20"/>
          <w:color w:val="auto"/>
        </w:rPr>
      </w:pPr>
    </w:p>
    <w:p>
      <w:pPr>
        <w:jc w:val="both"/>
        <w:ind w:left="660" w:right="2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Cash Severance Prior to Sale: The Amendments increase the cash severance payable to each Executive upon a qualifying termination prior to a “sale of business” (as defined in the employment agreements) to include a prorated annual bonus at target for the year in which the termination occurs.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Cash Severance Following Sale: The Amendments enhance severance benefits in the event of a qualifying termination within 12 months following a “sale of business” (as defined in the employment agreements) to include the Executive's annual bonus at target under the applicable multiplier.</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Health Benefits: The Amendments extend health benefits coverage from 12 to 18 months following a qualifying termination.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280G Provisions: The Amendments address payments subject to Section 280G of the Internal Revenue Code, providing that if such payments would incur excise tax under Section 4999 of the Internal Revenue Code, they will either be (i) paid in full, with the Executive bearing the excise tax, or (ii) reduced to avoid the excise tax, depending on which option provides the greater after-tax benefit to the Executive.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for the changes described above, the material terms of the Executives’ employment agreements remain unchanged.</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Amendments does not purport to be complete and is qualified in its entirety by reference to the full text of the Amendments filed as exhibits to this Annual Report on Form 10-K.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10 will appear in the Company’s Proxy Statement for its 2026 Annual Meeting of Stockholders (the “2026” Proxy Statement”) under the captions “Proposal 1: Election of Directors,” “Executive Compensation - Executive Officers,” and “Corporate Governance” and is incorporated herein by reference.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will appear in the Company’s 2026 Proxy Statement under the captions “Director Compensation,” “Executive Compensation” and “Certain Relationships and Related Person Transactions” and is incorporated herein by reference.</w:t>
      </w:r>
    </w:p>
    <w:p>
      <w:pPr>
        <w:spacing w:after="0" w:line="158"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will appear in the Company’s 2026 Proxy Statement under the captions “Executive Compensation” and “Security Ownership of Certain Beneficial Owners and Management” and is incorporated herein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will appear in the Company’s 2026 Proxy Statement under the captions “Certain Relationships and Related Person Transactions” and “Corporate Governance” and is incorporated herein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will appear in the Company’s 2026 Proxy Statement under the caption “Proposal 2: Ratification of Appointment of Independent Registered Public Accounting Firm” and is incorporated herein by reference.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340" w:right="2880" w:firstLine="2568"/>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15. EXHIBITS AND FINANCIAL STATEMENT SCHEDULES </w:t>
      </w:r>
      <w:r>
        <w:rPr>
          <w:rFonts w:ascii="Times New Roman" w:cs="Times New Roman" w:eastAsia="Times New Roman" w:hAnsi="Times New Roman"/>
          <w:sz w:val="18"/>
          <w:szCs w:val="18"/>
          <w:color w:val="auto"/>
        </w:rPr>
        <w:t>(a) The following documents are filed as part of this Annual Report on Form 10-K:</w:t>
      </w:r>
    </w:p>
    <w:p>
      <w:pPr>
        <w:spacing w:after="0" w:line="49"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consolidated financial statements are filed as part of this Annual Report on Form 10-K under Part II, Item 8:</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3880" w:type="dxa"/>
            <w:vAlign w:val="bottom"/>
            <w:gridSpan w:val="5"/>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7"/>
        </w:trPr>
        <w:tc>
          <w:tcPr>
            <w:tcW w:w="6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 for the Years Ended December 31, 2025, 2024 and 2023</w:t>
            </w:r>
          </w:p>
        </w:tc>
        <w:tc>
          <w:tcPr>
            <w:tcW w:w="2760" w:type="dxa"/>
            <w:vAlign w:val="bottom"/>
            <w:gridSpan w:val="4"/>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6"/>
        </w:trPr>
        <w:tc>
          <w:tcPr>
            <w:tcW w:w="78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Years Ended December 31, 2025, 2024 and 2023</w:t>
            </w:r>
          </w:p>
        </w:tc>
        <w:tc>
          <w:tcPr>
            <w:tcW w:w="15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7"/>
        </w:trPr>
        <w:tc>
          <w:tcPr>
            <w:tcW w:w="4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4760" w:type="dxa"/>
            <w:vAlign w:val="bottom"/>
            <w:gridSpan w:val="6"/>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6"/>
        </w:trPr>
        <w:tc>
          <w:tcPr>
            <w:tcW w:w="94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2025, 2024 and 2023</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6"/>
        </w:trPr>
        <w:tc>
          <w:tcPr>
            <w:tcW w:w="76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1780" w:type="dxa"/>
            <w:vAlign w:val="bottom"/>
            <w:gridSpan w:val="2"/>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7"/>
        </w:trPr>
        <w:tc>
          <w:tcPr>
            <w:tcW w:w="3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800" w:type="dxa"/>
            <w:vAlign w:val="bottom"/>
            <w:tcBorders>
              <w:top w:val="single" w:sz="8" w:color="0000FF"/>
            </w:tcBorders>
            <w:gridSpan w:val="4"/>
          </w:tcPr>
          <w:p>
            <w:pPr>
              <w:spacing w:after="0"/>
              <w:rPr>
                <w:sz w:val="20"/>
                <w:szCs w:val="20"/>
                <w:color w:val="auto"/>
              </w:rPr>
            </w:pPr>
          </w:p>
        </w:tc>
        <w:tc>
          <w:tcPr>
            <w:tcW w:w="2460" w:type="dxa"/>
            <w:vAlign w:val="bottom"/>
            <w:gridSpan w:val="3"/>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333"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See “Index to Exhibits” immediately preceding the signature page of this Annual Report on Form 10-K.</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80" w:type="dxa"/>
            <w:vAlign w:val="bottom"/>
            <w:gridSpan w:val="19"/>
          </w:tcPr>
          <w:p>
            <w:pPr>
              <w:ind w:left="282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36"/>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9900" w:type="dxa"/>
            <w:vAlign w:val="bottom"/>
            <w:gridSpan w:val="20"/>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5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gridSpan w:val="20"/>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Amended and Restated Certificate of Incorporation, conformed version that includes all amendments through April 25, 2024</w:t>
              </w:r>
            </w:hyperlink>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tcBorders>
              <w:top w:val="single" w:sz="8" w:color="0000EE"/>
              <w:bottom w:val="single" w:sz="8" w:color="0000EE"/>
            </w:tcBorders>
            <w:gridSpan w:val="13"/>
          </w:tcPr>
          <w:p>
            <w:pPr>
              <w:spacing w:after="0" w:line="182"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(incorporated herein by reference to Exhibit 3.3 to the Company’s Quarterly Report on Form 10-Q filed with the SEC on August 7,</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ind w:left="20"/>
              <w:spacing w:after="0" w:line="196" w:lineRule="exact"/>
              <w:rPr>
                <w:rFonts w:ascii="Times New Roman" w:cs="Times New Roman" w:eastAsia="Times New Roman" w:hAnsi="Times New Roman"/>
                <w:sz w:val="18"/>
                <w:szCs w:val="18"/>
                <w:color w:val="0000EE"/>
                <w:w w:val="95"/>
              </w:rPr>
            </w:pPr>
            <w:hyperlink r:id="rId127">
              <w:r>
                <w:rPr>
                  <w:rFonts w:ascii="Times New Roman" w:cs="Times New Roman" w:eastAsia="Times New Roman" w:hAnsi="Times New Roman"/>
                  <w:sz w:val="18"/>
                  <w:szCs w:val="18"/>
                  <w:color w:val="0000EE"/>
                  <w:w w:val="95"/>
                </w:rPr>
                <w:t>2024)</w:t>
              </w:r>
            </w:hyperlink>
          </w:p>
        </w:tc>
        <w:tc>
          <w:tcPr>
            <w:tcW w:w="3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20"/>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Amended and Restated By-Laws (incorporated herein by reference to Exhibit 3.2 to the Company’s Current Report on Form 8-K (File</w:t>
              </w:r>
            </w:hyperlink>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tcBorders>
              <w:top w:val="single" w:sz="8" w:color="0000EE"/>
            </w:tcBorders>
            <w:gridSpan w:val="19"/>
          </w:tcPr>
          <w:p>
            <w:pPr>
              <w:spacing w:after="0" w:line="182"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No. 001-39205) filed with the SEC on February 4, 2020)</w:t>
              </w:r>
            </w:hyperlink>
          </w:p>
        </w:tc>
        <w:tc>
          <w:tcPr>
            <w:tcW w:w="20" w:type="dxa"/>
            <w:vAlign w:val="bottom"/>
          </w:tcPr>
          <w:p>
            <w:pPr>
              <w:spacing w:after="0"/>
              <w:rPr>
                <w:sz w:val="15"/>
                <w:szCs w:val="15"/>
                <w:color w:val="auto"/>
              </w:rPr>
            </w:pPr>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00" w:type="dxa"/>
            <w:vAlign w:val="bottom"/>
            <w:gridSpan w:val="20"/>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Description of Securities Registered under Section 12 of the Securities Exchange Act of 1934 (incorporated herein by reference to</w:t>
              </w:r>
            </w:hyperlink>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top w:val="single" w:sz="8" w:color="0000EE"/>
            </w:tcBorders>
            <w:gridSpan w:val="14"/>
          </w:tcPr>
          <w:p>
            <w:pPr>
              <w:spacing w:after="0" w:line="182"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Exhibit 4.1 to the Company’s Annual Report on Form 10-K filed with the SEC on February 12,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6"/>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00" w:type="dxa"/>
            <w:vAlign w:val="bottom"/>
            <w:gridSpan w:val="20"/>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Indenture (incorporated herein by reference to Exhibit 4.1 to the Company’s Registration Statement on Form S-3ASR (File</w:t>
              </w:r>
            </w:hyperlink>
          </w:p>
        </w:tc>
      </w:tr>
      <w:tr>
        <w:trPr>
          <w:trHeight w:val="156"/>
        </w:trPr>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No. 333-279197) filed with the SEC on May 8, 2024)</w:t>
              </w:r>
            </w:hyperlink>
          </w:p>
        </w:tc>
        <w:tc>
          <w:tcPr>
            <w:tcW w:w="5620" w:type="dxa"/>
            <w:vAlign w:val="bottom"/>
            <w:tcBorders>
              <w:top w:val="single" w:sz="8" w:color="0000FF"/>
            </w:tcBorders>
            <w:gridSpan w:val="8"/>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2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00" w:type="dxa"/>
            <w:vAlign w:val="bottom"/>
            <w:gridSpan w:val="20"/>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Debt Security (included in Exhibit 4.2)</w:t>
              </w:r>
            </w:hyperlink>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gridSpan w:val="2"/>
            <w:shd w:val="clear" w:color="auto" w:fill="0000FF"/>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1"/>
                <w:szCs w:val="21"/>
                <w:color w:val="auto"/>
              </w:rPr>
            </w:pPr>
          </w:p>
        </w:tc>
        <w:tc>
          <w:tcPr>
            <w:tcW w:w="9900" w:type="dxa"/>
            <w:vAlign w:val="bottom"/>
            <w:gridSpan w:val="20"/>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Form of Indemnification Agreement (incorporated herein by reference to Exhibit 10.1 to the Company’s Registration Statement on</w:t>
              </w:r>
            </w:hyperlink>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500" w:type="dxa"/>
            <w:vAlign w:val="bottom"/>
            <w:tcBorders>
              <w:top w:val="single" w:sz="8" w:color="0000EE"/>
              <w:bottom w:val="single" w:sz="8" w:color="0000EE"/>
            </w:tcBorders>
            <w:gridSpan w:val="5"/>
          </w:tcPr>
          <w:p>
            <w:pPr>
              <w:spacing w:after="0" w:line="182"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Form S-1 (File No. 333-234731) filed with the SEC on November 15, 2019)</w:t>
              </w:r>
            </w:hyperlink>
          </w:p>
        </w:tc>
        <w:tc>
          <w:tcPr>
            <w:tcW w:w="4320" w:type="dxa"/>
            <w:vAlign w:val="bottom"/>
            <w:tcBorders>
              <w:top w:val="single" w:sz="8" w:color="0000EE"/>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5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1"/>
                <w:szCs w:val="21"/>
                <w:color w:val="auto"/>
              </w:rPr>
            </w:pPr>
          </w:p>
        </w:tc>
        <w:tc>
          <w:tcPr>
            <w:tcW w:w="9900" w:type="dxa"/>
            <w:vAlign w:val="bottom"/>
            <w:gridSpan w:val="20"/>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Reynolds Consumer Products Inc. Equity Incentive Plan (incorporated herein by reference to Exhibit 99 to the Company’s Registration</w:t>
              </w:r>
            </w:hyperlink>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tcBorders>
              <w:top w:val="single" w:sz="8" w:color="0000EE"/>
            </w:tcBorders>
            <w:gridSpan w:val="12"/>
          </w:tcPr>
          <w:p>
            <w:pPr>
              <w:spacing w:after="0" w:line="182"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Statement on Form S-8 (File No. 333-236204) filed with the SEC on January 31, 2020)</w:t>
              </w:r>
            </w:hyperlink>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1"/>
                <w:szCs w:val="21"/>
                <w:color w:val="auto"/>
              </w:rPr>
            </w:pPr>
          </w:p>
        </w:tc>
        <w:tc>
          <w:tcPr>
            <w:tcW w:w="9900" w:type="dxa"/>
            <w:vAlign w:val="bottom"/>
            <w:gridSpan w:val="20"/>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Reynolds Consumer Products Inc. Equity Incentive Plan, as amended and restated effective January 27, 2022 (incorporate herein by</w:t>
              </w:r>
            </w:hyperlink>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tcBorders>
              <w:top w:val="single" w:sz="8" w:color="0000EE"/>
            </w:tcBorders>
            <w:gridSpan w:val="18"/>
          </w:tcPr>
          <w:p>
            <w:pPr>
              <w:spacing w:after="0" w:line="182"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reference to Exhibit 10.3 to the Company’s Annual Report on Form 10-K filed with the SEC on February 9, 2022)</w:t>
              </w:r>
            </w:hyperlink>
          </w:p>
        </w:tc>
        <w:tc>
          <w:tcPr>
            <w:tcW w:w="40" w:type="dxa"/>
            <w:vAlign w:val="bottom"/>
            <w:gridSpan w:val="2"/>
          </w:tcPr>
          <w:p>
            <w:pPr>
              <w:spacing w:after="0"/>
              <w:rPr>
                <w:sz w:val="15"/>
                <w:szCs w:val="15"/>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1"/>
                <w:szCs w:val="21"/>
                <w:color w:val="auto"/>
              </w:rPr>
            </w:pPr>
          </w:p>
        </w:tc>
        <w:tc>
          <w:tcPr>
            <w:tcW w:w="9900" w:type="dxa"/>
            <w:vAlign w:val="bottom"/>
            <w:gridSpan w:val="20"/>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Form of Restricted Stock Unit Award Agreement under the Equity Incentive Plan (incorporated herein by reference to Exhibit 10.6 to</w:t>
              </w:r>
            </w:hyperlink>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tcBorders>
              <w:top w:val="single" w:sz="8" w:color="0000EE"/>
            </w:tcBorders>
            <w:gridSpan w:val="15"/>
          </w:tcPr>
          <w:p>
            <w:pPr>
              <w:spacing w:after="0" w:line="182"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the Company’s Annual Report on Form 10-K filed with the SEC on February 9, 2022)</w:t>
              </w:r>
            </w:hyperlink>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0" w:type="dxa"/>
            <w:vAlign w:val="bottom"/>
            <w:gridSpan w:val="6"/>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1"/>
                <w:szCs w:val="21"/>
                <w:color w:val="auto"/>
              </w:rPr>
            </w:pPr>
          </w:p>
        </w:tc>
        <w:tc>
          <w:tcPr>
            <w:tcW w:w="9900" w:type="dxa"/>
            <w:vAlign w:val="bottom"/>
            <w:gridSpan w:val="20"/>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Form of Performance Share Unit Award Agreement under the Equity Incentive Plan (incorporated herein by reference to Exhibit 10.7</w:t>
              </w:r>
            </w:hyperlink>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0" w:type="dxa"/>
            <w:vAlign w:val="bottom"/>
            <w:tcBorders>
              <w:top w:val="single" w:sz="8" w:color="0000EE"/>
              <w:bottom w:val="single" w:sz="8" w:color="0000EE"/>
            </w:tcBorders>
            <w:gridSpan w:val="8"/>
          </w:tcPr>
          <w:p>
            <w:pPr>
              <w:spacing w:after="0" w:line="182"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to the Company’s Annual Report on Form 10-K filed with the SEC on February 9, 2022)</w:t>
              </w:r>
            </w:hyperlink>
          </w:p>
        </w:tc>
        <w:tc>
          <w:tcPr>
            <w:tcW w:w="3440" w:type="dxa"/>
            <w:vAlign w:val="bottom"/>
            <w:tcBorders>
              <w:top w:val="single" w:sz="8" w:color="0000EE"/>
            </w:tcBorders>
            <w:gridSpan w:val="9"/>
          </w:tcPr>
          <w:p>
            <w:pPr>
              <w:spacing w:after="0"/>
              <w:rPr>
                <w:sz w:val="15"/>
                <w:szCs w:val="15"/>
                <w:color w:val="auto"/>
              </w:rPr>
            </w:pPr>
          </w:p>
        </w:tc>
        <w:tc>
          <w:tcPr>
            <w:tcW w:w="60" w:type="dxa"/>
            <w:vAlign w:val="bottom"/>
            <w:gridSpan w:val="3"/>
          </w:tcPr>
          <w:p>
            <w:pPr>
              <w:spacing w:after="0"/>
              <w:rPr>
                <w:sz w:val="15"/>
                <w:szCs w:val="15"/>
                <w:color w:val="auto"/>
              </w:rPr>
            </w:pPr>
          </w:p>
        </w:tc>
      </w:tr>
    </w:tbl>
    <w:p>
      <w:pPr>
        <w:spacing w:after="0" w:line="49"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br w:type="column"/>
      </w:r>
    </w:p>
    <w:p>
      <w:pPr>
        <w:ind w:right="60"/>
        <w:spacing w:after="0" w:line="256" w:lineRule="auto"/>
        <w:rPr>
          <w:rFonts w:ascii="Times New Roman" w:cs="Times New Roman" w:eastAsia="Times New Roman" w:hAnsi="Times New Roman"/>
          <w:sz w:val="17"/>
          <w:szCs w:val="17"/>
          <w:u w:val="single" w:color="auto"/>
          <w:color w:val="0000EE"/>
        </w:rPr>
      </w:pPr>
      <w:hyperlink r:id="rId136">
        <w:r>
          <w:rPr>
            <w:rFonts w:ascii="Times New Roman" w:cs="Times New Roman" w:eastAsia="Times New Roman" w:hAnsi="Times New Roman"/>
            <w:sz w:val="17"/>
            <w:szCs w:val="17"/>
            <w:u w:val="single" w:color="auto"/>
            <w:color w:val="0000EE"/>
          </w:rPr>
          <w:t>Form of Restricted Stock Unit Award Agreement (for full vesting on death, retirement or enhanced retirement situations) (incorporated</w:t>
        </w:r>
      </w:hyperlink>
      <w:r>
        <w:rPr>
          <w:rFonts w:ascii="Times New Roman" w:cs="Times New Roman" w:eastAsia="Times New Roman" w:hAnsi="Times New Roman"/>
          <w:sz w:val="17"/>
          <w:szCs w:val="17"/>
          <w:u w:val="single" w:color="auto"/>
          <w:color w:val="0000EE"/>
        </w:rPr>
        <w:t xml:space="preserve"> </w:t>
      </w:r>
      <w:hyperlink r:id="rId136">
        <w:r>
          <w:rPr>
            <w:rFonts w:ascii="Times New Roman" w:cs="Times New Roman" w:eastAsia="Times New Roman" w:hAnsi="Times New Roman"/>
            <w:sz w:val="17"/>
            <w:szCs w:val="17"/>
            <w:u w:val="single" w:color="auto"/>
            <w:color w:val="0000EE"/>
          </w:rPr>
          <w:t>herein by reference to Exhibit 10.6 to the Company's Annual Report on Form 10-K filed with the SEC on February 5, 2025)</w:t>
        </w:r>
      </w:hyperlink>
    </w:p>
    <w:p>
      <w:pPr>
        <w:spacing w:after="0" w:line="1" w:lineRule="exact"/>
        <w:rPr>
          <w:sz w:val="20"/>
          <w:szCs w:val="20"/>
          <w:color w:val="auto"/>
        </w:rPr>
      </w:pPr>
    </w:p>
    <w:p>
      <w:pPr>
        <w:ind w:right="280"/>
        <w:spacing w:after="0" w:line="236" w:lineRule="auto"/>
        <w:rPr>
          <w:rFonts w:ascii="Times New Roman" w:cs="Times New Roman" w:eastAsia="Times New Roman" w:hAnsi="Times New Roman"/>
          <w:sz w:val="17"/>
          <w:szCs w:val="17"/>
          <w:u w:val="single" w:color="auto"/>
          <w:color w:val="0000EE"/>
        </w:rPr>
      </w:pPr>
      <w:hyperlink r:id="rId137">
        <w:r>
          <w:rPr>
            <w:rFonts w:ascii="Times New Roman" w:cs="Times New Roman" w:eastAsia="Times New Roman" w:hAnsi="Times New Roman"/>
            <w:sz w:val="17"/>
            <w:szCs w:val="17"/>
            <w:u w:val="single" w:color="auto"/>
            <w:color w:val="0000EE"/>
          </w:rPr>
          <w:t>Form of Performance Share Unit Award Agreement (for full vesting on death, retirement or enhanced retirement situations)</w:t>
        </w:r>
      </w:hyperlink>
      <w:r>
        <w:rPr>
          <w:rFonts w:ascii="Times New Roman" w:cs="Times New Roman" w:eastAsia="Times New Roman" w:hAnsi="Times New Roman"/>
          <w:sz w:val="17"/>
          <w:szCs w:val="17"/>
          <w:u w:val="single" w:color="auto"/>
          <w:color w:val="0000EE"/>
        </w:rPr>
        <w:t xml:space="preserve"> </w:t>
      </w:r>
      <w:hyperlink r:id="rId137">
        <w:r>
          <w:rPr>
            <w:rFonts w:ascii="Times New Roman" w:cs="Times New Roman" w:eastAsia="Times New Roman" w:hAnsi="Times New Roman"/>
            <w:sz w:val="17"/>
            <w:szCs w:val="17"/>
            <w:u w:val="single" w:color="auto"/>
            <w:color w:val="0000EE"/>
          </w:rPr>
          <w:t>(incorporated herein by reference to Exhibit 10.7 to the Company’s Annual Report on Form 10-K filed with the SEC on February 5,</w:t>
        </w:r>
      </w:hyperlink>
    </w:p>
    <w:p>
      <w:pPr>
        <w:spacing w:after="0"/>
        <w:rPr>
          <w:rFonts w:ascii="Times New Roman" w:cs="Times New Roman" w:eastAsia="Times New Roman" w:hAnsi="Times New Roman"/>
          <w:sz w:val="18"/>
          <w:szCs w:val="18"/>
          <w:u w:val="single" w:color="auto"/>
          <w:color w:val="0000EE"/>
        </w:rPr>
      </w:pPr>
      <w:hyperlink r:id="rId137">
        <w:r>
          <w:rPr>
            <w:rFonts w:ascii="Times New Roman" w:cs="Times New Roman" w:eastAsia="Times New Roman" w:hAnsi="Times New Roman"/>
            <w:sz w:val="18"/>
            <w:szCs w:val="18"/>
            <w:u w:val="single" w:color="auto"/>
            <w:color w:val="0000EE"/>
          </w:rPr>
          <w:t>2025)</w:t>
        </w:r>
      </w:hyperlink>
    </w:p>
    <w:p>
      <w:pPr>
        <w:spacing w:after="0" w:line="3" w:lineRule="exact"/>
        <w:rPr>
          <w:sz w:val="20"/>
          <w:szCs w:val="20"/>
          <w:color w:val="auto"/>
        </w:rPr>
      </w:pPr>
    </w:p>
    <w:p>
      <w:pPr>
        <w:sectPr>
          <w:pgSz w:w="11900" w:h="16838" w:orient="portrait"/>
          <w:cols w:equalWidth="0" w:num="2">
            <w:col w:w="760" w:space="720"/>
            <w:col w:w="97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9880" w:type="dxa"/>
            <w:vAlign w:val="bottom"/>
            <w:gridSpan w:val="13"/>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Restricted Stock Unit Award Agreement (for no continuous service requirement and full vesting on death situations)</w:t>
              </w:r>
            </w:hyperlink>
          </w:p>
        </w:tc>
      </w:tr>
      <w:tr>
        <w:trPr>
          <w:trHeight w:val="183"/>
        </w:trPr>
        <w:tc>
          <w:tcPr>
            <w:tcW w:w="1480" w:type="dxa"/>
            <w:vAlign w:val="bottom"/>
          </w:tcPr>
          <w:p>
            <w:pPr>
              <w:spacing w:after="0"/>
              <w:rPr>
                <w:sz w:val="15"/>
                <w:szCs w:val="15"/>
                <w:color w:val="auto"/>
              </w:rPr>
            </w:pPr>
          </w:p>
        </w:tc>
        <w:tc>
          <w:tcPr>
            <w:tcW w:w="972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(incorporated herein by reference to Exhibit 10.8 to the Company’s Annual Report on Form 10-K filed with the SEC on February 5,</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8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138">
              <w:r>
                <w:rPr>
                  <w:rFonts w:ascii="Times New Roman" w:cs="Times New Roman" w:eastAsia="Times New Roman" w:hAnsi="Times New Roman"/>
                  <w:sz w:val="18"/>
                  <w:szCs w:val="18"/>
                  <w:color w:val="0000FF"/>
                  <w:w w:val="95"/>
                </w:rPr>
                <w:t>2025)</w:t>
              </w:r>
            </w:hyperlink>
          </w:p>
        </w:tc>
        <w:tc>
          <w:tcPr>
            <w:tcW w:w="9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9880" w:type="dxa"/>
            <w:vAlign w:val="bottom"/>
            <w:gridSpan w:val="13"/>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Restricted Stock Unit Award Agreement (for double-trigger vesting in connection with a change in control situations)</w:t>
              </w:r>
            </w:hyperlink>
          </w:p>
        </w:tc>
      </w:tr>
      <w:tr>
        <w:trPr>
          <w:trHeight w:val="183"/>
        </w:trPr>
        <w:tc>
          <w:tcPr>
            <w:tcW w:w="1480" w:type="dxa"/>
            <w:vAlign w:val="bottom"/>
          </w:tcPr>
          <w:p>
            <w:pPr>
              <w:spacing w:after="0"/>
              <w:rPr>
                <w:sz w:val="15"/>
                <w:szCs w:val="15"/>
                <w:color w:val="auto"/>
              </w:rPr>
            </w:pPr>
          </w:p>
        </w:tc>
        <w:tc>
          <w:tcPr>
            <w:tcW w:w="9780" w:type="dxa"/>
            <w:vAlign w:val="bottom"/>
            <w:tcBorders>
              <w:top w:val="single" w:sz="8" w:color="0000FF"/>
              <w:bottom w:val="single" w:sz="8" w:color="0000FF"/>
            </w:tcBorders>
            <w:gridSpan w:val="8"/>
          </w:tcPr>
          <w:p>
            <w:pPr>
              <w:spacing w:after="0" w:line="182"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(incorporated herein by reference to Exhibit 10.9 to the Company’s Annual Report on Form 10-K filed with the SEC on February 5,</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80" w:type="dxa"/>
            <w:vAlign w:val="bottom"/>
          </w:tcPr>
          <w:p>
            <w:pPr>
              <w:spacing w:after="0"/>
              <w:rPr>
                <w:sz w:val="17"/>
                <w:szCs w:val="17"/>
                <w:color w:val="auto"/>
              </w:rPr>
            </w:pPr>
          </w:p>
        </w:tc>
        <w:tc>
          <w:tcPr>
            <w:tcW w:w="4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139">
              <w:r>
                <w:rPr>
                  <w:rFonts w:ascii="Times New Roman" w:cs="Times New Roman" w:eastAsia="Times New Roman" w:hAnsi="Times New Roman"/>
                  <w:sz w:val="18"/>
                  <w:szCs w:val="18"/>
                  <w:color w:val="0000FF"/>
                  <w:w w:val="95"/>
                </w:rPr>
                <w:t>2025)</w:t>
              </w:r>
            </w:hyperlink>
          </w:p>
        </w:tc>
        <w:tc>
          <w:tcPr>
            <w:tcW w:w="9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9880" w:type="dxa"/>
            <w:vAlign w:val="bottom"/>
            <w:gridSpan w:val="13"/>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Performance Share Unit Award Agreement (for double-trigger vesting in connection with a change in control situations)</w:t>
              </w:r>
            </w:hyperlink>
          </w:p>
        </w:tc>
      </w:tr>
      <w:tr>
        <w:trPr>
          <w:trHeight w:val="183"/>
        </w:trPr>
        <w:tc>
          <w:tcPr>
            <w:tcW w:w="1480" w:type="dxa"/>
            <w:vAlign w:val="bottom"/>
          </w:tcPr>
          <w:p>
            <w:pPr>
              <w:spacing w:after="0"/>
              <w:rPr>
                <w:sz w:val="15"/>
                <w:szCs w:val="15"/>
                <w:color w:val="auto"/>
              </w:rPr>
            </w:pPr>
          </w:p>
        </w:tc>
        <w:tc>
          <w:tcPr>
            <w:tcW w:w="9820" w:type="dxa"/>
            <w:vAlign w:val="bottom"/>
            <w:tcBorders>
              <w:top w:val="single" w:sz="8" w:color="0000FF"/>
            </w:tcBorders>
            <w:gridSpan w:val="10"/>
          </w:tcPr>
          <w:p>
            <w:pPr>
              <w:spacing w:after="0" w:line="182"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(incorporated herein by reference to Exhibit 10.10 to the Company’s Annual Report on Form 10-K filed with the SEC on February 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8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140">
              <w:r>
                <w:rPr>
                  <w:rFonts w:ascii="Times New Roman" w:cs="Times New Roman" w:eastAsia="Times New Roman" w:hAnsi="Times New Roman"/>
                  <w:sz w:val="18"/>
                  <w:szCs w:val="18"/>
                  <w:color w:val="0000FF"/>
                  <w:w w:val="95"/>
                </w:rPr>
                <w:t>2025)</w:t>
              </w:r>
            </w:hyperlink>
          </w:p>
        </w:tc>
        <w:tc>
          <w:tcPr>
            <w:tcW w:w="920" w:type="dxa"/>
            <w:vAlign w:val="bottom"/>
            <w:tcBorders>
              <w:top w:val="single" w:sz="8" w:color="0000FF"/>
            </w:tcBorders>
          </w:tcPr>
          <w:p>
            <w:pPr>
              <w:spacing w:after="0"/>
              <w:rPr>
                <w:sz w:val="17"/>
                <w:szCs w:val="17"/>
                <w:color w:val="auto"/>
              </w:rPr>
            </w:pPr>
          </w:p>
        </w:tc>
        <w:tc>
          <w:tcPr>
            <w:tcW w:w="48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9880" w:type="dxa"/>
            <w:vAlign w:val="bottom"/>
            <w:gridSpan w:val="13"/>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Form of Restricted Stock Unit Award Agreement, as amended November 2024 (incorporated herein by reference to Exhibit 10.11 to</w:t>
              </w:r>
            </w:hyperlink>
          </w:p>
        </w:tc>
      </w:tr>
      <w:tr>
        <w:trPr>
          <w:trHeight w:val="183"/>
        </w:trPr>
        <w:tc>
          <w:tcPr>
            <w:tcW w:w="1480" w:type="dxa"/>
            <w:vAlign w:val="bottom"/>
          </w:tcPr>
          <w:p>
            <w:pPr>
              <w:spacing w:after="0"/>
              <w:rPr>
                <w:sz w:val="15"/>
                <w:szCs w:val="15"/>
                <w:color w:val="auto"/>
              </w:rPr>
            </w:pPr>
          </w:p>
        </w:tc>
        <w:tc>
          <w:tcPr>
            <w:tcW w:w="9760" w:type="dxa"/>
            <w:vAlign w:val="bottom"/>
            <w:tcBorders>
              <w:top w:val="single" w:sz="8" w:color="0000FF"/>
            </w:tcBorders>
            <w:gridSpan w:val="7"/>
          </w:tcPr>
          <w:p>
            <w:pPr>
              <w:spacing w:after="0" w:line="182"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the Company’s Annual Report on Form 10-K filed with the SEC on February 5, 2025)</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8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8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9880" w:type="dxa"/>
            <w:vAlign w:val="bottom"/>
            <w:gridSpan w:val="13"/>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Performance Share Unit Award Agreement, as amended November 2024 (incorporated herein by reference to Exhibit 10.12 to</w:t>
              </w:r>
            </w:hyperlink>
          </w:p>
        </w:tc>
      </w:tr>
      <w:tr>
        <w:trPr>
          <w:trHeight w:val="183"/>
        </w:trPr>
        <w:tc>
          <w:tcPr>
            <w:tcW w:w="1480" w:type="dxa"/>
            <w:vAlign w:val="bottom"/>
          </w:tcPr>
          <w:p>
            <w:pPr>
              <w:spacing w:after="0"/>
              <w:rPr>
                <w:sz w:val="15"/>
                <w:szCs w:val="15"/>
                <w:color w:val="auto"/>
              </w:rPr>
            </w:pPr>
          </w:p>
        </w:tc>
        <w:tc>
          <w:tcPr>
            <w:tcW w:w="9840" w:type="dxa"/>
            <w:vAlign w:val="bottom"/>
            <w:tcBorders>
              <w:top w:val="single" w:sz="8" w:color="0000FF"/>
            </w:tcBorders>
            <w:gridSpan w:val="11"/>
          </w:tcPr>
          <w:p>
            <w:pPr>
              <w:spacing w:after="0" w:line="182"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the Company’s Annual Report on Form 10-K filed with the SEC on February 5, 2025)</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8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48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9880" w:type="dxa"/>
            <w:vAlign w:val="bottom"/>
            <w:gridSpan w:val="13"/>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Restricted Stock Unit Award Agreement (for double-trigger vesting in connection with a change in control situation for two-</w:t>
              </w:r>
            </w:hyperlink>
          </w:p>
        </w:tc>
      </w:tr>
      <w:tr>
        <w:trPr>
          <w:trHeight w:val="183"/>
        </w:trPr>
        <w:tc>
          <w:tcPr>
            <w:tcW w:w="1480" w:type="dxa"/>
            <w:vAlign w:val="bottom"/>
          </w:tcPr>
          <w:p>
            <w:pPr>
              <w:spacing w:after="0"/>
              <w:rPr>
                <w:sz w:val="15"/>
                <w:szCs w:val="15"/>
                <w:color w:val="auto"/>
              </w:rPr>
            </w:pPr>
          </w:p>
        </w:tc>
        <w:tc>
          <w:tcPr>
            <w:tcW w:w="9800" w:type="dxa"/>
            <w:vAlign w:val="bottom"/>
            <w:tcBorders>
              <w:top w:val="single" w:sz="8" w:color="0000FF"/>
              <w:bottom w:val="single" w:sz="8" w:color="0000FF"/>
            </w:tcBorders>
            <w:gridSpan w:val="9"/>
          </w:tcPr>
          <w:p>
            <w:pPr>
              <w:spacing w:after="0" w:line="182"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year vesting) (incorporated herein by reference to Exhibit 10.2 to the Company’s Quarterly Report on Form 10-Q filed with the SEC</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80" w:type="dxa"/>
            <w:vAlign w:val="bottom"/>
          </w:tcPr>
          <w:p>
            <w:pPr>
              <w:spacing w:after="0"/>
              <w:rPr>
                <w:sz w:val="17"/>
                <w:szCs w:val="17"/>
                <w:color w:val="auto"/>
              </w:rPr>
            </w:pPr>
          </w:p>
        </w:tc>
        <w:tc>
          <w:tcPr>
            <w:tcW w:w="13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on April 30, 2025)</w:t>
              </w:r>
            </w:hyperlink>
          </w:p>
        </w:tc>
        <w:tc>
          <w:tcPr>
            <w:tcW w:w="8540" w:type="dxa"/>
            <w:vAlign w:val="bottom"/>
            <w:gridSpan w:val="11"/>
          </w:tcPr>
          <w:p>
            <w:pPr>
              <w:spacing w:after="0"/>
              <w:rPr>
                <w:sz w:val="17"/>
                <w:szCs w:val="17"/>
                <w:color w:val="auto"/>
              </w:rPr>
            </w:pPr>
          </w:p>
        </w:tc>
      </w:tr>
      <w:tr>
        <w:trPr>
          <w:trHeight w:val="237"/>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9880" w:type="dxa"/>
            <w:vAlign w:val="bottom"/>
            <w:gridSpan w:val="13"/>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Restricted Stock Unit Award Agreement (for single-trigger vesting in connection with a change in control situation for two-</w:t>
              </w:r>
            </w:hyperlink>
          </w:p>
        </w:tc>
      </w:tr>
      <w:tr>
        <w:trPr>
          <w:trHeight w:val="183"/>
        </w:trPr>
        <w:tc>
          <w:tcPr>
            <w:tcW w:w="1480" w:type="dxa"/>
            <w:vAlign w:val="bottom"/>
          </w:tcPr>
          <w:p>
            <w:pPr>
              <w:spacing w:after="0"/>
              <w:rPr>
                <w:sz w:val="15"/>
                <w:szCs w:val="15"/>
                <w:color w:val="auto"/>
              </w:rPr>
            </w:pPr>
          </w:p>
        </w:tc>
        <w:tc>
          <w:tcPr>
            <w:tcW w:w="974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year vesting) (incorporated herein by reference to Exhibit 10.3 to the Company’s Quarterly Report on Form 10-Q filed with the SEC</w:t>
              </w:r>
            </w:hyperlink>
          </w:p>
        </w:tc>
        <w:tc>
          <w:tcPr>
            <w:tcW w:w="20" w:type="dxa"/>
            <w:vAlign w:val="bottom"/>
            <w:tcBorders>
              <w:bottom w:val="single" w:sz="8" w:color="0000FF"/>
            </w:tcBorders>
          </w:tcPr>
          <w:p>
            <w:pPr>
              <w:spacing w:after="0"/>
              <w:rPr>
                <w:sz w:val="15"/>
                <w:szCs w:val="15"/>
                <w:color w:val="auto"/>
              </w:rPr>
            </w:pPr>
          </w:p>
        </w:tc>
        <w:tc>
          <w:tcPr>
            <w:tcW w:w="100" w:type="dxa"/>
            <w:vAlign w:val="bottom"/>
            <w:tcBorders>
              <w:bottom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80" w:type="dxa"/>
            <w:vAlign w:val="bottom"/>
          </w:tcPr>
          <w:p>
            <w:pPr>
              <w:spacing w:after="0"/>
              <w:rPr>
                <w:sz w:val="17"/>
                <w:szCs w:val="17"/>
                <w:color w:val="auto"/>
              </w:rPr>
            </w:pPr>
          </w:p>
        </w:tc>
        <w:tc>
          <w:tcPr>
            <w:tcW w:w="13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44">
              <w:r>
                <w:rPr>
                  <w:rFonts w:ascii="Times New Roman" w:cs="Times New Roman" w:eastAsia="Times New Roman" w:hAnsi="Times New Roman"/>
                  <w:sz w:val="18"/>
                  <w:szCs w:val="18"/>
                  <w:color w:val="0000FF"/>
                  <w:w w:val="98"/>
                </w:rPr>
                <w:t>on April 30, 2025)</w:t>
              </w:r>
            </w:hyperlink>
          </w:p>
        </w:tc>
        <w:tc>
          <w:tcPr>
            <w:tcW w:w="8540" w:type="dxa"/>
            <w:vAlign w:val="bottom"/>
            <w:gridSpan w:val="11"/>
          </w:tcPr>
          <w:p>
            <w:pPr>
              <w:spacing w:after="0"/>
              <w:rPr>
                <w:sz w:val="17"/>
                <w:szCs w:val="17"/>
                <w:color w:val="auto"/>
              </w:rPr>
            </w:pPr>
          </w:p>
        </w:tc>
      </w:tr>
      <w:tr>
        <w:trPr>
          <w:trHeight w:val="237"/>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9880" w:type="dxa"/>
            <w:vAlign w:val="bottom"/>
            <w:gridSpan w:val="13"/>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Employment Agreement, dated July 8, 2019, between Reynolds Consumer Products LLC and Lance Mitchell (including the</w:t>
              </w:r>
            </w:hyperlink>
          </w:p>
        </w:tc>
      </w:tr>
      <w:tr>
        <w:trPr>
          <w:trHeight w:val="183"/>
        </w:trPr>
        <w:tc>
          <w:tcPr>
            <w:tcW w:w="1480" w:type="dxa"/>
            <w:vAlign w:val="bottom"/>
          </w:tcPr>
          <w:p>
            <w:pPr>
              <w:spacing w:after="0"/>
              <w:rPr>
                <w:sz w:val="15"/>
                <w:szCs w:val="15"/>
                <w:color w:val="auto"/>
              </w:rPr>
            </w:pPr>
          </w:p>
        </w:tc>
        <w:tc>
          <w:tcPr>
            <w:tcW w:w="9860" w:type="dxa"/>
            <w:vAlign w:val="bottom"/>
            <w:tcBorders>
              <w:top w:val="single" w:sz="8" w:color="0000EE"/>
              <w:bottom w:val="single" w:sz="8" w:color="0000EE"/>
            </w:tcBorders>
            <w:gridSpan w:val="12"/>
          </w:tcPr>
          <w:p>
            <w:pPr>
              <w:spacing w:after="0" w:line="182"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Restrictive Covenant Agreement attached thereto) (incorporated herein by reference to Exhibit 10.6 to the Company’s Registration</w:t>
              </w:r>
            </w:hyperlink>
          </w:p>
        </w:tc>
        <w:tc>
          <w:tcPr>
            <w:tcW w:w="20" w:type="dxa"/>
            <w:vAlign w:val="bottom"/>
            <w:tcBorders>
              <w:bottom w:val="single" w:sz="8" w:color="0000EE"/>
            </w:tcBorders>
          </w:tcPr>
          <w:p>
            <w:pPr>
              <w:spacing w:after="0"/>
              <w:rPr>
                <w:sz w:val="15"/>
                <w:szCs w:val="15"/>
                <w:color w:val="auto"/>
              </w:rPr>
            </w:pPr>
          </w:p>
        </w:tc>
      </w:tr>
      <w:tr>
        <w:trPr>
          <w:trHeight w:val="196"/>
        </w:trPr>
        <w:tc>
          <w:tcPr>
            <w:tcW w:w="1480" w:type="dxa"/>
            <w:vAlign w:val="bottom"/>
          </w:tcPr>
          <w:p>
            <w:pPr>
              <w:spacing w:after="0"/>
              <w:rPr>
                <w:sz w:val="17"/>
                <w:szCs w:val="17"/>
                <w:color w:val="auto"/>
              </w:rPr>
            </w:pPr>
          </w:p>
        </w:tc>
        <w:tc>
          <w:tcPr>
            <w:tcW w:w="9880" w:type="dxa"/>
            <w:vAlign w:val="bottom"/>
            <w:gridSpan w:val="13"/>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Statement on Form S-1 (File No. 333-234731) filed with the SEC on November 15, 2019)</w:t>
              </w:r>
            </w:hyperlink>
          </w:p>
        </w:tc>
      </w:tr>
      <w:tr>
        <w:trPr>
          <w:trHeight w:val="533"/>
        </w:trPr>
        <w:tc>
          <w:tcPr>
            <w:tcW w:w="1480" w:type="dxa"/>
            <w:vAlign w:val="bottom"/>
          </w:tcPr>
          <w:p>
            <w:pPr>
              <w:spacing w:after="0"/>
              <w:rPr>
                <w:sz w:val="24"/>
                <w:szCs w:val="24"/>
                <w:color w:val="auto"/>
              </w:rPr>
            </w:pPr>
          </w:p>
        </w:tc>
        <w:tc>
          <w:tcPr>
            <w:tcW w:w="6200" w:type="dxa"/>
            <w:vAlign w:val="bottom"/>
            <w:tcBorders>
              <w:top w:val="single" w:sz="8" w:color="0000EE"/>
            </w:tcBorders>
            <w:gridSpan w:val="3"/>
          </w:tcPr>
          <w:p>
            <w:pPr>
              <w:ind w:left="4060"/>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4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98"/>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tcPr>
          <w:p>
            <w:pPr>
              <w:spacing w:after="0"/>
              <w:rPr>
                <w:sz w:val="24"/>
                <w:szCs w:val="24"/>
                <w:color w:val="auto"/>
              </w:rPr>
            </w:pPr>
          </w:p>
        </w:tc>
        <w:tc>
          <w:tcPr>
            <w:tcW w:w="9900" w:type="dxa"/>
            <w:vAlign w:val="bottom"/>
            <w:gridSpan w:val="18"/>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Transition Letter, dated as of October 24, 2024, by and between Reynolds Consumer Products Inc. and Lance Mitchell (incorporated</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90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herein by reference to Exhibit 10.1 to the Company’s Current Report on Form 8-K filed with the SEC on October 30, 2024)</w:t>
              </w:r>
            </w:hyperlink>
          </w:p>
        </w:tc>
        <w:tc>
          <w:tcPr>
            <w:tcW w:w="90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9900" w:type="dxa"/>
            <w:vAlign w:val="bottom"/>
            <w:gridSpan w:val="18"/>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Offer Letter, dated as of September 15, 2023, by and between Reynolds Consumer Products LLC and Scott E. Huckins (incorporated</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90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herein by reference to Exhibit 10.1 to the Company’s Current Report on Form 8-K filed with the SEC on October 12, 2023)</w:t>
              </w:r>
            </w:hyperlink>
          </w:p>
        </w:tc>
        <w:tc>
          <w:tcPr>
            <w:tcW w:w="92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9900" w:type="dxa"/>
            <w:vAlign w:val="bottom"/>
            <w:gridSpan w:val="18"/>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Employment Agreement, effective October 23, 2023, by and between Reynolds Consumer Products LLC and Scott E. Huckins</w:t>
              </w:r>
            </w:hyperlink>
          </w:p>
        </w:tc>
      </w:tr>
      <w:tr>
        <w:trPr>
          <w:trHeight w:val="182"/>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60" w:type="dxa"/>
            <w:vAlign w:val="bottom"/>
            <w:tcBorders>
              <w:top w:val="single" w:sz="8" w:color="0000FF"/>
              <w:bottom w:val="single" w:sz="8" w:color="0000FF"/>
            </w:tcBorders>
            <w:gridSpan w:val="11"/>
          </w:tcPr>
          <w:p>
            <w:pPr>
              <w:spacing w:after="0" w:line="182"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(including the Restrictive Covenant Agreement attached thereto) (incorporated herein by reference to Exhibit 10.2 to the Company’s</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00" w:type="dxa"/>
            <w:vAlign w:val="bottom"/>
            <w:gridSpan w:val="18"/>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Current Report on Form 8-K filed with the SEC on October 12, 2023)</w:t>
              </w:r>
            </w:hyperlink>
          </w:p>
        </w:tc>
      </w:tr>
      <w:tr>
        <w:trPr>
          <w:trHeight w:val="20"/>
        </w:trPr>
        <w:tc>
          <w:tcPr>
            <w:tcW w:w="148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9900" w:type="dxa"/>
            <w:vAlign w:val="bottom"/>
            <w:gridSpan w:val="18"/>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Offer Letter, dated October 24, 2024, by and between Reynolds Consumer Products Inc. and Scott E. Huckins (incorporated herein by</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18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reference to Exhibit 10.2 to the Company’s Current Report on Form 8-K filed with the SEC on October 30, 2024)</w:t>
              </w:r>
            </w:hyperlink>
          </w:p>
        </w:tc>
        <w:tc>
          <w:tcPr>
            <w:tcW w:w="1560" w:type="dxa"/>
            <w:vAlign w:val="bottom"/>
            <w:tcBorders>
              <w:top w:val="single" w:sz="8" w:color="0000FF"/>
            </w:tcBorders>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9900" w:type="dxa"/>
            <w:vAlign w:val="bottom"/>
            <w:gridSpan w:val="18"/>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Amended and Restated Employment Agreement, dated effective January 1, 2025, by and between Reynolds Consumer Products</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80" w:type="dxa"/>
            <w:vAlign w:val="bottom"/>
            <w:tcBorders>
              <w:top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Holdings LLC and Scott E. Huckins (including the Restrictive Covenant Agreement attached thereto) (incorporated herein by</w:t>
              </w:r>
            </w:hyperlink>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18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reference to Exhibit 10.3 to the Company’s Current Report on Form 8-K filed with the SEC on October 30, 2024)</w:t>
              </w:r>
            </w:hyperlink>
          </w:p>
        </w:tc>
        <w:tc>
          <w:tcPr>
            <w:tcW w:w="1540" w:type="dxa"/>
            <w:vAlign w:val="bottom"/>
            <w:tcBorders>
              <w:top w:val="single" w:sz="8" w:color="0000FF"/>
            </w:tcBorders>
            <w:gridSpan w:val="4"/>
          </w:tcPr>
          <w:p>
            <w:pPr>
              <w:spacing w:after="0"/>
              <w:rPr>
                <w:sz w:val="17"/>
                <w:szCs w:val="17"/>
                <w:color w:val="auto"/>
              </w:rPr>
            </w:pPr>
          </w:p>
        </w:tc>
        <w:tc>
          <w:tcPr>
            <w:tcW w:w="180" w:type="dxa"/>
            <w:vAlign w:val="bottom"/>
            <w:gridSpan w:val="9"/>
          </w:tcPr>
          <w:p>
            <w:pPr>
              <w:spacing w:after="0"/>
              <w:rPr>
                <w:sz w:val="17"/>
                <w:szCs w:val="17"/>
                <w:color w:val="auto"/>
              </w:rPr>
            </w:pPr>
          </w:p>
        </w:tc>
      </w:tr>
      <w:tr>
        <w:trPr>
          <w:trHeight w:val="237"/>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9900" w:type="dxa"/>
            <w:vAlign w:val="bottom"/>
            <w:gridSpan w:val="18"/>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Offer Letter, dated October 24, 2024, by and between Reynolds Consumer Products Inc. and Nathan D. Lowe (incorporated herein by</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18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reference to Exhibit 10.4 to the Company’s Current Report on Form 8-K filed with the SEC on October 30, 2024)</w:t>
              </w:r>
            </w:hyperlink>
          </w:p>
        </w:tc>
        <w:tc>
          <w:tcPr>
            <w:tcW w:w="166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50"/>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99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Employment Agreement, dated effective January 1, 2025, by and between Reynolds Consumer Products Holdings LLC and Nathan D.</w:t>
            </w:r>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80" w:type="dxa"/>
            <w:vAlign w:val="bottom"/>
            <w:tcBorders>
              <w:top w:val="single" w:sz="8" w:color="0000FF"/>
            </w:tcBorders>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Lowe (including the Restrictive Covenant Agreement attached thereto)</w:t>
            </w: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48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80" w:type="dxa"/>
            <w:vAlign w:val="bottom"/>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9900" w:type="dxa"/>
            <w:vAlign w:val="bottom"/>
            <w:gridSpan w:val="18"/>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Employment Agreement, dated July 29, 2019, between Reynolds Consumer Products LLC and Rachel Bishop (including the</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60" w:type="dxa"/>
            <w:vAlign w:val="bottom"/>
            <w:tcBorders>
              <w:top w:val="single" w:sz="8" w:color="0000EE"/>
            </w:tcBorders>
            <w:gridSpan w:val="16"/>
          </w:tcPr>
          <w:p>
            <w:pPr>
              <w:spacing w:after="0" w:line="182"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Restrictive Covenant Agreement attached thereto) (incorporated herein by reference to Exhibit 10.29 to the Company’s Registration</w:t>
              </w:r>
            </w:hyperlink>
          </w:p>
        </w:tc>
        <w:tc>
          <w:tcPr>
            <w:tcW w:w="40" w:type="dxa"/>
            <w:vAlign w:val="bottom"/>
            <w:gridSpan w:val="2"/>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2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Statement on Form S-1 (File No. 333-234731) filed with the SEC on January 28, 2020)</w:t>
              </w:r>
            </w:hyperlink>
          </w:p>
        </w:tc>
        <w:tc>
          <w:tcPr>
            <w:tcW w:w="180" w:type="dxa"/>
            <w:vAlign w:val="bottom"/>
            <w:gridSpan w:val="9"/>
          </w:tcPr>
          <w:p>
            <w:pPr>
              <w:spacing w:after="0"/>
              <w:rPr>
                <w:sz w:val="17"/>
                <w:szCs w:val="17"/>
                <w:color w:val="auto"/>
              </w:rPr>
            </w:pPr>
          </w:p>
        </w:tc>
      </w:tr>
      <w:tr>
        <w:trPr>
          <w:trHeight w:val="20"/>
        </w:trPr>
        <w:tc>
          <w:tcPr>
            <w:tcW w:w="14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60" w:type="dxa"/>
            <w:vAlign w:val="bottom"/>
            <w:gridSpan w:val="3"/>
            <w:shd w:val="clear" w:color="auto" w:fill="0000EE"/>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r>
      <w:tr>
        <w:trPr>
          <w:trHeight w:val="223"/>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90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Amendment to Employment Agreement, dated May 31, 2022, between Reynolds Consumer Products LLC and Rachel Bishop</w:t>
              </w:r>
            </w:hyperlink>
          </w:p>
        </w:tc>
        <w:tc>
          <w:tcPr>
            <w:tcW w:w="820" w:type="dxa"/>
            <w:vAlign w:val="bottom"/>
            <w:gridSpan w:val="11"/>
          </w:tcPr>
          <w:p>
            <w:pPr>
              <w:spacing w:after="0"/>
              <w:rPr>
                <w:sz w:val="19"/>
                <w:szCs w:val="19"/>
                <w:color w:val="auto"/>
              </w:rPr>
            </w:pPr>
          </w:p>
        </w:tc>
      </w:tr>
      <w:tr>
        <w:trPr>
          <w:trHeight w:val="156"/>
        </w:trPr>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900" w:type="dxa"/>
            <w:vAlign w:val="bottom"/>
            <w:gridSpan w:val="18"/>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(incorporated herein by reference to Exhibit 10.17 to the Company’s Annual Report on Form 10-K filed with the SEC on February 8,</w:t>
              </w:r>
            </w:hyperlink>
          </w:p>
        </w:tc>
      </w:tr>
      <w:tr>
        <w:trPr>
          <w:trHeight w:val="169"/>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5"/>
              </w:rPr>
            </w:pPr>
            <w:hyperlink r:id="rId155">
              <w:r>
                <w:rPr>
                  <w:rFonts w:ascii="Times New Roman" w:cs="Times New Roman" w:eastAsia="Times New Roman" w:hAnsi="Times New Roman"/>
                  <w:sz w:val="18"/>
                  <w:szCs w:val="18"/>
                  <w:color w:val="0000FF"/>
                  <w:w w:val="95"/>
                </w:rPr>
                <w:t>2023)</w:t>
              </w:r>
            </w:hyperlink>
          </w:p>
        </w:tc>
        <w:tc>
          <w:tcPr>
            <w:tcW w:w="46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190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36" w:lineRule="exact"/>
        <w:rPr>
          <w:sz w:val="20"/>
          <w:szCs w:val="20"/>
          <w:color w:val="auto"/>
        </w:rPr>
      </w:pPr>
    </w:p>
    <w:p>
      <w:pPr>
        <w:sectPr>
          <w:pgSz w:w="11900" w:h="16838" w:orient="portrait"/>
          <w:cols w:equalWidth="0" w:num="1">
            <w:col w:w="11240"/>
          </w:cols>
          <w:pgMar w:left="320" w:top="108"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10.25†</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10.26†</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10.27*†</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10.28†</w:t>
      </w:r>
    </w:p>
    <w:p>
      <w:pPr>
        <w:spacing w:after="0" w:line="20" w:lineRule="exact"/>
        <w:rPr>
          <w:sz w:val="20"/>
          <w:szCs w:val="20"/>
          <w:color w:val="auto"/>
        </w:rPr>
      </w:pPr>
      <w:r>
        <w:rPr>
          <w:sz w:val="20"/>
          <w:szCs w:val="20"/>
          <w:color w:val="auto"/>
        </w:rPr>
        <w:br w:type="column"/>
      </w:r>
    </w:p>
    <w:p>
      <w:pPr>
        <w:jc w:val="both"/>
        <w:ind w:right="20"/>
        <w:spacing w:after="0" w:line="255" w:lineRule="auto"/>
        <w:rPr>
          <w:rFonts w:ascii="Times New Roman" w:cs="Times New Roman" w:eastAsia="Times New Roman" w:hAnsi="Times New Roman"/>
          <w:sz w:val="18"/>
          <w:szCs w:val="18"/>
          <w:u w:val="single" w:color="auto"/>
          <w:color w:val="0000EE"/>
        </w:rPr>
      </w:pPr>
      <w:hyperlink r:id="rId156">
        <w:r>
          <w:rPr>
            <w:rFonts w:ascii="Times New Roman" w:cs="Times New Roman" w:eastAsia="Times New Roman" w:hAnsi="Times New Roman"/>
            <w:sz w:val="18"/>
            <w:szCs w:val="18"/>
            <w:u w:val="single" w:color="auto"/>
            <w:color w:val="0000EE"/>
          </w:rPr>
          <w:t>Employment Agreement, dated July 8, 2019, between Reynolds Consumer Products LLC and Judith Buckner (including the</w:t>
        </w:r>
      </w:hyperlink>
      <w:r>
        <w:rPr>
          <w:rFonts w:ascii="Times New Roman" w:cs="Times New Roman" w:eastAsia="Times New Roman" w:hAnsi="Times New Roman"/>
          <w:sz w:val="18"/>
          <w:szCs w:val="18"/>
          <w:u w:val="single" w:color="auto"/>
          <w:color w:val="0000EE"/>
        </w:rPr>
        <w:t xml:space="preserve"> </w:t>
      </w:r>
      <w:hyperlink r:id="rId156">
        <w:r>
          <w:rPr>
            <w:rFonts w:ascii="Times New Roman" w:cs="Times New Roman" w:eastAsia="Times New Roman" w:hAnsi="Times New Roman"/>
            <w:sz w:val="18"/>
            <w:szCs w:val="18"/>
            <w:u w:val="single" w:color="auto"/>
            <w:color w:val="0000EE"/>
          </w:rPr>
          <w:t>Restrictive Covenant Agreement attached thereto) (incorporated herein by reference to Exhibit 10.14 to the Company’s Annual Report</w:t>
        </w:r>
      </w:hyperlink>
      <w:r>
        <w:rPr>
          <w:rFonts w:ascii="Times New Roman" w:cs="Times New Roman" w:eastAsia="Times New Roman" w:hAnsi="Times New Roman"/>
          <w:sz w:val="18"/>
          <w:szCs w:val="18"/>
          <w:u w:val="single" w:color="auto"/>
          <w:color w:val="0000EE"/>
        </w:rPr>
        <w:t xml:space="preserve"> </w:t>
      </w:r>
      <w:hyperlink r:id="rId156">
        <w:r>
          <w:rPr>
            <w:rFonts w:ascii="Times New Roman" w:cs="Times New Roman" w:eastAsia="Times New Roman" w:hAnsi="Times New Roman"/>
            <w:sz w:val="18"/>
            <w:szCs w:val="18"/>
            <w:u w:val="single" w:color="auto"/>
            <w:color w:val="0000EE"/>
          </w:rPr>
          <w:t>on Form 10-K filed with the SEC on February 9, 2022)</w:t>
        </w:r>
      </w:hyperlink>
    </w:p>
    <w:p>
      <w:pPr>
        <w:spacing w:after="0" w:line="2" w:lineRule="exact"/>
        <w:rPr>
          <w:rFonts w:ascii="Times New Roman" w:cs="Times New Roman" w:eastAsia="Times New Roman" w:hAnsi="Times New Roman"/>
          <w:sz w:val="18"/>
          <w:szCs w:val="18"/>
          <w:u w:val="single" w:color="auto"/>
          <w:color w:val="0000EE"/>
        </w:rPr>
      </w:pPr>
    </w:p>
    <w:p>
      <w:pPr>
        <w:ind w:right="180"/>
        <w:spacing w:after="0" w:line="236" w:lineRule="auto"/>
        <w:rPr>
          <w:rFonts w:ascii="Times New Roman" w:cs="Times New Roman" w:eastAsia="Times New Roman" w:hAnsi="Times New Roman"/>
          <w:sz w:val="17"/>
          <w:szCs w:val="17"/>
          <w:u w:val="single" w:color="auto"/>
          <w:color w:val="0000FF"/>
        </w:rPr>
      </w:pPr>
      <w:hyperlink r:id="rId157">
        <w:r>
          <w:rPr>
            <w:rFonts w:ascii="Times New Roman" w:cs="Times New Roman" w:eastAsia="Times New Roman" w:hAnsi="Times New Roman"/>
            <w:sz w:val="17"/>
            <w:szCs w:val="17"/>
            <w:u w:val="single" w:color="auto"/>
            <w:color w:val="0000FF"/>
          </w:rPr>
          <w:t>Amendment to Employment Agreement, dated May 31, 2022, between Reynolds Consumer Products LLC and Judith Buckner</w:t>
        </w:r>
      </w:hyperlink>
      <w:r>
        <w:rPr>
          <w:rFonts w:ascii="Times New Roman" w:cs="Times New Roman" w:eastAsia="Times New Roman" w:hAnsi="Times New Roman"/>
          <w:sz w:val="17"/>
          <w:szCs w:val="17"/>
          <w:u w:val="single" w:color="auto"/>
          <w:color w:val="0000FF"/>
        </w:rPr>
        <w:t xml:space="preserve"> </w:t>
      </w:r>
      <w:hyperlink r:id="rId157">
        <w:r>
          <w:rPr>
            <w:rFonts w:ascii="Times New Roman" w:cs="Times New Roman" w:eastAsia="Times New Roman" w:hAnsi="Times New Roman"/>
            <w:sz w:val="17"/>
            <w:szCs w:val="17"/>
            <w:u w:val="single" w:color="auto"/>
            <w:color w:val="0000FF"/>
          </w:rPr>
          <w:t>(incorporated herein by reference to Exhibit 10.18 to the Company’s Annual Report on Form 10-K filed with the SEC on February 8,</w:t>
        </w:r>
      </w:hyperlink>
    </w:p>
    <w:p>
      <w:pPr>
        <w:spacing w:after="0"/>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2023)</w:t>
        </w:r>
      </w:hyperlink>
    </w:p>
    <w:p>
      <w:pPr>
        <w:spacing w:after="0" w:line="7" w:lineRule="exact"/>
        <w:rPr>
          <w:sz w:val="20"/>
          <w:szCs w:val="20"/>
          <w:color w:val="auto"/>
        </w:rPr>
      </w:pPr>
    </w:p>
    <w:p>
      <w:pPr>
        <w:ind w:right="360"/>
        <w:spacing w:after="0" w:line="234" w:lineRule="auto"/>
        <w:rPr>
          <w:sz w:val="20"/>
          <w:szCs w:val="20"/>
          <w:color w:val="auto"/>
        </w:rPr>
      </w:pPr>
      <w:r>
        <w:rPr>
          <w:rFonts w:ascii="Times New Roman" w:cs="Times New Roman" w:eastAsia="Times New Roman" w:hAnsi="Times New Roman"/>
          <w:sz w:val="18"/>
          <w:szCs w:val="18"/>
          <w:u w:val="single" w:color="auto"/>
          <w:color w:val="0000FF"/>
        </w:rPr>
        <w:t>Amendment to Employment Agreement, dated January 29, 2026, between Reynolds Consumer Products Holdings LLC and Judith Buckner</w:t>
      </w:r>
    </w:p>
    <w:p>
      <w:pPr>
        <w:spacing w:after="0" w:line="10" w:lineRule="exact"/>
        <w:rPr>
          <w:sz w:val="20"/>
          <w:szCs w:val="20"/>
          <w:color w:val="auto"/>
        </w:rPr>
      </w:pPr>
    </w:p>
    <w:p>
      <w:pPr>
        <w:ind w:right="80"/>
        <w:spacing w:after="0" w:line="236" w:lineRule="auto"/>
        <w:rPr>
          <w:rFonts w:ascii="Times New Roman" w:cs="Times New Roman" w:eastAsia="Times New Roman" w:hAnsi="Times New Roman"/>
          <w:sz w:val="17"/>
          <w:szCs w:val="17"/>
          <w:u w:val="single" w:color="auto"/>
          <w:color w:val="0000FF"/>
        </w:rPr>
      </w:pPr>
      <w:hyperlink r:id="rId158">
        <w:r>
          <w:rPr>
            <w:rFonts w:ascii="Times New Roman" w:cs="Times New Roman" w:eastAsia="Times New Roman" w:hAnsi="Times New Roman"/>
            <w:sz w:val="17"/>
            <w:szCs w:val="17"/>
            <w:u w:val="single" w:color="auto"/>
            <w:color w:val="0000FF"/>
          </w:rPr>
          <w:t>Employment Agreement, dated February 28, 2022, between Reynolds Consumer Products LLC and Lisa Smith (including the</w:t>
        </w:r>
      </w:hyperlink>
      <w:r>
        <w:rPr>
          <w:rFonts w:ascii="Times New Roman" w:cs="Times New Roman" w:eastAsia="Times New Roman" w:hAnsi="Times New Roman"/>
          <w:sz w:val="17"/>
          <w:szCs w:val="17"/>
          <w:u w:val="single" w:color="auto"/>
          <w:color w:val="0000FF"/>
        </w:rPr>
        <w:t xml:space="preserve"> </w:t>
      </w:r>
      <w:hyperlink r:id="rId158">
        <w:r>
          <w:rPr>
            <w:rFonts w:ascii="Times New Roman" w:cs="Times New Roman" w:eastAsia="Times New Roman" w:hAnsi="Times New Roman"/>
            <w:sz w:val="17"/>
            <w:szCs w:val="17"/>
            <w:u w:val="single" w:color="auto"/>
            <w:color w:val="0000FF"/>
          </w:rPr>
          <w:t>Restrictive Covenant Agreement attached thereto) (incorporated herein by reference to Exhibit 10.14 to the Company’s Annual Report</w:t>
        </w:r>
      </w:hyperlink>
    </w:p>
    <w:p>
      <w:pPr>
        <w:spacing w:after="0"/>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on Form 10-K filed with the SEC on February 8, 2023)</w:t>
        </w:r>
      </w:hyperlink>
    </w:p>
    <w:p>
      <w:pPr>
        <w:spacing w:after="0" w:line="3" w:lineRule="exact"/>
        <w:rPr>
          <w:sz w:val="20"/>
          <w:szCs w:val="20"/>
          <w:color w:val="auto"/>
        </w:rPr>
      </w:pPr>
    </w:p>
    <w:p>
      <w:pPr>
        <w:sectPr>
          <w:pgSz w:w="11900" w:h="16838" w:orient="portrait"/>
          <w:cols w:equalWidth="0" w:num="2">
            <w:col w:w="760" w:space="720"/>
            <w:col w:w="976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98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Amendment to Employment Agreement, dated January 29, 2026, between Reynolds Consumer Products Holdings LLC and Lisa</w:t>
            </w:r>
          </w:p>
        </w:tc>
      </w:tr>
      <w:tr>
        <w:trPr>
          <w:trHeight w:val="183"/>
        </w:trPr>
        <w:tc>
          <w:tcPr>
            <w:tcW w:w="1480" w:type="dxa"/>
            <w:vAlign w:val="bottom"/>
          </w:tcPr>
          <w:p>
            <w:pPr>
              <w:spacing w:after="0"/>
              <w:rPr>
                <w:sz w:val="15"/>
                <w:szCs w:val="15"/>
                <w:color w:val="auto"/>
              </w:rPr>
            </w:pPr>
          </w:p>
        </w:tc>
        <w:tc>
          <w:tcPr>
            <w:tcW w:w="974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Smith</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8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9860" w:type="dxa"/>
            <w:vAlign w:val="bottom"/>
            <w:gridSpan w:val="12"/>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Employment Agreement, dated February 1, 2022, between Reynolds Consumer Products LLC and Steve Estes (including the</w:t>
              </w:r>
            </w:hyperlink>
          </w:p>
        </w:tc>
      </w:tr>
      <w:tr>
        <w:trPr>
          <w:trHeight w:val="183"/>
        </w:trPr>
        <w:tc>
          <w:tcPr>
            <w:tcW w:w="1480" w:type="dxa"/>
            <w:vAlign w:val="bottom"/>
          </w:tcPr>
          <w:p>
            <w:pPr>
              <w:spacing w:after="0"/>
              <w:rPr>
                <w:sz w:val="15"/>
                <w:szCs w:val="15"/>
                <w:color w:val="auto"/>
              </w:rPr>
            </w:pPr>
          </w:p>
        </w:tc>
        <w:tc>
          <w:tcPr>
            <w:tcW w:w="9800" w:type="dxa"/>
            <w:vAlign w:val="bottom"/>
            <w:tcBorders>
              <w:top w:val="single" w:sz="8" w:color="0000FF"/>
              <w:bottom w:val="single" w:sz="8" w:color="0000FF"/>
            </w:tcBorders>
            <w:gridSpan w:val="9"/>
          </w:tcPr>
          <w:p>
            <w:pPr>
              <w:spacing w:after="0" w:line="182"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Restrictive Covenant Agreement attached thereto) (incorporated herein by reference to Exhibit 10.26 to the Company’s Annual Report</w:t>
              </w:r>
            </w:hyperlink>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80" w:type="dxa"/>
            <w:vAlign w:val="bottom"/>
          </w:tcPr>
          <w:p>
            <w:pPr>
              <w:spacing w:after="0"/>
              <w:rPr>
                <w:sz w:val="17"/>
                <w:szCs w:val="17"/>
                <w:color w:val="auto"/>
              </w:rPr>
            </w:pPr>
          </w:p>
        </w:tc>
        <w:tc>
          <w:tcPr>
            <w:tcW w:w="39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on Form 10-K filed with the SEC on February 5, 2025)</w:t>
              </w:r>
            </w:hyperlink>
          </w:p>
        </w:tc>
        <w:tc>
          <w:tcPr>
            <w:tcW w:w="5880" w:type="dxa"/>
            <w:vAlign w:val="bottom"/>
            <w:gridSpan w:val="9"/>
          </w:tcPr>
          <w:p>
            <w:pPr>
              <w:spacing w:after="0"/>
              <w:rPr>
                <w:sz w:val="17"/>
                <w:szCs w:val="17"/>
                <w:color w:val="auto"/>
              </w:rPr>
            </w:pPr>
          </w:p>
        </w:tc>
      </w:tr>
      <w:tr>
        <w:trPr>
          <w:trHeight w:val="237"/>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98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Amendment to Employment Agreement, dated January 29, 2026, between Reynolds Consumer Products Holdings LLC and Steve</w:t>
            </w:r>
          </w:p>
        </w:tc>
      </w:tr>
      <w:tr>
        <w:trPr>
          <w:trHeight w:val="183"/>
        </w:trPr>
        <w:tc>
          <w:tcPr>
            <w:tcW w:w="1480" w:type="dxa"/>
            <w:vAlign w:val="bottom"/>
          </w:tcPr>
          <w:p>
            <w:pPr>
              <w:spacing w:after="0"/>
              <w:rPr>
                <w:sz w:val="15"/>
                <w:szCs w:val="15"/>
                <w:color w:val="auto"/>
              </w:rPr>
            </w:pPr>
          </w:p>
        </w:tc>
        <w:tc>
          <w:tcPr>
            <w:tcW w:w="42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Estes</w:t>
            </w:r>
          </w:p>
        </w:tc>
        <w:tc>
          <w:tcPr>
            <w:tcW w:w="9380" w:type="dxa"/>
            <w:vAlign w:val="bottom"/>
            <w:tcBorders>
              <w:top w:val="single" w:sz="8" w:color="0000FF"/>
            </w:tcBorders>
            <w:gridSpan w:val="8"/>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9860" w:type="dxa"/>
            <w:vAlign w:val="bottom"/>
            <w:gridSpan w:val="12"/>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Separation Agreement and Release of All Claims, dated as of May 8, 2025, between Reynolds Consumer Products LLC and Rachel</w:t>
              </w:r>
            </w:hyperlink>
          </w:p>
        </w:tc>
      </w:tr>
      <w:tr>
        <w:trPr>
          <w:trHeight w:val="183"/>
        </w:trPr>
        <w:tc>
          <w:tcPr>
            <w:tcW w:w="1480" w:type="dxa"/>
            <w:vAlign w:val="bottom"/>
          </w:tcPr>
          <w:p>
            <w:pPr>
              <w:spacing w:after="0"/>
              <w:rPr>
                <w:sz w:val="15"/>
                <w:szCs w:val="15"/>
                <w:color w:val="auto"/>
              </w:rPr>
            </w:pPr>
          </w:p>
        </w:tc>
        <w:tc>
          <w:tcPr>
            <w:tcW w:w="9780" w:type="dxa"/>
            <w:vAlign w:val="bottom"/>
            <w:tcBorders>
              <w:top w:val="single" w:sz="8" w:color="0000FF"/>
            </w:tcBorders>
            <w:gridSpan w:val="8"/>
          </w:tcPr>
          <w:p>
            <w:pPr>
              <w:spacing w:after="0" w:line="182"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Bishop (incorporated herein by reference to Exhibit 10.1 to the Company's Form 8-K filed with the SEC on May 14, 2025)</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80" w:type="dxa"/>
            <w:vAlign w:val="bottom"/>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534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9860" w:type="dxa"/>
            <w:vAlign w:val="bottom"/>
            <w:gridSpan w:val="12"/>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of Assignment and Assumption Agreement for Employment Agreements, and Form of Assignment and Assumption Agreement</w:t>
              </w:r>
            </w:hyperlink>
          </w:p>
        </w:tc>
      </w:tr>
      <w:tr>
        <w:trPr>
          <w:trHeight w:val="183"/>
        </w:trPr>
        <w:tc>
          <w:tcPr>
            <w:tcW w:w="1480" w:type="dxa"/>
            <w:vAlign w:val="bottom"/>
          </w:tcPr>
          <w:p>
            <w:pPr>
              <w:spacing w:after="0"/>
              <w:rPr>
                <w:sz w:val="15"/>
                <w:szCs w:val="15"/>
                <w:color w:val="auto"/>
              </w:rPr>
            </w:pPr>
          </w:p>
        </w:tc>
        <w:tc>
          <w:tcPr>
            <w:tcW w:w="976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 Restrictive Covenant Agreement, each by and among Reynolds Consumer Products LLC, Reynolds Consumer Products Holdings</w:t>
              </w:r>
            </w:hyperlink>
          </w:p>
        </w:tc>
        <w:tc>
          <w:tcPr>
            <w:tcW w:w="80" w:type="dxa"/>
            <w:vAlign w:val="bottom"/>
            <w:tcBorders>
              <w:bottom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80" w:type="dxa"/>
            <w:vAlign w:val="bottom"/>
          </w:tcPr>
          <w:p>
            <w:pPr>
              <w:spacing w:after="0"/>
              <w:rPr>
                <w:sz w:val="17"/>
                <w:szCs w:val="17"/>
                <w:color w:val="auto"/>
              </w:rPr>
            </w:pPr>
          </w:p>
        </w:tc>
        <w:tc>
          <w:tcPr>
            <w:tcW w:w="9860" w:type="dxa"/>
            <w:vAlign w:val="bottom"/>
            <w:gridSpan w:val="12"/>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LLC, and Lance Mitchell, Scott Huckins, Rachel Bishop, Judith Buckner, Lisa Smith and Steve Estes (incorporated herein by</w:t>
              </w:r>
            </w:hyperlink>
          </w:p>
        </w:tc>
      </w:tr>
      <w:tr>
        <w:trPr>
          <w:trHeight w:val="183"/>
        </w:trPr>
        <w:tc>
          <w:tcPr>
            <w:tcW w:w="1480" w:type="dxa"/>
            <w:vAlign w:val="bottom"/>
          </w:tcPr>
          <w:p>
            <w:pPr>
              <w:spacing w:after="0"/>
              <w:rPr>
                <w:sz w:val="15"/>
                <w:szCs w:val="15"/>
                <w:color w:val="auto"/>
              </w:rPr>
            </w:pPr>
          </w:p>
        </w:tc>
        <w:tc>
          <w:tcPr>
            <w:tcW w:w="9760" w:type="dxa"/>
            <w:vAlign w:val="bottom"/>
            <w:tcBorders>
              <w:top w:val="single" w:sz="8" w:color="0000FF"/>
            </w:tcBorders>
            <w:gridSpan w:val="7"/>
          </w:tcPr>
          <w:p>
            <w:pPr>
              <w:spacing w:after="0" w:line="182"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reference to Exhibit 10.1 to the Company’s Quarterly Report on Form 10-Q filed with the SEC on May 8, 2024)</w:t>
              </w:r>
            </w:hyperlink>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80" w:type="dxa"/>
            <w:vAlign w:val="bottom"/>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5340" w:type="dxa"/>
            <w:vAlign w:val="bottom"/>
            <w:gridSpan w:val="2"/>
            <w:shd w:val="clear" w:color="auto" w:fill="0000FF"/>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9860" w:type="dxa"/>
            <w:vAlign w:val="bottom"/>
            <w:gridSpan w:val="12"/>
          </w:tcPr>
          <w:p>
            <w:pPr>
              <w:spacing w:after="0"/>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Master Supply Agreement, dated November 1, 2019, between Reynolds Consumer Products LLC, as Seller, and Pactiv LLC, as Buyer</w:t>
              </w:r>
            </w:hyperlink>
          </w:p>
        </w:tc>
      </w:tr>
      <w:tr>
        <w:trPr>
          <w:trHeight w:val="182"/>
        </w:trPr>
        <w:tc>
          <w:tcPr>
            <w:tcW w:w="1480" w:type="dxa"/>
            <w:vAlign w:val="bottom"/>
          </w:tcPr>
          <w:p>
            <w:pPr>
              <w:spacing w:after="0"/>
              <w:rPr>
                <w:sz w:val="15"/>
                <w:szCs w:val="15"/>
                <w:color w:val="auto"/>
              </w:rPr>
            </w:pPr>
          </w:p>
        </w:tc>
        <w:tc>
          <w:tcPr>
            <w:tcW w:w="9840" w:type="dxa"/>
            <w:vAlign w:val="bottom"/>
            <w:tcBorders>
              <w:top w:val="single" w:sz="8" w:color="0000EE"/>
              <w:bottom w:val="single" w:sz="8" w:color="0000EE"/>
            </w:tcBorders>
            <w:gridSpan w:val="11"/>
          </w:tcPr>
          <w:p>
            <w:pPr>
              <w:spacing w:after="0" w:line="182"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(incorporated herein by reference to Exhibit 10.18 to the Company’s Registration Statement on Form S-1 (File No. 333-234731) filed</w:t>
              </w:r>
            </w:hyperlink>
          </w:p>
        </w:tc>
        <w:tc>
          <w:tcPr>
            <w:tcW w:w="20" w:type="dxa"/>
            <w:vAlign w:val="bottom"/>
            <w:tcBorders>
              <w:bottom w:val="single" w:sz="8" w:color="0000EE"/>
            </w:tcBorders>
          </w:tcPr>
          <w:p>
            <w:pPr>
              <w:spacing w:after="0"/>
              <w:rPr>
                <w:sz w:val="15"/>
                <w:szCs w:val="15"/>
                <w:color w:val="auto"/>
              </w:rPr>
            </w:pPr>
          </w:p>
        </w:tc>
      </w:tr>
      <w:tr>
        <w:trPr>
          <w:trHeight w:val="196"/>
        </w:trPr>
        <w:tc>
          <w:tcPr>
            <w:tcW w:w="1480" w:type="dxa"/>
            <w:vAlign w:val="bottom"/>
          </w:tcPr>
          <w:p>
            <w:pPr>
              <w:spacing w:after="0"/>
              <w:rPr>
                <w:sz w:val="17"/>
                <w:szCs w:val="17"/>
                <w:color w:val="auto"/>
              </w:rPr>
            </w:pPr>
          </w:p>
        </w:tc>
        <w:tc>
          <w:tcPr>
            <w:tcW w:w="9860" w:type="dxa"/>
            <w:vAlign w:val="bottom"/>
            <w:gridSpan w:val="12"/>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with the SEC on November 15, 2019)</w:t>
              </w:r>
            </w:hyperlink>
          </w:p>
        </w:tc>
      </w:tr>
      <w:tr>
        <w:trPr>
          <w:trHeight w:val="533"/>
        </w:trPr>
        <w:tc>
          <w:tcPr>
            <w:tcW w:w="1480" w:type="dxa"/>
            <w:vAlign w:val="bottom"/>
          </w:tcPr>
          <w:p>
            <w:pPr>
              <w:spacing w:after="0"/>
              <w:rPr>
                <w:sz w:val="24"/>
                <w:szCs w:val="24"/>
                <w:color w:val="auto"/>
              </w:rPr>
            </w:pPr>
          </w:p>
        </w:tc>
        <w:tc>
          <w:tcPr>
            <w:tcW w:w="2720" w:type="dxa"/>
            <w:vAlign w:val="bottom"/>
            <w:tcBorders>
              <w:top w:val="single" w:sz="8" w:color="0000EE"/>
            </w:tcBorders>
            <w:gridSpan w:val="2"/>
          </w:tcPr>
          <w:p>
            <w:pPr>
              <w:spacing w:after="0"/>
              <w:rPr>
                <w:sz w:val="24"/>
                <w:szCs w:val="24"/>
                <w:color w:val="auto"/>
              </w:rPr>
            </w:pPr>
          </w:p>
        </w:tc>
        <w:tc>
          <w:tcPr>
            <w:tcW w:w="5340" w:type="dxa"/>
            <w:vAlign w:val="bottom"/>
            <w:gridSpan w:val="2"/>
          </w:tcPr>
          <w:p>
            <w:pPr>
              <w:jc w:val="right"/>
              <w:ind w:right="3820"/>
              <w:spacing w:after="0"/>
              <w:rPr>
                <w:sz w:val="20"/>
                <w:szCs w:val="20"/>
                <w:color w:val="auto"/>
              </w:rPr>
            </w:pPr>
            <w:r>
              <w:rPr>
                <w:rFonts w:ascii="Times New Roman" w:cs="Times New Roman" w:eastAsia="Times New Roman" w:hAnsi="Times New Roman"/>
                <w:sz w:val="18"/>
                <w:szCs w:val="18"/>
                <w:color w:val="auto"/>
              </w:rPr>
              <w:t>80</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4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98"/>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200" w:type="dxa"/>
            <w:vAlign w:val="bottom"/>
          </w:tcPr>
          <w:p>
            <w:pPr>
              <w:spacing w:after="0"/>
              <w:rPr>
                <w:sz w:val="24"/>
                <w:szCs w:val="24"/>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Amendment No. 1, dated January 15, 2022, and Amendment No. 2, dated March 31, 2023, to the Master Supply Agreement between</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0" w:type="dxa"/>
            <w:vAlign w:val="bottom"/>
            <w:tcBorders>
              <w:top w:val="single" w:sz="8" w:color="0000FF"/>
              <w:bottom w:val="single" w:sz="8" w:color="0000FF"/>
            </w:tcBorders>
            <w:gridSpan w:val="25"/>
          </w:tcPr>
          <w:p>
            <w:pPr>
              <w:spacing w:after="0" w:line="182"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Reynolds Consumer Products LLC, as seller, and Pactiv LLC, as buyer (incorporated herein by reference to Exhibit 10.2 to the</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Company’s Quarterly Report on Form 10-Q filed with the SEC on May 10, 2023)</w:t>
              </w:r>
            </w:hyperlink>
          </w:p>
        </w:tc>
        <w:tc>
          <w:tcPr>
            <w:tcW w:w="4120" w:type="dxa"/>
            <w:vAlign w:val="bottom"/>
            <w:gridSpan w:val="24"/>
          </w:tcPr>
          <w:p>
            <w:pPr>
              <w:spacing w:after="0"/>
              <w:rPr>
                <w:sz w:val="17"/>
                <w:szCs w:val="17"/>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10.36</w:t>
            </w:r>
          </w:p>
        </w:tc>
        <w:tc>
          <w:tcPr>
            <w:tcW w:w="200" w:type="dxa"/>
            <w:vAlign w:val="bottom"/>
          </w:tcPr>
          <w:p>
            <w:pPr>
              <w:spacing w:after="0"/>
              <w:rPr>
                <w:sz w:val="20"/>
                <w:szCs w:val="20"/>
                <w:color w:val="auto"/>
              </w:rPr>
            </w:pPr>
          </w:p>
        </w:tc>
        <w:tc>
          <w:tcPr>
            <w:tcW w:w="10000" w:type="dxa"/>
            <w:vAlign w:val="bottom"/>
            <w:gridSpan w:val="35"/>
          </w:tcPr>
          <w:p>
            <w:pPr>
              <w:spacing w:after="0"/>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Master Supply Agreement, dated November 1, 2019, between Pactiv LLC, as Seller, and Reynolds Consumer Products LLC, as Buyer</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20" w:type="dxa"/>
            <w:vAlign w:val="bottom"/>
            <w:tcBorders>
              <w:top w:val="single" w:sz="8" w:color="0000EE"/>
              <w:bottom w:val="single" w:sz="8" w:color="0000EE"/>
            </w:tcBorders>
            <w:gridSpan w:val="26"/>
          </w:tcPr>
          <w:p>
            <w:pPr>
              <w:spacing w:after="0" w:line="182"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(incorporated herein by reference to Exhibit 10.19 to the Company’s Registration Statement on Form S-1 (File No. 333-234731) filed</w:t>
              </w:r>
            </w:hyperlink>
          </w:p>
        </w:tc>
        <w:tc>
          <w:tcPr>
            <w:tcW w:w="160" w:type="dxa"/>
            <w:vAlign w:val="bottom"/>
            <w:tcBorders>
              <w:top w:val="single" w:sz="8" w:color="0000EE"/>
            </w:tcBorders>
            <w:gridSpan w:val="8"/>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0" w:type="dxa"/>
            <w:vAlign w:val="bottom"/>
            <w:gridSpan w:val="35"/>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with the SEC on November 15, 2019)</w:t>
              </w:r>
            </w:hyperlink>
          </w:p>
        </w:tc>
      </w:tr>
      <w:tr>
        <w:trPr>
          <w:trHeight w:val="20"/>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200" w:type="dxa"/>
            <w:vAlign w:val="bottom"/>
          </w:tcPr>
          <w:p>
            <w:pPr>
              <w:spacing w:after="0"/>
              <w:rPr>
                <w:sz w:val="20"/>
                <w:szCs w:val="20"/>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Amendment No. 1, dated January 15, 2022, and Amendment No. 2, dated March 31, 2023, to the Master Supply Agreement between</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0" w:type="dxa"/>
            <w:vAlign w:val="bottom"/>
            <w:tcBorders>
              <w:top w:val="single" w:sz="8" w:color="0000FF"/>
              <w:bottom w:val="single" w:sz="8" w:color="0000FF"/>
            </w:tcBorders>
            <w:gridSpan w:val="25"/>
          </w:tcPr>
          <w:p>
            <w:pPr>
              <w:spacing w:after="0" w:line="182"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Pactiv LLC, as seller, and Reynolds Consumer Products LLC, as buyer (incorporated herein by reference to Exhibit 10.3 to the</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Company’s Quarterly Report on Form 10-Q filed with the SEC on May 10, 2023)</w:t>
              </w:r>
            </w:hyperlink>
          </w:p>
        </w:tc>
        <w:tc>
          <w:tcPr>
            <w:tcW w:w="4120" w:type="dxa"/>
            <w:vAlign w:val="bottom"/>
            <w:gridSpan w:val="24"/>
          </w:tcPr>
          <w:p>
            <w:pPr>
              <w:spacing w:after="0"/>
              <w:rPr>
                <w:sz w:val="17"/>
                <w:szCs w:val="17"/>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10.38</w:t>
            </w:r>
          </w:p>
        </w:tc>
        <w:tc>
          <w:tcPr>
            <w:tcW w:w="200" w:type="dxa"/>
            <w:vAlign w:val="bottom"/>
          </w:tcPr>
          <w:p>
            <w:pPr>
              <w:spacing w:after="0"/>
              <w:rPr>
                <w:sz w:val="19"/>
                <w:szCs w:val="19"/>
                <w:color w:val="auto"/>
              </w:rPr>
            </w:pPr>
          </w:p>
        </w:tc>
        <w:tc>
          <w:tcPr>
            <w:tcW w:w="96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Amendment No. 3, dated December 3, 2024, to the Master Supply Agreement between Pactiv LLC, as seller, and Reynolds Consumer</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r>
      <w:tr>
        <w:trPr>
          <w:trHeight w:val="156"/>
        </w:trPr>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80" w:type="dxa"/>
            <w:vAlign w:val="bottom"/>
            <w:gridSpan w:val="20"/>
          </w:tcPr>
          <w:p>
            <w:pPr>
              <w:spacing w:after="0" w:line="15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Products LLC, as buyer (incorporated herein by reference to Exhibit 10.32 to the Company’s Annual Report on Form 10-K filed with</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20" w:type="dxa"/>
            <w:vAlign w:val="bottom"/>
            <w:tcBorders>
              <w:top w:val="single" w:sz="8" w:color="0000EE"/>
            </w:tcBorders>
            <w:gridSpan w:val="18"/>
          </w:tcPr>
          <w:p>
            <w:pPr>
              <w:spacing w:after="0" w:line="169"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the SEC on February 5, 2025)</w:t>
              </w:r>
            </w:hyperlink>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10.39</w:t>
            </w:r>
          </w:p>
        </w:tc>
        <w:tc>
          <w:tcPr>
            <w:tcW w:w="200" w:type="dxa"/>
            <w:vAlign w:val="bottom"/>
          </w:tcPr>
          <w:p>
            <w:pPr>
              <w:spacing w:after="0"/>
              <w:rPr>
                <w:sz w:val="19"/>
                <w:szCs w:val="19"/>
                <w:color w:val="auto"/>
              </w:rPr>
            </w:pPr>
          </w:p>
        </w:tc>
        <w:tc>
          <w:tcPr>
            <w:tcW w:w="10000" w:type="dxa"/>
            <w:vAlign w:val="bottom"/>
            <w:gridSpan w:val="35"/>
          </w:tcPr>
          <w:p>
            <w:pPr>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Warehousing and Freight Services Agreement, dated November 1, 2019, between Pactiv LLC and Reynolds Consumer Products LLC</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20" w:type="dxa"/>
            <w:vAlign w:val="bottom"/>
            <w:tcBorders>
              <w:top w:val="single" w:sz="8" w:color="0000EE"/>
              <w:bottom w:val="single" w:sz="8" w:color="0000EE"/>
            </w:tcBorders>
            <w:gridSpan w:val="21"/>
          </w:tcPr>
          <w:p>
            <w:pPr>
              <w:spacing w:after="0" w:line="182"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(incorporated herein by reference to Exhibit 10.20 to the Company’s Registration Statement on Form S-1 (File No. 333-234731) filed</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0" w:type="dxa"/>
            <w:vAlign w:val="bottom"/>
            <w:gridSpan w:val="35"/>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with the SEC on November 15, 2019)</w:t>
              </w:r>
            </w:hyperlink>
          </w:p>
        </w:tc>
      </w:tr>
      <w:tr>
        <w:trPr>
          <w:trHeight w:val="20"/>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10.40</w:t>
            </w:r>
          </w:p>
        </w:tc>
        <w:tc>
          <w:tcPr>
            <w:tcW w:w="200" w:type="dxa"/>
            <w:vAlign w:val="bottom"/>
          </w:tcPr>
          <w:p>
            <w:pPr>
              <w:spacing w:after="0"/>
              <w:rPr>
                <w:sz w:val="19"/>
                <w:szCs w:val="19"/>
                <w:color w:val="auto"/>
              </w:rPr>
            </w:pPr>
          </w:p>
        </w:tc>
        <w:tc>
          <w:tcPr>
            <w:tcW w:w="10000" w:type="dxa"/>
            <w:vAlign w:val="bottom"/>
            <w:gridSpan w:val="35"/>
          </w:tcPr>
          <w:p>
            <w:pPr>
              <w:spacing w:after="0"/>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Amendment No. 1, dated November 16, 2021, Amendment No. 2, dated May 12, 2022, and Amendment No. 3, dated April 18, 2024,</w:t>
              </w:r>
            </w:hyperlink>
          </w:p>
        </w:tc>
      </w:tr>
      <w:tr>
        <w:trPr>
          <w:trHeight w:val="156"/>
        </w:trPr>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0" w:type="dxa"/>
            <w:vAlign w:val="bottom"/>
            <w:tcBorders>
              <w:top w:val="single" w:sz="8" w:color="0000EE"/>
              <w:bottom w:val="single" w:sz="8" w:color="0000EE"/>
            </w:tcBorders>
            <w:gridSpan w:val="17"/>
          </w:tcPr>
          <w:p>
            <w:pPr>
              <w:spacing w:after="0" w:line="156" w:lineRule="exact"/>
              <w:rPr>
                <w:rFonts w:ascii="Times New Roman" w:cs="Times New Roman" w:eastAsia="Times New Roman" w:hAnsi="Times New Roman"/>
                <w:sz w:val="18"/>
                <w:szCs w:val="18"/>
                <w:color w:val="0000EE"/>
                <w:w w:val="98"/>
              </w:rPr>
            </w:pPr>
            <w:hyperlink r:id="rId170">
              <w:r>
                <w:rPr>
                  <w:rFonts w:ascii="Times New Roman" w:cs="Times New Roman" w:eastAsia="Times New Roman" w:hAnsi="Times New Roman"/>
                  <w:sz w:val="18"/>
                  <w:szCs w:val="18"/>
                  <w:color w:val="0000EE"/>
                  <w:w w:val="98"/>
                </w:rPr>
                <w:t>to the Warehousing and Freight Services Agreement between Pactiv LLC and Reynolds Consumer Products LLC (incorporated herein</w:t>
              </w:r>
            </w:hyperlink>
          </w:p>
        </w:tc>
        <w:tc>
          <w:tcPr>
            <w:tcW w:w="60" w:type="dxa"/>
            <w:vAlign w:val="bottom"/>
            <w:tcBorders>
              <w:bottom w:val="single" w:sz="8" w:color="0000EE"/>
            </w:tcBorders>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20" w:type="dxa"/>
            <w:vAlign w:val="bottom"/>
            <w:tcBorders>
              <w:bottom w:val="single" w:sz="8" w:color="0000EE"/>
            </w:tcBorders>
            <w:gridSpan w:val="15"/>
          </w:tcPr>
          <w:p>
            <w:pPr>
              <w:spacing w:after="0" w:line="169" w:lineRule="exact"/>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by reference to Exhibit 10.1 to Company’s Quarterly Report on Form 10-Q filed with the SEC on August 7, 2024)</w:t>
              </w:r>
            </w:hyperlink>
          </w:p>
        </w:tc>
        <w:tc>
          <w:tcPr>
            <w:tcW w:w="1440" w:type="dxa"/>
            <w:vAlign w:val="bottom"/>
            <w:gridSpan w:val="4"/>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200" w:type="dxa"/>
            <w:vAlign w:val="bottom"/>
          </w:tcPr>
          <w:p>
            <w:pPr>
              <w:spacing w:after="0"/>
              <w:rPr>
                <w:sz w:val="19"/>
                <w:szCs w:val="19"/>
                <w:color w:val="auto"/>
              </w:rPr>
            </w:pPr>
          </w:p>
        </w:tc>
        <w:tc>
          <w:tcPr>
            <w:tcW w:w="10000" w:type="dxa"/>
            <w:vAlign w:val="bottom"/>
            <w:gridSpan w:val="35"/>
          </w:tcPr>
          <w:p>
            <w:pPr>
              <w:spacing w:after="0"/>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Amended and Restated Lease Agreement, dated January 1, 2020, between Pactiv LLC and Reynolds Consumer Products LLC</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20" w:type="dxa"/>
            <w:vAlign w:val="bottom"/>
            <w:tcBorders>
              <w:top w:val="single" w:sz="8" w:color="0000EE"/>
              <w:bottom w:val="single" w:sz="8" w:color="0000EE"/>
            </w:tcBorders>
            <w:gridSpan w:val="26"/>
          </w:tcPr>
          <w:p>
            <w:pPr>
              <w:spacing w:after="0" w:line="182"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(incorporated herein by reference to Exhibit 10.23 to the Company’s Registration Statement on Form S-1 filed with the SEC on</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71">
              <w:r>
                <w:rPr>
                  <w:rFonts w:ascii="Times New Roman" w:cs="Times New Roman" w:eastAsia="Times New Roman" w:hAnsi="Times New Roman"/>
                  <w:sz w:val="18"/>
                  <w:szCs w:val="18"/>
                  <w:color w:val="0000EE"/>
                  <w:w w:val="98"/>
                </w:rPr>
                <w:t>January 21, 2020)</w:t>
              </w:r>
            </w:hyperlink>
          </w:p>
        </w:tc>
        <w:tc>
          <w:tcPr>
            <w:tcW w:w="8700" w:type="dxa"/>
            <w:vAlign w:val="bottom"/>
            <w:gridSpan w:val="33"/>
          </w:tcPr>
          <w:p>
            <w:pPr>
              <w:spacing w:after="0"/>
              <w:rPr>
                <w:sz w:val="17"/>
                <w:szCs w:val="17"/>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10.42</w:t>
            </w:r>
          </w:p>
        </w:tc>
        <w:tc>
          <w:tcPr>
            <w:tcW w:w="200" w:type="dxa"/>
            <w:vAlign w:val="bottom"/>
          </w:tcPr>
          <w:p>
            <w:pPr>
              <w:spacing w:after="0"/>
              <w:rPr>
                <w:sz w:val="20"/>
                <w:szCs w:val="20"/>
                <w:color w:val="auto"/>
              </w:rPr>
            </w:pPr>
          </w:p>
        </w:tc>
        <w:tc>
          <w:tcPr>
            <w:tcW w:w="10000" w:type="dxa"/>
            <w:vAlign w:val="bottom"/>
            <w:gridSpan w:val="35"/>
          </w:tcPr>
          <w:p>
            <w:pPr>
              <w:spacing w:after="0"/>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Tax Matters Agreement, dated February 4, 2020 (incorporated herein by reference to Exhibit 10.3 to the Company’s Current Report on</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60" w:type="dxa"/>
            <w:vAlign w:val="bottom"/>
            <w:tcBorders>
              <w:top w:val="single" w:sz="8" w:color="0000EE"/>
              <w:bottom w:val="single" w:sz="8" w:color="0000EE"/>
            </w:tcBorders>
            <w:gridSpan w:val="8"/>
          </w:tcPr>
          <w:p>
            <w:pPr>
              <w:spacing w:after="0" w:line="182" w:lineRule="exact"/>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Form 8-K filed with the SEC on February 4, 2020)</w:t>
              </w:r>
            </w:hyperlink>
          </w:p>
        </w:tc>
        <w:tc>
          <w:tcPr>
            <w:tcW w:w="6280" w:type="dxa"/>
            <w:vAlign w:val="bottom"/>
            <w:tcBorders>
              <w:top w:val="single" w:sz="8" w:color="0000EE"/>
            </w:tcBorders>
            <w:gridSpan w:val="2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10.43</w:t>
            </w:r>
          </w:p>
        </w:tc>
        <w:tc>
          <w:tcPr>
            <w:tcW w:w="200" w:type="dxa"/>
            <w:vAlign w:val="bottom"/>
          </w:tcPr>
          <w:p>
            <w:pPr>
              <w:spacing w:after="0"/>
              <w:rPr>
                <w:sz w:val="21"/>
                <w:szCs w:val="21"/>
                <w:color w:val="auto"/>
              </w:rPr>
            </w:pPr>
          </w:p>
        </w:tc>
        <w:tc>
          <w:tcPr>
            <w:tcW w:w="10000" w:type="dxa"/>
            <w:vAlign w:val="bottom"/>
            <w:gridSpan w:val="35"/>
          </w:tcPr>
          <w:p>
            <w:pPr>
              <w:spacing w:after="0"/>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Registration Rights Agreement, dated February 4, 2020, between Packaging Finance Limited and Reynolds Consumer Products Inc.</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80" w:type="dxa"/>
            <w:vAlign w:val="bottom"/>
            <w:tcBorders>
              <w:top w:val="single" w:sz="8" w:color="0000EE"/>
              <w:bottom w:val="single" w:sz="8" w:color="0000EE"/>
            </w:tcBorders>
            <w:gridSpan w:val="24"/>
          </w:tcPr>
          <w:p>
            <w:pPr>
              <w:spacing w:after="0" w:line="182"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(incorporated herein by reference to Exhibit 10.1 to the Company’s Current Report on Form 8-K filed with the SEC on February 4,</w:t>
              </w:r>
            </w:hyperlink>
          </w:p>
        </w:tc>
        <w:tc>
          <w:tcPr>
            <w:tcW w:w="60" w:type="dxa"/>
            <w:vAlign w:val="bottom"/>
            <w:tcBorders>
              <w:bottom w:val="single" w:sz="8" w:color="0000EE"/>
            </w:tcBorders>
            <w:gridSpan w:val="3"/>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73">
              <w:r>
                <w:rPr>
                  <w:rFonts w:ascii="Times New Roman" w:cs="Times New Roman" w:eastAsia="Times New Roman" w:hAnsi="Times New Roman"/>
                  <w:sz w:val="18"/>
                  <w:szCs w:val="18"/>
                  <w:color w:val="0000EE"/>
                  <w:w w:val="95"/>
                </w:rPr>
                <w:t>2020)</w:t>
              </w:r>
            </w:hyperlink>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10.44</w:t>
            </w:r>
          </w:p>
        </w:tc>
        <w:tc>
          <w:tcPr>
            <w:tcW w:w="200" w:type="dxa"/>
            <w:vAlign w:val="bottom"/>
          </w:tcPr>
          <w:p>
            <w:pPr>
              <w:spacing w:after="0"/>
              <w:rPr>
                <w:sz w:val="20"/>
                <w:szCs w:val="20"/>
                <w:color w:val="auto"/>
              </w:rPr>
            </w:pPr>
          </w:p>
        </w:tc>
        <w:tc>
          <w:tcPr>
            <w:tcW w:w="10000" w:type="dxa"/>
            <w:vAlign w:val="bottom"/>
            <w:gridSpan w:val="35"/>
          </w:tcPr>
          <w:p>
            <w:pPr>
              <w:spacing w:after="0"/>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Stockholders Agreement dated February 4, 2020, between Packaging Finance Limited and Reynolds Consumer Products Inc.</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60" w:type="dxa"/>
            <w:vAlign w:val="bottom"/>
            <w:tcBorders>
              <w:top w:val="single" w:sz="8" w:color="0000EE"/>
            </w:tcBorders>
            <w:gridSpan w:val="23"/>
          </w:tcPr>
          <w:p>
            <w:pPr>
              <w:spacing w:after="0" w:line="182"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(incorporated herein by reference to Exhibit 10.2 to the Company’s Current Report on Form 8-K filed with the SEC on February 4,</w:t>
              </w:r>
            </w:hyperlink>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74">
              <w:r>
                <w:rPr>
                  <w:rFonts w:ascii="Times New Roman" w:cs="Times New Roman" w:eastAsia="Times New Roman" w:hAnsi="Times New Roman"/>
                  <w:sz w:val="18"/>
                  <w:szCs w:val="18"/>
                  <w:color w:val="0000EE"/>
                  <w:w w:val="95"/>
                </w:rPr>
                <w:t>2020)</w:t>
              </w:r>
            </w:hyperlink>
          </w:p>
        </w:tc>
        <w:tc>
          <w:tcPr>
            <w:tcW w:w="8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10.45</w:t>
            </w:r>
          </w:p>
        </w:tc>
        <w:tc>
          <w:tcPr>
            <w:tcW w:w="200" w:type="dxa"/>
            <w:vAlign w:val="bottom"/>
          </w:tcPr>
          <w:p>
            <w:pPr>
              <w:spacing w:after="0"/>
              <w:rPr>
                <w:sz w:val="20"/>
                <w:szCs w:val="20"/>
                <w:color w:val="auto"/>
              </w:rPr>
            </w:pPr>
          </w:p>
        </w:tc>
        <w:tc>
          <w:tcPr>
            <w:tcW w:w="10000" w:type="dxa"/>
            <w:vAlign w:val="bottom"/>
            <w:gridSpan w:val="35"/>
          </w:tcPr>
          <w:p>
            <w:pPr>
              <w:spacing w:after="0"/>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Credit Agreement between Reynolds Consumer Products LLC, as borrower, Reynolds Consumer Products Inc., as parent, and certain</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40" w:type="dxa"/>
            <w:vAlign w:val="bottom"/>
            <w:tcBorders>
              <w:top w:val="single" w:sz="8" w:color="0000EE"/>
              <w:bottom w:val="single" w:sz="8" w:color="0000EE"/>
            </w:tcBorders>
            <w:gridSpan w:val="22"/>
          </w:tcPr>
          <w:p>
            <w:pPr>
              <w:spacing w:after="0" w:line="182"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lenders party thereto (incorporated herein by reference to Exhibit 10.4 to the Company’s Current Report on Form 8-K filed with the</w:t>
              </w:r>
            </w:hyperlink>
          </w:p>
        </w:tc>
        <w:tc>
          <w:tcPr>
            <w:tcW w:w="20" w:type="dxa"/>
            <w:vAlign w:val="bottom"/>
            <w:tcBorders>
              <w:bottom w:val="single" w:sz="8" w:color="0000EE"/>
            </w:tcBorders>
          </w:tcPr>
          <w:p>
            <w:pPr>
              <w:spacing w:after="0"/>
              <w:rPr>
                <w:sz w:val="15"/>
                <w:szCs w:val="15"/>
                <w:color w:val="auto"/>
              </w:rPr>
            </w:pPr>
          </w:p>
        </w:tc>
        <w:tc>
          <w:tcPr>
            <w:tcW w:w="80" w:type="dxa"/>
            <w:vAlign w:val="bottom"/>
            <w:tcBorders>
              <w:bottom w:val="single" w:sz="8" w:color="0000EE"/>
            </w:tcBorders>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SEC on February 4, 2020)</w:t>
              </w:r>
            </w:hyperlink>
          </w:p>
        </w:tc>
        <w:tc>
          <w:tcPr>
            <w:tcW w:w="8100" w:type="dxa"/>
            <w:vAlign w:val="bottom"/>
            <w:gridSpan w:val="31"/>
          </w:tcPr>
          <w:p>
            <w:pPr>
              <w:spacing w:after="0"/>
              <w:rPr>
                <w:sz w:val="17"/>
                <w:szCs w:val="17"/>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10.46</w:t>
            </w:r>
          </w:p>
        </w:tc>
        <w:tc>
          <w:tcPr>
            <w:tcW w:w="200" w:type="dxa"/>
            <w:vAlign w:val="bottom"/>
          </w:tcPr>
          <w:p>
            <w:pPr>
              <w:spacing w:after="0"/>
              <w:rPr>
                <w:sz w:val="20"/>
                <w:szCs w:val="20"/>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Amendment No. 1, dated February 28, 2023, to the Credit Agreement between Reynolds Consumer Products LLC, as borrower,</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60" w:type="dxa"/>
            <w:vAlign w:val="bottom"/>
            <w:tcBorders>
              <w:top w:val="single" w:sz="8" w:color="0000FF"/>
              <w:bottom w:val="single" w:sz="8" w:color="0000FF"/>
            </w:tcBorders>
            <w:gridSpan w:val="28"/>
          </w:tcPr>
          <w:p>
            <w:pPr>
              <w:spacing w:after="0" w:line="182"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Reynolds Consumer Products Inc., as parent, and certain lenders party thereto (incorporated herein by reference to Exhibit 10.1 to the</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Company’s Quarterly Report on Form 10-Q filed with the SEC on May 10, 2023)</w:t>
              </w:r>
            </w:hyperlink>
          </w:p>
        </w:tc>
        <w:tc>
          <w:tcPr>
            <w:tcW w:w="4120" w:type="dxa"/>
            <w:vAlign w:val="bottom"/>
            <w:gridSpan w:val="24"/>
          </w:tcPr>
          <w:p>
            <w:pPr>
              <w:spacing w:after="0"/>
              <w:rPr>
                <w:sz w:val="17"/>
                <w:szCs w:val="17"/>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10.47</w:t>
            </w:r>
          </w:p>
        </w:tc>
        <w:tc>
          <w:tcPr>
            <w:tcW w:w="200" w:type="dxa"/>
            <w:vAlign w:val="bottom"/>
          </w:tcPr>
          <w:p>
            <w:pPr>
              <w:spacing w:after="0"/>
              <w:rPr>
                <w:sz w:val="20"/>
                <w:szCs w:val="20"/>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Amendment No. 2, dated as of November 21, 2023, to the Credit Agreement, dated as of February 4, 2020, between Reynolds</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40" w:type="dxa"/>
            <w:vAlign w:val="bottom"/>
            <w:tcBorders>
              <w:top w:val="single" w:sz="8" w:color="0000FF"/>
              <w:bottom w:val="single" w:sz="8" w:color="0000FF"/>
            </w:tcBorders>
            <w:gridSpan w:val="27"/>
          </w:tcPr>
          <w:p>
            <w:pPr>
              <w:spacing w:after="0" w:line="182"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Consumer Products LLC, as borrower, Reynolds Consumer Products Inc., as parent and certain lenders party thereto (incorporated</w:t>
              </w:r>
            </w:hyperlink>
          </w:p>
        </w:tc>
        <w:tc>
          <w:tcPr>
            <w:tcW w:w="80" w:type="dxa"/>
            <w:vAlign w:val="bottom"/>
            <w:tcBorders>
              <w:top w:val="single" w:sz="8" w:color="0000FF"/>
            </w:tcBorders>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herein by reference to Exhibit 10.1 to the Company’s Current Report on Form 8-K filed with the SEC on November 21, 2023)</w:t>
              </w:r>
            </w:hyperlink>
          </w:p>
        </w:tc>
        <w:tc>
          <w:tcPr>
            <w:tcW w:w="920" w:type="dxa"/>
            <w:vAlign w:val="bottom"/>
            <w:gridSpan w:val="19"/>
          </w:tcPr>
          <w:p>
            <w:pPr>
              <w:spacing w:after="0"/>
              <w:rPr>
                <w:sz w:val="17"/>
                <w:szCs w:val="17"/>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10.48</w:t>
            </w:r>
          </w:p>
        </w:tc>
        <w:tc>
          <w:tcPr>
            <w:tcW w:w="200" w:type="dxa"/>
            <w:vAlign w:val="bottom"/>
          </w:tcPr>
          <w:p>
            <w:pPr>
              <w:spacing w:after="0"/>
              <w:rPr>
                <w:sz w:val="20"/>
                <w:szCs w:val="20"/>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Amendment No. 3, dated as of October 17, 2024, to the Credit Agreement, dated as of February 4, 2020, between Reynolds Consumer</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40" w:type="dxa"/>
            <w:vAlign w:val="bottom"/>
            <w:tcBorders>
              <w:top w:val="single" w:sz="8" w:color="0000FF"/>
              <w:bottom w:val="single" w:sz="8" w:color="0000FF"/>
            </w:tcBorders>
            <w:gridSpan w:val="27"/>
          </w:tcPr>
          <w:p>
            <w:pPr>
              <w:spacing w:after="0" w:line="182"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Products LLC, as borrower, Reynolds Consumer Products Inc., as parent, and certain lenders party thereto (incorporated herein by</w:t>
              </w:r>
            </w:hyperlink>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1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reference to Exhibit 10.1 to the Company’s Current Report on Form 8-K filed with the SEC on October 17, 2024)</w:t>
              </w:r>
            </w:hyperlink>
          </w:p>
        </w:tc>
        <w:tc>
          <w:tcPr>
            <w:tcW w:w="1820" w:type="dxa"/>
            <w:vAlign w:val="bottom"/>
            <w:gridSpan w:val="21"/>
          </w:tcPr>
          <w:p>
            <w:pPr>
              <w:spacing w:after="0"/>
              <w:rPr>
                <w:sz w:val="17"/>
                <w:szCs w:val="17"/>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10.49</w:t>
            </w:r>
          </w:p>
        </w:tc>
        <w:tc>
          <w:tcPr>
            <w:tcW w:w="200" w:type="dxa"/>
            <w:vAlign w:val="bottom"/>
          </w:tcPr>
          <w:p>
            <w:pPr>
              <w:spacing w:after="0"/>
              <w:rPr>
                <w:sz w:val="20"/>
                <w:szCs w:val="20"/>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Amendment No. 4, dated as of March 4, 2025, to the Credit Agreement, dated as of February 4, 2020, between Reynolds Consumer</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900" w:type="dxa"/>
            <w:vAlign w:val="bottom"/>
            <w:tcBorders>
              <w:top w:val="single" w:sz="8" w:color="0000FF"/>
              <w:bottom w:val="single" w:sz="8" w:color="0000FF"/>
            </w:tcBorders>
            <w:gridSpan w:val="30"/>
          </w:tcPr>
          <w:p>
            <w:pPr>
              <w:spacing w:after="0" w:line="182"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Products LLC, as borrower, Reynolds Consumer Products Inc., as parent, and certain lenders party thereto (incorporated herein by</w:t>
              </w:r>
            </w:hyperlink>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0" w:type="dxa"/>
            <w:vAlign w:val="bottom"/>
            <w:gridSpan w:val="35"/>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reference to Exhibit 10.1 to the Company's Form 8-K filed with the SEC on March 4, 2025)</w:t>
              </w:r>
            </w:hyperlink>
          </w:p>
        </w:tc>
      </w:tr>
      <w:tr>
        <w:trPr>
          <w:trHeight w:val="20"/>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620" w:type="dxa"/>
            <w:vAlign w:val="bottom"/>
            <w:gridSpan w:val="4"/>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360" w:type="dxa"/>
            <w:vAlign w:val="bottom"/>
            <w:gridSpan w:val="2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spacing w:after="0"/>
              <w:rPr>
                <w:sz w:val="20"/>
                <w:szCs w:val="20"/>
                <w:color w:val="auto"/>
              </w:rPr>
            </w:pPr>
          </w:p>
        </w:tc>
        <w:tc>
          <w:tcPr>
            <w:tcW w:w="10000" w:type="dxa"/>
            <w:vAlign w:val="bottom"/>
            <w:gridSpan w:val="35"/>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Reynolds Consumer Products Inc. Insider Trading Policy, as amended April 27, 2023 (incorporated herein by reference to Exhibit 19.1</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0" w:type="dxa"/>
            <w:vAlign w:val="bottom"/>
            <w:tcBorders>
              <w:top w:val="single" w:sz="8" w:color="0000FF"/>
              <w:bottom w:val="single" w:sz="8" w:color="0000FF"/>
            </w:tcBorders>
            <w:gridSpan w:val="12"/>
          </w:tcPr>
          <w:p>
            <w:pPr>
              <w:spacing w:after="0" w:line="182"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to the Company’s Annual Report on Form 10-K filed with the SEC on February 5, 2025)</w:t>
              </w:r>
            </w:hyperlink>
          </w:p>
        </w:tc>
        <w:tc>
          <w:tcPr>
            <w:tcW w:w="3320" w:type="dxa"/>
            <w:vAlign w:val="bottom"/>
            <w:tcBorders>
              <w:top w:val="single" w:sz="8" w:color="0000FF"/>
            </w:tcBorders>
            <w:gridSpan w:val="9"/>
          </w:tcPr>
          <w:p>
            <w:pPr>
              <w:spacing w:after="0"/>
              <w:rPr>
                <w:sz w:val="15"/>
                <w:szCs w:val="15"/>
                <w:color w:val="auto"/>
              </w:rPr>
            </w:pPr>
          </w:p>
        </w:tc>
        <w:tc>
          <w:tcPr>
            <w:tcW w:w="240" w:type="dxa"/>
            <w:vAlign w:val="bottom"/>
            <w:gridSpan w:val="1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21"/>
                <w:szCs w:val="21"/>
                <w:color w:val="auto"/>
              </w:rPr>
            </w:pPr>
          </w:p>
        </w:tc>
        <w:tc>
          <w:tcPr>
            <w:tcW w:w="1000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List of subsidiaries</w:t>
            </w:r>
          </w:p>
        </w:tc>
      </w:tr>
      <w:tr>
        <w:trPr>
          <w:trHeight w:val="20"/>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gridSpan w:val="2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20"/>
                <w:szCs w:val="20"/>
                <w:color w:val="auto"/>
              </w:rPr>
            </w:pPr>
          </w:p>
        </w:tc>
        <w:tc>
          <w:tcPr>
            <w:tcW w:w="1000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Consent of PricewaterhouseCoopers LLP</w:t>
            </w:r>
          </w:p>
        </w:tc>
      </w:tr>
      <w:tr>
        <w:trPr>
          <w:trHeight w:val="20"/>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80" w:type="dxa"/>
            <w:vAlign w:val="bottom"/>
            <w:gridSpan w:val="7"/>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gridSpan w:val="2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Pr>
          <w:p>
            <w:pPr>
              <w:spacing w:after="0"/>
              <w:rPr>
                <w:sz w:val="20"/>
                <w:szCs w:val="20"/>
                <w:color w:val="auto"/>
              </w:rPr>
            </w:pPr>
          </w:p>
        </w:tc>
        <w:tc>
          <w:tcPr>
            <w:tcW w:w="55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Power of Attorney (see signature page to this Annual Report on Form 10-K)</w:t>
            </w:r>
          </w:p>
        </w:tc>
        <w:tc>
          <w:tcPr>
            <w:tcW w:w="4500" w:type="dxa"/>
            <w:vAlign w:val="bottom"/>
            <w:gridSpan w:val="25"/>
          </w:tcPr>
          <w:p>
            <w:pPr>
              <w:spacing w:after="0"/>
              <w:rPr>
                <w:sz w:val="20"/>
                <w:szCs w:val="20"/>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0"/>
                <w:szCs w:val="20"/>
                <w:color w:val="auto"/>
              </w:rPr>
            </w:pPr>
          </w:p>
        </w:tc>
        <w:tc>
          <w:tcPr>
            <w:tcW w:w="1000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of the Company Pursuant to Rule 13a-14 of the Securities Exchange Act of 1934, As</w:t>
            </w:r>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940" w:type="dxa"/>
            <w:vAlign w:val="bottom"/>
            <w:tcBorders>
              <w:top w:val="single" w:sz="8" w:color="0000EE"/>
              <w:bottom w:val="single" w:sz="8" w:color="0000EE"/>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4940" w:type="dxa"/>
            <w:vAlign w:val="bottom"/>
            <w:tcBorders>
              <w:top w:val="single" w:sz="8" w:color="0000EE"/>
            </w:tcBorders>
            <w:gridSpan w:val="20"/>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1"/>
                <w:szCs w:val="21"/>
                <w:color w:val="auto"/>
              </w:rPr>
            </w:pPr>
          </w:p>
        </w:tc>
        <w:tc>
          <w:tcPr>
            <w:tcW w:w="1000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of the Company Pursuant to Rule 13a-14 of the Securities Exchange Act of 1934, As</w:t>
            </w:r>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960" w:type="dxa"/>
            <w:vAlign w:val="bottom"/>
            <w:tcBorders>
              <w:top w:val="single" w:sz="8" w:color="0000EE"/>
            </w:tcBorders>
            <w:gridSpan w:val="33"/>
          </w:tcPr>
          <w:p>
            <w:pPr>
              <w:spacing w:after="0" w:line="182"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40" w:type="dxa"/>
            <w:vAlign w:val="bottom"/>
            <w:gridSpan w:val="2"/>
          </w:tcPr>
          <w:p>
            <w:pPr>
              <w:spacing w:after="0"/>
              <w:rPr>
                <w:sz w:val="15"/>
                <w:szCs w:val="15"/>
                <w:color w:val="auto"/>
              </w:rPr>
            </w:pPr>
          </w:p>
        </w:tc>
      </w:tr>
      <w:tr>
        <w:trPr>
          <w:trHeight w:val="547"/>
        </w:trPr>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40" w:type="dxa"/>
            <w:vAlign w:val="bottom"/>
            <w:tcBorders>
              <w:top w:val="single" w:sz="8" w:color="0000EE"/>
            </w:tcBorders>
            <w:gridSpan w:val="9"/>
          </w:tcPr>
          <w:p>
            <w:pPr>
              <w:ind w:left="4060"/>
              <w:spacing w:after="0"/>
              <w:rPr>
                <w:sz w:val="20"/>
                <w:szCs w:val="20"/>
                <w:color w:val="auto"/>
              </w:rPr>
            </w:pPr>
            <w:r>
              <w:rPr>
                <w:rFonts w:ascii="Times New Roman" w:cs="Times New Roman" w:eastAsia="Times New Roman" w:hAnsi="Times New Roman"/>
                <w:sz w:val="18"/>
                <w:szCs w:val="18"/>
                <w:color w:val="auto"/>
              </w:rPr>
              <w:t>81</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52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98"/>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97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of the Company Pursuant to 18 U.S.C. Section 1350, As Adopted Pursuant to Section 906</w:t>
            </w:r>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tcBorders>
              <w:top w:val="single" w:sz="8" w:color="0000EE"/>
              <w:bottom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9"/>
              </w:rPr>
              <w:t>of the Sarbanes-Oxley Act of 2002</w:t>
            </w:r>
          </w:p>
        </w:tc>
        <w:tc>
          <w:tcPr>
            <w:tcW w:w="72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1"/>
                <w:szCs w:val="21"/>
                <w:color w:val="auto"/>
              </w:rPr>
            </w:pPr>
          </w:p>
        </w:tc>
        <w:tc>
          <w:tcPr>
            <w:tcW w:w="97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of the Company Pursuant to 18 U.S.C. Section 1350, As Adopted Pursuant to Section 906</w:t>
            </w:r>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tcBorders>
              <w:top w:val="single" w:sz="8" w:color="0000EE"/>
              <w:bottom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9"/>
              </w:rPr>
              <w:t>of the Sarbanes-Oxley Act of 2002</w:t>
            </w:r>
          </w:p>
        </w:tc>
        <w:tc>
          <w:tcPr>
            <w:tcW w:w="7240" w:type="dxa"/>
            <w:vAlign w:val="bottom"/>
            <w:tcBorders>
              <w:top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r>
    </w:tbl>
    <w:p>
      <w:pPr>
        <w:spacing w:after="0" w:line="63" w:lineRule="exact"/>
        <w:rPr>
          <w:sz w:val="20"/>
          <w:szCs w:val="20"/>
          <w:color w:val="auto"/>
        </w:rPr>
      </w:pPr>
    </w:p>
    <w:p>
      <w:pPr>
        <w:ind w:left="1480" w:hanging="1454"/>
        <w:spacing w:after="0" w:line="266" w:lineRule="auto"/>
        <w:tabs>
          <w:tab w:leader="none" w:pos="1480" w:val="left"/>
        </w:tabs>
        <w:numPr>
          <w:ilvl w:val="0"/>
          <w:numId w:val="34"/>
        </w:numPr>
        <w:rPr>
          <w:rFonts w:ascii="Times New Roman" w:cs="Times New Roman" w:eastAsia="Times New Roman" w:hAnsi="Times New Roman"/>
          <w:sz w:val="18"/>
          <w:szCs w:val="18"/>
          <w:u w:val="single" w:color="auto"/>
          <w:color w:val="0000EE"/>
        </w:rPr>
      </w:pPr>
      <w:hyperlink r:id="rId183">
        <w:r>
          <w:rPr>
            <w:rFonts w:ascii="Times New Roman" w:cs="Times New Roman" w:eastAsia="Times New Roman" w:hAnsi="Times New Roman"/>
            <w:sz w:val="18"/>
            <w:szCs w:val="18"/>
            <w:u w:val="single" w:color="auto"/>
            <w:color w:val="0000EE"/>
          </w:rPr>
          <w:t>Reynolds Consumer Products Inc. Amended and Restated Compensation Recoupment Policy (incorporated herein by reference to</w:t>
        </w:r>
      </w:hyperlink>
      <w:r>
        <w:rPr>
          <w:rFonts w:ascii="Times New Roman" w:cs="Times New Roman" w:eastAsia="Times New Roman" w:hAnsi="Times New Roman"/>
          <w:sz w:val="18"/>
          <w:szCs w:val="18"/>
          <w:u w:val="single" w:color="auto"/>
          <w:color w:val="0000EE"/>
        </w:rPr>
        <w:t xml:space="preserve"> </w:t>
      </w:r>
      <w:hyperlink r:id="rId183">
        <w:r>
          <w:rPr>
            <w:rFonts w:ascii="Times New Roman" w:cs="Times New Roman" w:eastAsia="Times New Roman" w:hAnsi="Times New Roman"/>
            <w:sz w:val="18"/>
            <w:szCs w:val="18"/>
            <w:u w:val="single" w:color="auto"/>
            <w:color w:val="0000EE"/>
          </w:rPr>
          <w:t>Exhibit 97 to the Company’s Annual Report on Form 10-K filed with the SEC on February 7, 2024)</w:t>
        </w:r>
      </w:hyperlink>
    </w:p>
    <w:p>
      <w:pPr>
        <w:spacing w:after="0" w:line="9" w:lineRule="exact"/>
        <w:rPr>
          <w:rFonts w:ascii="Times New Roman" w:cs="Times New Roman" w:eastAsia="Times New Roman" w:hAnsi="Times New Roman"/>
          <w:sz w:val="18"/>
          <w:szCs w:val="18"/>
          <w:color w:val="auto"/>
        </w:rPr>
      </w:pPr>
    </w:p>
    <w:tbl>
      <w:tblPr>
        <w:tblLayout w:type="fixed"/>
        <w:tblInd w:w="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34"/>
        </w:trPr>
        <w:tc>
          <w:tcPr>
            <w:tcW w:w="1060" w:type="dxa"/>
            <w:vAlign w:val="bottom"/>
          </w:tcPr>
          <w:p>
            <w:pPr>
              <w:spacing w:after="0"/>
              <w:rPr>
                <w:sz w:val="20"/>
                <w:szCs w:val="20"/>
                <w:color w:val="auto"/>
              </w:rPr>
            </w:pPr>
          </w:p>
        </w:tc>
        <w:tc>
          <w:tcPr>
            <w:tcW w:w="10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5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5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5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2" w:lineRule="exact"/>
        <w:rPr>
          <w:rFonts w:ascii="Times New Roman" w:cs="Times New Roman" w:eastAsia="Times New Roman" w:hAnsi="Times New Roman"/>
          <w:sz w:val="18"/>
          <w:szCs w:val="18"/>
          <w:color w:val="auto"/>
        </w:rPr>
      </w:pPr>
    </w:p>
    <w:p>
      <w:pPr>
        <w:ind w:left="1480" w:hanging="1454"/>
        <w:spacing w:after="0"/>
        <w:tabs>
          <w:tab w:leader="none" w:pos="14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9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REYNOLDS CONSUMER PRODUCTS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/s/ Scott Huckins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17145</wp:posOffset>
            </wp:positionV>
            <wp:extent cx="24428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Scott Huckins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February 4, 2026</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does hereby make, constitute and appoint Scott Huckins and Nathan Lowe, and each of them acting individually, his or her true and lawful attorneys-in-fact and agents, with full power of substitution, for them and in their name, place and stead, in any and all capacities, to sign the Annual Report on Form 10-K, and any amendments thereto, and to file the same with all exhibits thereto, and other documents in connection therewith, with the U.S.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may lawfully do or cause to be done by virtue hereof.</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23317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7">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22"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/s/ Scott Huckins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17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8">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43"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Scott Huckins</w:t>
      </w:r>
    </w:p>
    <w:p>
      <w:pPr>
        <w:spacing w:after="0" w:line="171"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/s/ Nathan 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17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9">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43"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Nathan Lowe</w:t>
      </w:r>
    </w:p>
    <w:p>
      <w:pPr>
        <w:spacing w:after="0" w:line="171"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/s/ Chris Mayrhofer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17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0">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43"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Chris Mayrhofer</w:t>
      </w:r>
    </w:p>
    <w:p>
      <w:pPr>
        <w:spacing w:after="0" w:line="171"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/s/ Rolf Stangl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17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1">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43"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Rolf Stangl</w:t>
      </w:r>
    </w:p>
    <w:p>
      <w:pPr>
        <w:spacing w:after="0" w:line="171"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/s/ Gregory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17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2">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43"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Gregory Cole</w:t>
      </w:r>
    </w:p>
    <w:p>
      <w:pPr>
        <w:spacing w:after="0" w:line="171"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/s/ Helen Golding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17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3">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43"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Helen Golding</w:t>
      </w:r>
    </w:p>
    <w:p>
      <w:pPr>
        <w:spacing w:after="0" w:line="171"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/s/ Marla Gottschalk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17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4">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43"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Marla Gottschalk</w:t>
      </w:r>
    </w:p>
    <w:p>
      <w:pPr>
        <w:spacing w:after="0" w:line="171"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/s/ Duncan Hawkesby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17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5">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43"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Duncan Hawkesby</w:t>
      </w:r>
    </w:p>
    <w:p>
      <w:pPr>
        <w:spacing w:after="0" w:line="171"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/s/ Allen Hugli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17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6">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43"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Allen Hugli</w:t>
      </w:r>
    </w:p>
    <w:p>
      <w:pPr>
        <w:spacing w:after="0" w:line="171"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/s/ Christine Montenegro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17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7">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43"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Christine Montenegro McGrath</w:t>
      </w:r>
    </w:p>
    <w:p>
      <w:pPr>
        <w:spacing w:after="0" w:line="171"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/s/ Ann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317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43"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8"/>
          <w:szCs w:val="18"/>
          <w:color w:val="auto"/>
        </w:rPr>
        <w:t>Ann Ziegler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wp:posOffset>
            </wp:positionH>
            <wp:positionV relativeFrom="paragraph">
              <wp:posOffset>33655</wp:posOffset>
            </wp:positionV>
            <wp:extent cx="23399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Senior Vice President and Controller</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Director and Chairman of</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31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33655</wp:posOffset>
            </wp:positionV>
            <wp:extent cx="23399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4,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4,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4,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4,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4,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4,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4,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4,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4,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4, 2026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4, 2026</w:t>
      </w:r>
    </w:p>
    <w:p>
      <w:pPr>
        <w:sectPr>
          <w:pgSz w:w="11900" w:h="16838" w:orient="portrait"/>
          <w:cols w:equalWidth="0" w:num="3">
            <w:col w:w="3540" w:space="720"/>
            <w:col w:w="3780" w:space="720"/>
            <w:col w:w="1379"/>
          </w:cols>
          <w:pgMar w:left="320" w:top="121" w:right="1440"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00" w:lineRule="exact"/>
        <w:rPr>
          <w:sz w:val="20"/>
          <w:szCs w:val="20"/>
          <w:color w:val="auto"/>
        </w:rPr>
      </w:pPr>
    </w:p>
    <w:p>
      <w:pPr>
        <w:spacing w:after="0" w:line="255" w:lineRule="exact"/>
        <w:rPr>
          <w:sz w:val="20"/>
          <w:szCs w:val="20"/>
          <w:color w:val="auto"/>
        </w:rPr>
      </w:pPr>
    </w:p>
    <w:p>
      <w:pPr>
        <w:ind w:right="880" w:firstLine="647"/>
        <w:spacing w:after="0" w:line="296" w:lineRule="auto"/>
        <w:rPr>
          <w:sz w:val="20"/>
          <w:szCs w:val="20"/>
          <w:color w:val="auto"/>
        </w:rPr>
      </w:pPr>
      <w:r>
        <w:rPr>
          <w:rFonts w:ascii="Arial" w:cs="Arial" w:eastAsia="Arial" w:hAnsi="Arial"/>
          <w:sz w:val="18"/>
          <w:szCs w:val="18"/>
          <w:color w:val="auto"/>
        </w:rPr>
        <w:t>Employment Agreement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dated effective as of January 1, 2025, between Reynolds Consumer Products Holdings LLC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Nathan D. Lowe (“</w:t>
      </w:r>
      <w:r>
        <w:rPr>
          <w:rFonts w:ascii="Arial" w:cs="Arial" w:eastAsia="Arial" w:hAnsi="Arial"/>
          <w:sz w:val="18"/>
          <w:szCs w:val="18"/>
          <w:b w:val="1"/>
          <w:bCs w:val="1"/>
          <w:u w:val="single" w:color="auto"/>
          <w:color w:val="auto"/>
        </w:rPr>
        <w:t>Employee</w:t>
      </w:r>
      <w:r>
        <w:rPr>
          <w:rFonts w:ascii="Arial" w:cs="Arial" w:eastAsia="Arial" w:hAnsi="Arial"/>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u w:val="single" w:color="auto"/>
          <w:color w:val="auto"/>
        </w:rPr>
        <w:t>PRELIMINARY STATEMENT</w:t>
      </w:r>
    </w:p>
    <w:p>
      <w:pPr>
        <w:spacing w:after="0" w:line="252" w:lineRule="exact"/>
        <w:rPr>
          <w:sz w:val="20"/>
          <w:szCs w:val="20"/>
          <w:color w:val="auto"/>
        </w:rPr>
      </w:pPr>
    </w:p>
    <w:p>
      <w:pPr>
        <w:ind w:right="560" w:firstLine="639"/>
        <w:spacing w:after="0" w:line="287" w:lineRule="auto"/>
        <w:tabs>
          <w:tab w:leader="none" w:pos="101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and Employee desire to enter into this Agreement to set forth their agreements regarding certain terms and conditions of Employee’s employment.</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NOW, THEREFORE, the Company and Employee agree as follows:</w:t>
      </w:r>
    </w:p>
    <w:p>
      <w:pPr>
        <w:spacing w:after="0" w:line="21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u w:val="single" w:color="auto"/>
          <w:color w:val="auto"/>
        </w:rPr>
        <w:t>AGREEMENT</w:t>
      </w:r>
    </w:p>
    <w:p>
      <w:pPr>
        <w:spacing w:after="0" w:line="252" w:lineRule="exact"/>
        <w:rPr>
          <w:sz w:val="20"/>
          <w:szCs w:val="20"/>
          <w:color w:val="auto"/>
        </w:rPr>
      </w:pPr>
    </w:p>
    <w:p>
      <w:pPr>
        <w:jc w:val="both"/>
        <w:ind w:right="320" w:firstLine="639"/>
        <w:spacing w:after="0" w:line="257" w:lineRule="auto"/>
        <w:tabs>
          <w:tab w:leader="none" w:pos="959"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Employee’s employment pursuant to this Agreement shall commence on the date hereof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until terminated in accordance with the terms hereof (the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However, Employee’s employment with the Company commenced on the date Employee was first employed by the Company and is not affected by the parties entering into this Agreement.</w:t>
      </w:r>
    </w:p>
    <w:p>
      <w:pPr>
        <w:spacing w:after="0" w:line="152" w:lineRule="exact"/>
        <w:rPr>
          <w:rFonts w:ascii="Arial" w:cs="Arial" w:eastAsia="Arial" w:hAnsi="Arial"/>
          <w:sz w:val="18"/>
          <w:szCs w:val="18"/>
          <w:color w:val="auto"/>
        </w:rPr>
      </w:pPr>
    </w:p>
    <w:p>
      <w:pPr>
        <w:jc w:val="both"/>
        <w:ind w:right="320" w:firstLine="639"/>
        <w:spacing w:after="0" w:line="259" w:lineRule="auto"/>
        <w:tabs>
          <w:tab w:leader="none" w:pos="959"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Position, Duties and Location.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serve in the position(s)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Employee shall devote substantially all of Employee’s working time and efforts to the business and affairs of the Company and shall not engage in any other business activity without prior written approval from the Company’s CEO. Employee shall perform the services required by this Agreement at the location(s) indicated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except for customary business travel to other locations as may be necessary to fulfill Employee’s duties and responsibilities hereunder.</w:t>
      </w:r>
    </w:p>
    <w:p>
      <w:pPr>
        <w:spacing w:after="0" w:line="219" w:lineRule="exact"/>
        <w:rPr>
          <w:rFonts w:ascii="Arial" w:cs="Arial" w:eastAsia="Arial" w:hAnsi="Arial"/>
          <w:sz w:val="18"/>
          <w:szCs w:val="18"/>
          <w:color w:val="auto"/>
        </w:rPr>
      </w:pPr>
    </w:p>
    <w:p>
      <w:pPr>
        <w:ind w:left="1280" w:hanging="640"/>
        <w:spacing w:after="0"/>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and Related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w:t>
      </w:r>
    </w:p>
    <w:p>
      <w:pPr>
        <w:spacing w:after="0" w:line="252" w:lineRule="exact"/>
        <w:rPr>
          <w:rFonts w:ascii="Arial" w:cs="Arial" w:eastAsia="Arial" w:hAnsi="Arial"/>
          <w:sz w:val="18"/>
          <w:szCs w:val="18"/>
          <w:color w:val="auto"/>
        </w:rPr>
      </w:pPr>
    </w:p>
    <w:p>
      <w:pPr>
        <w:jc w:val="both"/>
        <w:ind w:right="320" w:firstLine="1287"/>
        <w:spacing w:after="0" w:line="268" w:lineRule="auto"/>
        <w:tabs>
          <w:tab w:leader="none" w:pos="1609" w:val="left"/>
        </w:tabs>
        <w:numPr>
          <w:ilvl w:val="1"/>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annual base salary (the “</w:t>
      </w: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shall be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color w:val="auto"/>
        </w:rPr>
        <w:t>. The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shall be payable in periodic installments in accordance with the usual practice of the Company for its senior employees. Employee’s Base Salary will be reviewed but not necessarily increased annually as part of the Company’s merit review process.</w:t>
      </w:r>
    </w:p>
    <w:p>
      <w:pPr>
        <w:spacing w:after="0" w:line="197" w:lineRule="exact"/>
        <w:rPr>
          <w:rFonts w:ascii="Arial" w:cs="Arial" w:eastAsia="Arial" w:hAnsi="Arial"/>
          <w:sz w:val="18"/>
          <w:szCs w:val="18"/>
          <w:color w:val="auto"/>
        </w:rPr>
      </w:pPr>
    </w:p>
    <w:p>
      <w:pPr>
        <w:jc w:val="both"/>
        <w:ind w:right="340" w:firstLine="1287"/>
        <w:spacing w:after="0" w:line="262" w:lineRule="auto"/>
        <w:tabs>
          <w:tab w:leader="none" w:pos="1609" w:val="left"/>
        </w:tabs>
        <w:numPr>
          <w:ilvl w:val="1"/>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Bonus.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be eligible to receive an annual bonus (the “</w:t>
      </w:r>
      <w:r>
        <w:rPr>
          <w:rFonts w:ascii="Arial" w:cs="Arial" w:eastAsia="Arial" w:hAnsi="Arial"/>
          <w:sz w:val="18"/>
          <w:szCs w:val="18"/>
          <w:b w:val="1"/>
          <w:bCs w:val="1"/>
          <w:u w:val="single" w:color="auto"/>
          <w:color w:val="auto"/>
        </w:rPr>
        <w:t>Annual Bonus</w:t>
      </w:r>
      <w:r>
        <w:rPr>
          <w:rFonts w:ascii="Arial" w:cs="Arial" w:eastAsia="Arial" w:hAnsi="Arial"/>
          <w:sz w:val="18"/>
          <w:szCs w:val="18"/>
          <w:color w:val="auto"/>
        </w:rPr>
        <w: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color w:val="auto"/>
        </w:rPr>
        <w:t>. The Annual Bonus shall be determined by the Company in its sole discretion, and there is no assurance that any Annual Bonus will be earned. The Annual Bonus, if any, earned by Employee in respect of any year shall be paid to Employee at the time that the Company pays its annual bonuses to its employees generally (usually around March 15 of the following year).</w:t>
      </w:r>
    </w:p>
    <w:p>
      <w:pPr>
        <w:spacing w:after="0" w:line="203" w:lineRule="exact"/>
        <w:rPr>
          <w:rFonts w:ascii="Arial" w:cs="Arial" w:eastAsia="Arial" w:hAnsi="Arial"/>
          <w:sz w:val="18"/>
          <w:szCs w:val="18"/>
          <w:color w:val="auto"/>
        </w:rPr>
      </w:pPr>
    </w:p>
    <w:p>
      <w:pPr>
        <w:ind w:right="340" w:firstLine="1287"/>
        <w:spacing w:after="0" w:line="287" w:lineRule="auto"/>
        <w:tabs>
          <w:tab w:leader="none" w:pos="1613" w:val="left"/>
        </w:tabs>
        <w:numPr>
          <w:ilvl w:val="1"/>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Compensation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be eligible to participate in such other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programs as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jc w:val="both"/>
        <w:ind w:right="320" w:firstLine="1287"/>
        <w:spacing w:after="0" w:line="261" w:lineRule="auto"/>
        <w:tabs>
          <w:tab w:leader="none" w:pos="1609" w:val="left"/>
        </w:tabs>
        <w:numPr>
          <w:ilvl w:val="1"/>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be entitled to receive reimbursement for all reasonable expenses incurred by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in performing services hereunder, in accordance with the policies and procedures then in effect and established by the Company for its senior officers.</w:t>
      </w:r>
    </w:p>
    <w:p>
      <w:pPr>
        <w:spacing w:after="0" w:line="148" w:lineRule="exact"/>
        <w:rPr>
          <w:rFonts w:ascii="Arial" w:cs="Arial" w:eastAsia="Arial" w:hAnsi="Arial"/>
          <w:sz w:val="18"/>
          <w:szCs w:val="18"/>
          <w:color w:val="auto"/>
        </w:rPr>
      </w:pPr>
    </w:p>
    <w:p>
      <w:pPr>
        <w:jc w:val="both"/>
        <w:ind w:right="320" w:firstLine="1287"/>
        <w:spacing w:after="0" w:line="268" w:lineRule="auto"/>
        <w:tabs>
          <w:tab w:leader="none" w:pos="1609" w:val="left"/>
        </w:tabs>
        <w:numPr>
          <w:ilvl w:val="1"/>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Employee Benefit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be entitled to participate in the Company’s employee health and</w:t>
      </w:r>
      <w:r>
        <w:rPr>
          <w:rFonts w:ascii="Arial" w:cs="Arial" w:eastAsia="Arial" w:hAnsi="Arial"/>
          <w:sz w:val="18"/>
          <w:szCs w:val="18"/>
          <w:b w:val="1"/>
          <w:bCs w:val="1"/>
          <w:color w:val="auto"/>
        </w:rPr>
        <w:t xml:space="preserve"> </w:t>
      </w:r>
      <w:r>
        <w:rPr>
          <w:rFonts w:ascii="Arial" w:cs="Arial" w:eastAsia="Arial" w:hAnsi="Arial"/>
          <w:sz w:val="18"/>
          <w:szCs w:val="18"/>
          <w:color w:val="auto"/>
        </w:rPr>
        <w:t>welfare plans, policies, programs and arrangements as they may be amended from time to time, to the extent Employee meets the eligibility requirements for any such plan, policy, program or arrangement.</w:t>
      </w:r>
    </w:p>
    <w:p>
      <w:pPr>
        <w:spacing w:after="0" w:line="143" w:lineRule="exact"/>
        <w:rPr>
          <w:rFonts w:ascii="Arial" w:cs="Arial" w:eastAsia="Arial" w:hAnsi="Arial"/>
          <w:sz w:val="18"/>
          <w:szCs w:val="18"/>
          <w:color w:val="auto"/>
        </w:rPr>
      </w:pPr>
    </w:p>
    <w:p>
      <w:pPr>
        <w:ind w:right="340" w:firstLine="1287"/>
        <w:spacing w:after="0" w:line="287" w:lineRule="auto"/>
        <w:tabs>
          <w:tab w:leader="none" w:pos="1613" w:val="left"/>
        </w:tabs>
        <w:numPr>
          <w:ilvl w:val="1"/>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Vacation.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be entitled to paid vacation, as well as holidays and other paid absences,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Company’s policies and procedures for similarly situated</w:t>
      </w:r>
    </w:p>
    <w:p>
      <w:pPr>
        <w:sectPr>
          <w:pgSz w:w="11900" w:h="16838" w:orient="portrait"/>
          <w:cols w:equalWidth="0" w:num="1">
            <w:col w:w="10900"/>
          </w:cols>
          <w:pgMar w:left="660" w:top="121" w:right="339" w:bottom="1440" w:gutter="0" w:footer="0" w:header="0"/>
        </w:sectPr>
      </w:pPr>
    </w:p>
    <w:bookmarkStart w:id="85" w:name="page86"/>
    <w:bookmarkEnd w:id="85"/>
    <w:p>
      <w:pPr>
        <w:ind w:left="8"/>
        <w:spacing w:after="0"/>
        <w:rPr>
          <w:sz w:val="20"/>
          <w:szCs w:val="20"/>
          <w:color w:val="auto"/>
        </w:rPr>
      </w:pPr>
      <w:r>
        <w:rPr>
          <w:rFonts w:ascii="Arial" w:cs="Arial" w:eastAsia="Arial" w:hAnsi="Arial"/>
          <w:sz w:val="18"/>
          <w:szCs w:val="18"/>
          <w:color w:val="auto"/>
        </w:rPr>
        <w:t>employees of the Company, to the extent Employee meets the eligibility requirements for any such policy and procedures.</w:t>
      </w:r>
    </w:p>
    <w:p>
      <w:pPr>
        <w:spacing w:after="0" w:line="212" w:lineRule="exact"/>
        <w:rPr>
          <w:sz w:val="20"/>
          <w:szCs w:val="20"/>
          <w:color w:val="auto"/>
        </w:rPr>
      </w:pPr>
    </w:p>
    <w:p>
      <w:pPr>
        <w:ind w:left="8" w:right="80" w:firstLine="639"/>
        <w:spacing w:after="0" w:line="287" w:lineRule="auto"/>
        <w:tabs>
          <w:tab w:leader="none" w:pos="967" w:val="left"/>
        </w:tabs>
        <w:numPr>
          <w:ilvl w:val="1"/>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employment hereunder may be terminated as set forth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w:t>
      </w:r>
      <w:r>
        <w:rPr>
          <w:rFonts w:ascii="Arial" w:cs="Arial" w:eastAsia="Arial" w:hAnsi="Arial"/>
          <w:sz w:val="18"/>
          <w:szCs w:val="18"/>
          <w:color w:val="auto"/>
        </w:rPr>
        <w:t>. Upon any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Employee’s employment, the Term shall automatically end.</w:t>
      </w:r>
    </w:p>
    <w:p>
      <w:pPr>
        <w:spacing w:after="0" w:line="125" w:lineRule="exact"/>
        <w:rPr>
          <w:rFonts w:ascii="Arial" w:cs="Arial" w:eastAsia="Arial" w:hAnsi="Arial"/>
          <w:sz w:val="18"/>
          <w:szCs w:val="18"/>
          <w:color w:val="auto"/>
        </w:rPr>
      </w:pPr>
    </w:p>
    <w:p>
      <w:pPr>
        <w:ind w:left="1608" w:hanging="313"/>
        <w:spacing w:after="0"/>
        <w:tabs>
          <w:tab w:leader="none" w:pos="1608" w:val="left"/>
        </w:tabs>
        <w:numPr>
          <w:ilvl w:val="2"/>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employment hereunder shall automatically terminate upon Employee’s death.</w:t>
      </w:r>
    </w:p>
    <w:p>
      <w:pPr>
        <w:spacing w:after="0" w:line="211" w:lineRule="exact"/>
        <w:rPr>
          <w:rFonts w:ascii="Arial" w:cs="Arial" w:eastAsia="Arial" w:hAnsi="Arial"/>
          <w:sz w:val="18"/>
          <w:szCs w:val="18"/>
          <w:color w:val="auto"/>
        </w:rPr>
      </w:pPr>
    </w:p>
    <w:p>
      <w:pPr>
        <w:jc w:val="both"/>
        <w:ind w:left="8" w:firstLine="1287"/>
        <w:spacing w:after="0" w:line="247" w:lineRule="auto"/>
        <w:tabs>
          <w:tab w:leader="none" w:pos="1617" w:val="left"/>
        </w:tabs>
        <w:numPr>
          <w:ilvl w:val="2"/>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Discharge by the Company for Cause.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terminate Employee’s employment hereunder for</w:t>
      </w:r>
      <w:r>
        <w:rPr>
          <w:rFonts w:ascii="Arial" w:cs="Arial" w:eastAsia="Arial" w:hAnsi="Arial"/>
          <w:sz w:val="18"/>
          <w:szCs w:val="18"/>
          <w:b w:val="1"/>
          <w:bCs w:val="1"/>
          <w:color w:val="auto"/>
        </w:rPr>
        <w:t xml:space="preserve"> </w:t>
      </w:r>
      <w:r>
        <w:rPr>
          <w:rFonts w:ascii="Arial" w:cs="Arial" w:eastAsia="Arial" w:hAnsi="Arial"/>
          <w:sz w:val="18"/>
          <w:szCs w:val="18"/>
          <w:color w:val="auto"/>
        </w:rPr>
        <w:t>Cause at any time. For purposes of this Agreement, “Cause” shall mean in the good faith determination of the Company’s CEO that Employee has engaged in conduct consisting of (i) dishonesty or other serious misconduct related to Employee’s duties as an employee of the Company, or</w:t>
      </w:r>
    </w:p>
    <w:p>
      <w:pPr>
        <w:spacing w:after="0" w:line="2" w:lineRule="exact"/>
        <w:rPr>
          <w:rFonts w:ascii="Arial" w:cs="Arial" w:eastAsia="Arial" w:hAnsi="Arial"/>
          <w:sz w:val="18"/>
          <w:szCs w:val="18"/>
          <w:color w:val="auto"/>
        </w:rPr>
      </w:pPr>
    </w:p>
    <w:p>
      <w:pPr>
        <w:ind w:left="248" w:hanging="248"/>
        <w:spacing w:after="0"/>
        <w:tabs>
          <w:tab w:leader="none" w:pos="2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willful and continual failure (unless due to incapacity resulting from physical or mental illness) to perform the duties of Employee’s</w:t>
      </w:r>
    </w:p>
    <w:p>
      <w:pPr>
        <w:spacing w:after="0" w:line="9" w:lineRule="exact"/>
        <w:rPr>
          <w:sz w:val="20"/>
          <w:szCs w:val="20"/>
          <w:color w:val="auto"/>
        </w:rPr>
      </w:pPr>
    </w:p>
    <w:p>
      <w:pPr>
        <w:ind w:left="8"/>
        <w:spacing w:after="0" w:line="266" w:lineRule="auto"/>
        <w:rPr>
          <w:sz w:val="20"/>
          <w:szCs w:val="20"/>
          <w:color w:val="auto"/>
        </w:rPr>
      </w:pPr>
      <w:r>
        <w:rPr>
          <w:rFonts w:ascii="Arial" w:cs="Arial" w:eastAsia="Arial" w:hAnsi="Arial"/>
          <w:sz w:val="18"/>
          <w:szCs w:val="18"/>
          <w:color w:val="auto"/>
        </w:rPr>
        <w:t>employment after written demand for substantial performance is delivered to Employee by the Company specifically identifying the manner in which Employee has not substantially performed such duties.</w:t>
      </w:r>
    </w:p>
    <w:p>
      <w:pPr>
        <w:spacing w:after="0" w:line="158" w:lineRule="exact"/>
        <w:rPr>
          <w:sz w:val="20"/>
          <w:szCs w:val="20"/>
          <w:color w:val="auto"/>
        </w:rPr>
      </w:pPr>
    </w:p>
    <w:p>
      <w:pPr>
        <w:jc w:val="both"/>
        <w:ind w:left="8" w:firstLine="1287"/>
        <w:spacing w:after="0" w:line="268" w:lineRule="auto"/>
        <w:tabs>
          <w:tab w:leader="none" w:pos="1621" w:val="left"/>
        </w:tabs>
        <w:numPr>
          <w:ilvl w:val="1"/>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Without Cause.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terminate Employee’s employment hereunder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without Cause upon 30 days’ written notice to Employee. Any termination by the Company of Employee’s employment under this Agreement other than pursuant to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shall be deemed a termination without Cause.</w:t>
      </w:r>
    </w:p>
    <w:p>
      <w:pPr>
        <w:spacing w:after="0" w:line="197" w:lineRule="exact"/>
        <w:rPr>
          <w:rFonts w:ascii="Arial" w:cs="Arial" w:eastAsia="Arial" w:hAnsi="Arial"/>
          <w:sz w:val="18"/>
          <w:szCs w:val="18"/>
          <w:color w:val="auto"/>
        </w:rPr>
      </w:pPr>
    </w:p>
    <w:p>
      <w:pPr>
        <w:ind w:left="8" w:firstLine="1287"/>
        <w:spacing w:after="0" w:line="287" w:lineRule="auto"/>
        <w:tabs>
          <w:tab w:leader="none" w:pos="1617" w:val="left"/>
        </w:tabs>
        <w:numPr>
          <w:ilvl w:val="1"/>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by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may terminate Employee’s employment hereunder upon 30 days’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the Company.</w:t>
      </w:r>
    </w:p>
    <w:p>
      <w:pPr>
        <w:spacing w:after="0" w:line="125" w:lineRule="exact"/>
        <w:rPr>
          <w:rFonts w:ascii="Arial" w:cs="Arial" w:eastAsia="Arial" w:hAnsi="Arial"/>
          <w:sz w:val="18"/>
          <w:szCs w:val="18"/>
          <w:color w:val="auto"/>
        </w:rPr>
      </w:pPr>
    </w:p>
    <w:p>
      <w:pPr>
        <w:jc w:val="both"/>
        <w:ind w:left="8" w:firstLine="1287"/>
        <w:spacing w:after="0" w:line="256" w:lineRule="auto"/>
        <w:tabs>
          <w:tab w:leader="none" w:pos="1617" w:val="left"/>
        </w:tabs>
        <w:numPr>
          <w:ilvl w:val="1"/>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of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termination as specified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4(a)</w:t>
      </w:r>
      <w:r>
        <w:rPr>
          <w:rFonts w:ascii="Arial" w:cs="Arial" w:eastAsia="Arial" w:hAnsi="Arial"/>
          <w:sz w:val="18"/>
          <w:szCs w:val="18"/>
          <w:color w:val="auto"/>
        </w:rPr>
        <w:t>, any termination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by the Company or any such termination by Employee shall be communicated by written to the other party hereto, specifying the applicable termination provision of this Agreement (a “</w:t>
      </w:r>
      <w:r>
        <w:rPr>
          <w:rFonts w:ascii="Arial" w:cs="Arial" w:eastAsia="Arial" w:hAnsi="Arial"/>
          <w:sz w:val="18"/>
          <w:szCs w:val="18"/>
          <w:b w:val="1"/>
          <w:bCs w:val="1"/>
          <w:u w:val="single" w:color="auto"/>
          <w:color w:val="auto"/>
        </w:rPr>
        <w:t>Notice of Termination</w:t>
      </w:r>
      <w:r>
        <w:rPr>
          <w:rFonts w:ascii="Arial" w:cs="Arial" w:eastAsia="Arial" w:hAnsi="Arial"/>
          <w:sz w:val="18"/>
          <w:szCs w:val="18"/>
          <w:color w:val="auto"/>
        </w:rPr>
        <w:t>”). The “</w:t>
      </w:r>
      <w:r>
        <w:rPr>
          <w:rFonts w:ascii="Arial" w:cs="Arial" w:eastAsia="Arial" w:hAnsi="Arial"/>
          <w:sz w:val="18"/>
          <w:szCs w:val="18"/>
          <w:b w:val="1"/>
          <w:bCs w:val="1"/>
          <w:u w:val="single" w:color="auto"/>
          <w:color w:val="auto"/>
        </w:rPr>
        <w:t>Date of Termination</w:t>
      </w:r>
      <w:r>
        <w:rPr>
          <w:rFonts w:ascii="Arial" w:cs="Arial" w:eastAsia="Arial" w:hAnsi="Arial"/>
          <w:sz w:val="18"/>
          <w:szCs w:val="18"/>
          <w:color w:val="auto"/>
        </w:rPr>
        <w:t>” shall mean: (i) if Employee’s employment is terminated by death, the date of death; or (ii) the date specified in the applicable Notice of Termination. Notwithstanding the foregoing, if Employee gives a Notice of Termination to the Company, the Company may unilaterally accelerate the Date of Termination and such acceleration shall not result in a termination by the Company for purposes of this Agreement.</w:t>
      </w:r>
    </w:p>
    <w:p>
      <w:pPr>
        <w:spacing w:after="0" w:line="209" w:lineRule="exact"/>
        <w:rPr>
          <w:rFonts w:ascii="Arial" w:cs="Arial" w:eastAsia="Arial" w:hAnsi="Arial"/>
          <w:sz w:val="18"/>
          <w:szCs w:val="18"/>
          <w:color w:val="auto"/>
        </w:rPr>
      </w:pPr>
    </w:p>
    <w:p>
      <w:pPr>
        <w:ind w:left="1288" w:hanging="640"/>
        <w:spacing w:after="0"/>
        <w:tabs>
          <w:tab w:leader="none" w:pos="1288" w:val="left"/>
        </w:tabs>
        <w:numPr>
          <w:ilvl w:val="0"/>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Upon Termination.</w:t>
      </w:r>
    </w:p>
    <w:p>
      <w:pPr>
        <w:spacing w:after="0" w:line="211" w:lineRule="exact"/>
        <w:rPr>
          <w:rFonts w:ascii="Arial" w:cs="Arial" w:eastAsia="Arial" w:hAnsi="Arial"/>
          <w:sz w:val="18"/>
          <w:szCs w:val="18"/>
          <w:color w:val="auto"/>
        </w:rPr>
      </w:pPr>
    </w:p>
    <w:p>
      <w:pPr>
        <w:jc w:val="both"/>
        <w:ind w:left="8" w:firstLine="1287"/>
        <w:spacing w:after="0" w:line="257" w:lineRule="auto"/>
        <w:tabs>
          <w:tab w:leader="none" w:pos="1617" w:val="left"/>
        </w:tabs>
        <w:numPr>
          <w:ilvl w:val="1"/>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If Employee’s employment with the Company is terminated for any reason,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(or Employee’s authorized representative or estate) shall, through the Date of Termination, be paid or provided with (i) any earned but unpaid Base Salary, (ii) unpaid expense reimbursements, and (iii) any vested benefits Employee may have under any employee benefit plan of the Company (the “</w:t>
      </w:r>
      <w:r>
        <w:rPr>
          <w:rFonts w:ascii="Arial" w:cs="Arial" w:eastAsia="Arial" w:hAnsi="Arial"/>
          <w:sz w:val="18"/>
          <w:szCs w:val="18"/>
          <w:b w:val="1"/>
          <w:bCs w:val="1"/>
          <w:u w:val="single" w:color="auto"/>
          <w:color w:val="auto"/>
        </w:rPr>
        <w:t>Accrued Obligations</w:t>
      </w:r>
      <w:r>
        <w:rPr>
          <w:rFonts w:ascii="Arial" w:cs="Arial" w:eastAsia="Arial" w:hAnsi="Arial"/>
          <w:sz w:val="18"/>
          <w:szCs w:val="18"/>
          <w:color w:val="auto"/>
        </w:rPr>
        <w:t>”). The Accrued Obligations shall be paid at the time(s) specified under any applicable employee benefit plan, or, if there is no applicable employee benefit plan, within 30 days after Employee’s Date of Termination.</w:t>
      </w:r>
    </w:p>
    <w:p>
      <w:pPr>
        <w:spacing w:after="0" w:line="222" w:lineRule="exact"/>
        <w:rPr>
          <w:rFonts w:ascii="Arial" w:cs="Arial" w:eastAsia="Arial" w:hAnsi="Arial"/>
          <w:sz w:val="18"/>
          <w:szCs w:val="18"/>
          <w:color w:val="auto"/>
        </w:rPr>
      </w:pPr>
    </w:p>
    <w:p>
      <w:pPr>
        <w:jc w:val="both"/>
        <w:ind w:left="8" w:firstLine="1287"/>
        <w:spacing w:after="0" w:line="268" w:lineRule="auto"/>
        <w:tabs>
          <w:tab w:leader="none" w:pos="1617" w:val="left"/>
        </w:tabs>
        <w:numPr>
          <w:ilvl w:val="1"/>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by the Company Without Cause.</w:t>
      </w:r>
      <w:r>
        <w:rPr>
          <w:rFonts w:ascii="Arial" w:cs="Arial" w:eastAsia="Arial" w:hAnsi="Arial"/>
          <w:sz w:val="18"/>
          <w:szCs w:val="18"/>
          <w:b w:val="1"/>
          <w:bCs w:val="1"/>
          <w:color w:val="auto"/>
        </w:rPr>
        <w:t xml:space="preserve"> </w:t>
      </w:r>
      <w:r>
        <w:rPr>
          <w:rFonts w:ascii="Arial" w:cs="Arial" w:eastAsia="Arial" w:hAnsi="Arial"/>
          <w:sz w:val="18"/>
          <w:szCs w:val="18"/>
          <w:color w:val="auto"/>
        </w:rPr>
        <w:t>If Employee’s employment is terminated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without Cause as provided in </w:t>
      </w:r>
      <w:r>
        <w:rPr>
          <w:rFonts w:ascii="Arial" w:cs="Arial" w:eastAsia="Arial" w:hAnsi="Arial"/>
          <w:sz w:val="18"/>
          <w:szCs w:val="18"/>
          <w:u w:val="single" w:color="auto"/>
          <w:color w:val="auto"/>
        </w:rPr>
        <w:t>Section 4(c)</w:t>
      </w:r>
      <w:r>
        <w:rPr>
          <w:rFonts w:ascii="Arial" w:cs="Arial" w:eastAsia="Arial" w:hAnsi="Arial"/>
          <w:sz w:val="18"/>
          <w:szCs w:val="18"/>
          <w:color w:val="auto"/>
        </w:rPr>
        <w:t xml:space="preserve">, then Employee shall be paid or provided with the Accrued Obligations through the Date of Termination and, subject to </w:t>
      </w:r>
      <w:r>
        <w:rPr>
          <w:rFonts w:ascii="Arial" w:cs="Arial" w:eastAsia="Arial" w:hAnsi="Arial"/>
          <w:sz w:val="18"/>
          <w:szCs w:val="18"/>
          <w:u w:val="single" w:color="auto"/>
          <w:color w:val="auto"/>
        </w:rPr>
        <w:t>Section 5(c)</w:t>
      </w:r>
      <w:r>
        <w:rPr>
          <w:rFonts w:ascii="Arial" w:cs="Arial" w:eastAsia="Arial" w:hAnsi="Arial"/>
          <w:sz w:val="18"/>
          <w:szCs w:val="18"/>
          <w:color w:val="auto"/>
        </w:rPr>
        <w:t>. Employee shall also be paid or provided with the following:</w:t>
      </w:r>
    </w:p>
    <w:p>
      <w:pPr>
        <w:spacing w:after="0" w:line="346" w:lineRule="exact"/>
        <w:rPr>
          <w:rFonts w:ascii="Arial" w:cs="Arial" w:eastAsia="Arial" w:hAnsi="Arial"/>
          <w:sz w:val="18"/>
          <w:szCs w:val="18"/>
          <w:color w:val="auto"/>
        </w:rPr>
      </w:pPr>
    </w:p>
    <w:p>
      <w:pPr>
        <w:jc w:val="both"/>
        <w:ind w:left="648" w:firstLine="1205"/>
        <w:spacing w:after="0" w:line="262" w:lineRule="auto"/>
        <w:tabs>
          <w:tab w:leader="none" w:pos="2267" w:val="left"/>
        </w:tabs>
        <w:numPr>
          <w:ilvl w:val="2"/>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Severance.</w:t>
      </w:r>
      <w:r>
        <w:rPr>
          <w:rFonts w:ascii="Arial" w:cs="Arial" w:eastAsia="Arial" w:hAnsi="Arial"/>
          <w:sz w:val="18"/>
          <w:szCs w:val="18"/>
          <w:b w:val="1"/>
          <w:bCs w:val="1"/>
          <w:color w:val="auto"/>
        </w:rPr>
        <w:t xml:space="preserve"> </w:t>
      </w:r>
      <w:r>
        <w:rPr>
          <w:rFonts w:ascii="Arial" w:cs="Arial" w:eastAsia="Arial" w:hAnsi="Arial"/>
          <w:sz w:val="18"/>
          <w:szCs w:val="18"/>
          <w:color w:val="auto"/>
        </w:rPr>
        <w:t>A severance payment (the “</w:t>
      </w:r>
      <w:r>
        <w:rPr>
          <w:rFonts w:ascii="Arial" w:cs="Arial" w:eastAsia="Arial" w:hAnsi="Arial"/>
          <w:sz w:val="18"/>
          <w:szCs w:val="18"/>
          <w:b w:val="1"/>
          <w:bCs w:val="1"/>
          <w:u w:val="single" w:color="auto"/>
          <w:color w:val="auto"/>
        </w:rPr>
        <w:t>Severance Amount</w:t>
      </w:r>
      <w:r>
        <w:rPr>
          <w:rFonts w:ascii="Arial" w:cs="Arial" w:eastAsia="Arial" w:hAnsi="Arial"/>
          <w:sz w:val="18"/>
          <w:szCs w:val="18"/>
          <w:color w:val="auto"/>
        </w:rPr>
        <w:t>”) in the Amount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5(c), Section 6 and Section 11</w:t>
      </w:r>
      <w:r>
        <w:rPr>
          <w:rFonts w:ascii="Arial" w:cs="Arial" w:eastAsia="Arial" w:hAnsi="Arial"/>
          <w:sz w:val="18"/>
          <w:szCs w:val="18"/>
          <w:color w:val="auto"/>
        </w:rPr>
        <w:t xml:space="preserve">, the Severance Amount shall be paid to Employee in equal installments in accordance with the Company’s normal payroll practices over a period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Severance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amount of the severance shall be payable until the revocation period for the Release described in</w:t>
      </w:r>
    </w:p>
    <w:p>
      <w:pPr>
        <w:sectPr>
          <w:pgSz w:w="11900" w:h="16838" w:orient="portrait"/>
          <w:cols w:equalWidth="0" w:num="1">
            <w:col w:w="10588"/>
          </w:cols>
          <w:pgMar w:left="652" w:top="1403" w:right="659" w:bottom="1440" w:gutter="0" w:footer="0" w:header="0"/>
        </w:sectPr>
      </w:pPr>
    </w:p>
    <w:bookmarkStart w:id="86" w:name="page87"/>
    <w:bookmarkEnd w:id="86"/>
    <w:p>
      <w:pPr>
        <w:jc w:val="both"/>
        <w:spacing w:after="0" w:line="255" w:lineRule="auto"/>
        <w:rPr>
          <w:sz w:val="20"/>
          <w:szCs w:val="20"/>
          <w:color w:val="auto"/>
        </w:rPr>
      </w:pPr>
      <w:r>
        <w:rPr>
          <w:rFonts w:ascii="Arial" w:cs="Arial" w:eastAsia="Arial" w:hAnsi="Arial"/>
          <w:sz w:val="18"/>
          <w:szCs w:val="18"/>
          <w:u w:val="single" w:color="auto"/>
          <w:color w:val="auto"/>
        </w:rPr>
        <w:t>Section 5(c)</w:t>
      </w:r>
      <w:r>
        <w:rPr>
          <w:rFonts w:ascii="Arial" w:cs="Arial" w:eastAsia="Arial" w:hAnsi="Arial"/>
          <w:sz w:val="18"/>
          <w:szCs w:val="18"/>
          <w:color w:val="auto"/>
        </w:rPr>
        <w:t xml:space="preserve"> shall have expired (and Employee shall not have revoked Employee’s agreements in the Release), and any amount that would have been paid to Employee but for this proviso shall be accrued and paid to Employee on the first payroll date immediately following the expiration of such revocation period. Notwithstanding the foregoing, and in addition to any other rights or remedies the Company may have at law or in equity, if Employee breaches any of the provisions of the Restrictive Covenant Agreement, Employee’s right to receive further payments of the Severance Amount shall be terminated. Severance provided pursuant to this Agreement is in lieu of, and not in addition to, any severance that might be available to Employee by law, contract, policy, or otherwise, all of which are hereby waived by Employee. If Employee receives any other severance, the Severance Amount shall be reduced by the amount of such other severance.</w:t>
      </w:r>
    </w:p>
    <w:p>
      <w:pPr>
        <w:spacing w:after="0" w:line="171" w:lineRule="exact"/>
        <w:rPr>
          <w:sz w:val="20"/>
          <w:szCs w:val="20"/>
          <w:color w:val="auto"/>
        </w:rPr>
      </w:pPr>
    </w:p>
    <w:p>
      <w:pPr>
        <w:jc w:val="both"/>
        <w:ind w:firstLine="1166"/>
        <w:spacing w:after="0" w:line="254" w:lineRule="auto"/>
        <w:tabs>
          <w:tab w:leader="none" w:pos="1607" w:val="left"/>
        </w:tabs>
        <w:numPr>
          <w:ilvl w:val="2"/>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Health Care Continuation.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if the Employee is covered by the Company’s health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Health Plan</w:t>
      </w:r>
      <w:r>
        <w:rPr>
          <w:rFonts w:ascii="Arial" w:cs="Arial" w:eastAsia="Arial" w:hAnsi="Arial"/>
          <w:sz w:val="18"/>
          <w:szCs w:val="18"/>
          <w:color w:val="auto"/>
        </w:rPr>
        <w:t>”), as in effect from time to time, on the Date of Termination and timely elects to continue such coverage under COBRA, then the Company shall continue the Employee’s (and the Employee’s eligible dependents, if any) Health Plan coverage, at the premium expense of the Company, for up to 18-months from Date of Termination, or until such time as the Employee ceases to be eligible for COBRA. If the provision to Employee of the insurance coverage described in this Section would either: (A) violate the terms of the Health Plan (or any related insurance policies), or (B) violate any of the nondiscrimination requirements of the Internal Revenue Code of 1986, as amended (the “</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xml:space="preserve">”), applicable to the health insurance coverage, then the Company, in its sole discretion, may elect to pay Employee, in lieu of the health insurance coverage described under this </w:t>
      </w:r>
      <w:r>
        <w:rPr>
          <w:rFonts w:ascii="Arial" w:cs="Arial" w:eastAsia="Arial" w:hAnsi="Arial"/>
          <w:sz w:val="18"/>
          <w:szCs w:val="18"/>
          <w:u w:val="single" w:color="auto"/>
          <w:color w:val="auto"/>
        </w:rPr>
        <w:t>Section 5(b)(ii)</w:t>
      </w:r>
      <w:r>
        <w:rPr>
          <w:rFonts w:ascii="Arial" w:cs="Arial" w:eastAsia="Arial" w:hAnsi="Arial"/>
          <w:sz w:val="18"/>
          <w:szCs w:val="18"/>
          <w:color w:val="auto"/>
        </w:rPr>
        <w:t>, a lump-sum cash payment equal to the total monthly premiums (or in the case of a self-funded plan, the cost of COBRA continuation coverage) that would have been paid by the Company for Employee under the Health Plan.</w:t>
      </w:r>
    </w:p>
    <w:p>
      <w:pPr>
        <w:spacing w:after="0" w:line="168" w:lineRule="exact"/>
        <w:rPr>
          <w:rFonts w:ascii="Arial" w:cs="Arial" w:eastAsia="Arial" w:hAnsi="Arial"/>
          <w:sz w:val="18"/>
          <w:szCs w:val="18"/>
          <w:color w:val="auto"/>
        </w:rPr>
      </w:pPr>
    </w:p>
    <w:p>
      <w:pPr>
        <w:jc w:val="both"/>
        <w:ind w:left="-640" w:firstLine="1287"/>
        <w:spacing w:after="0" w:line="255" w:lineRule="auto"/>
        <w:tabs>
          <w:tab w:leader="none" w:pos="973" w:val="left"/>
        </w:tabs>
        <w:numPr>
          <w:ilvl w:val="1"/>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Release.</w:t>
      </w:r>
      <w:r>
        <w:rPr>
          <w:rFonts w:ascii="Arial" w:cs="Arial" w:eastAsia="Arial" w:hAnsi="Arial"/>
          <w:sz w:val="18"/>
          <w:szCs w:val="18"/>
          <w:b w:val="1"/>
          <w:bCs w:val="1"/>
          <w:color w:val="auto"/>
        </w:rPr>
        <w:t xml:space="preserve"> </w:t>
      </w:r>
      <w:r>
        <w:rPr>
          <w:rFonts w:ascii="Arial" w:cs="Arial" w:eastAsia="Arial" w:hAnsi="Arial"/>
          <w:sz w:val="18"/>
          <w:szCs w:val="18"/>
          <w:color w:val="auto"/>
        </w:rPr>
        <w:t>Any payment that may become due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5(b)</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subject to Employee signing a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release of claims in favor of the Company and related persons and entities in a form and manner satisfactory to the Company (the “</w:t>
      </w:r>
      <w:r>
        <w:rPr>
          <w:rFonts w:ascii="Arial" w:cs="Arial" w:eastAsia="Arial" w:hAnsi="Arial"/>
          <w:sz w:val="18"/>
          <w:szCs w:val="18"/>
          <w:b w:val="1"/>
          <w:bCs w:val="1"/>
          <w:u w:val="single" w:color="auto"/>
          <w:color w:val="auto"/>
        </w:rPr>
        <w:t>Release</w:t>
      </w:r>
      <w:r>
        <w:rPr>
          <w:rFonts w:ascii="Arial" w:cs="Arial" w:eastAsia="Arial" w:hAnsi="Arial"/>
          <w:sz w:val="18"/>
          <w:szCs w:val="18"/>
          <w:color w:val="auto"/>
        </w:rPr>
        <w:t xml:space="preserve">”) within the 21-day (or, if required by law, 45-day) period following the Date of Termination and the expiration of the seven-day revocation period for the Release. In the event Employee fails to sign such Release within the 21-day (or 45-day) period following the Date of Termination or revokes the Release prior to the expiration of the seven-day revocation period for the Release, Employee shall reimburse the Company for any payment made to Employee under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prior to the expiration of such seven-day revocation period for the Release. In addition, notwithstanding anything else herein to the contrary, Employee’s entitlement to the payments and benefits described in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shall be contingent upon Employee abiding by and not breaching any of the covenants set forth in the Release and in the Restrictive Covenant Agreement.</w:t>
      </w:r>
    </w:p>
    <w:p>
      <w:pPr>
        <w:spacing w:after="0" w:line="207" w:lineRule="exact"/>
        <w:rPr>
          <w:rFonts w:ascii="Arial" w:cs="Arial" w:eastAsia="Arial" w:hAnsi="Arial"/>
          <w:sz w:val="18"/>
          <w:szCs w:val="18"/>
          <w:color w:val="auto"/>
        </w:rPr>
      </w:pPr>
    </w:p>
    <w:p>
      <w:pPr>
        <w:ind w:left="640" w:hanging="640"/>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w:t>
      </w:r>
    </w:p>
    <w:p>
      <w:pPr>
        <w:spacing w:after="0" w:line="265" w:lineRule="exact"/>
        <w:rPr>
          <w:rFonts w:ascii="Arial" w:cs="Arial" w:eastAsia="Arial" w:hAnsi="Arial"/>
          <w:sz w:val="18"/>
          <w:szCs w:val="18"/>
          <w:color w:val="auto"/>
        </w:rPr>
      </w:pPr>
    </w:p>
    <w:p>
      <w:pPr>
        <w:jc w:val="both"/>
        <w:ind w:left="-640" w:firstLine="1287"/>
        <w:spacing w:after="0" w:line="254" w:lineRule="auto"/>
        <w:tabs>
          <w:tab w:leader="none" w:pos="969" w:val="left"/>
        </w:tabs>
        <w:numPr>
          <w:ilvl w:val="1"/>
          <w:numId w:val="45"/>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to the extent that any payment or benefit described in this Agreement would be considered deferred compensation subject to Section 409A(a) of the Code, and to the extent that such payment or benefit is payable upon Employee’s termination of employment or within a certain time following the “Date of Termination,” then such payments or benefits shall be payable only upon Employee’s “separation from service” within the meaning of Section 409A of the Code and the “Date of Termination” shall be the date on which Employee experiences such “separation from service.” The determination of whether and when a “separation from service” has occurred shall be made in accordance with the presumptions set forth in Treasury Regulation Section 1.409A-l(h). If this Agreement provides for a payment to be made within a period of time, the date within such period on which such payment shall be made shall be determined by the Company in its sole discretion and, for the avoidance of doubt, the Company will pay the Severance Amount after the 45</w:t>
      </w:r>
      <w:r>
        <w:rPr>
          <w:rFonts w:ascii="Arial" w:cs="Arial" w:eastAsia="Arial" w:hAnsi="Arial"/>
          <w:sz w:val="11"/>
          <w:szCs w:val="11"/>
          <w:color w:val="auto"/>
        </w:rPr>
        <w:t>th</w:t>
      </w:r>
      <w:r>
        <w:rPr>
          <w:rFonts w:ascii="Arial" w:cs="Arial" w:eastAsia="Arial" w:hAnsi="Arial"/>
          <w:sz w:val="18"/>
          <w:szCs w:val="18"/>
          <w:color w:val="auto"/>
        </w:rPr>
        <w:t xml:space="preserve"> day following the Date of Termination.</w:t>
      </w:r>
    </w:p>
    <w:p>
      <w:pPr>
        <w:spacing w:after="0" w:line="212" w:lineRule="exact"/>
        <w:rPr>
          <w:rFonts w:ascii="Arial" w:cs="Arial" w:eastAsia="Arial" w:hAnsi="Arial"/>
          <w:sz w:val="18"/>
          <w:szCs w:val="18"/>
          <w:color w:val="auto"/>
        </w:rPr>
      </w:pPr>
    </w:p>
    <w:p>
      <w:pPr>
        <w:jc w:val="both"/>
        <w:ind w:left="-640" w:firstLine="1287"/>
        <w:spacing w:after="0" w:line="262" w:lineRule="auto"/>
        <w:tabs>
          <w:tab w:leader="none" w:pos="969" w:val="left"/>
        </w:tabs>
        <w:numPr>
          <w:ilvl w:val="1"/>
          <w:numId w:val="45"/>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if at the time of Employee’s “separation from service,” Employee is a “specified employee” within the meaning of Section 409A(a)(2)(B)(i) of the Code, then, to the extent any payment or benefit that Employee becomes entitled to under this Agreement on account of Employee’s “separation from service” would be considered deferred</w:t>
      </w:r>
    </w:p>
    <w:p>
      <w:pPr>
        <w:sectPr>
          <w:pgSz w:w="11900" w:h="16838" w:orient="portrait"/>
          <w:cols w:equalWidth="0" w:num="1">
            <w:col w:w="9940"/>
          </w:cols>
          <w:pgMar w:left="1300" w:top="1403" w:right="659" w:bottom="1440" w:gutter="0" w:footer="0" w:header="0"/>
        </w:sectPr>
      </w:pPr>
    </w:p>
    <w:bookmarkStart w:id="87" w:name="page88"/>
    <w:bookmarkEnd w:id="87"/>
    <w:p>
      <w:pPr>
        <w:ind w:right="20"/>
        <w:spacing w:after="0" w:line="287" w:lineRule="auto"/>
        <w:rPr>
          <w:sz w:val="20"/>
          <w:szCs w:val="20"/>
          <w:color w:val="auto"/>
        </w:rPr>
      </w:pPr>
      <w:r>
        <w:rPr>
          <w:rFonts w:ascii="Arial" w:cs="Arial" w:eastAsia="Arial" w:hAnsi="Arial"/>
          <w:sz w:val="18"/>
          <w:szCs w:val="18"/>
          <w:color w:val="auto"/>
        </w:rPr>
        <w:t>compensation subject to Section 409A(a) of the Code, such payment shall not be payable and such benefit shall not be provided until the date that is the earlier of (A) six months and one day after Employee’s “separation from service”, or (B) Employee’s death.</w:t>
      </w:r>
    </w:p>
    <w:p>
      <w:pPr>
        <w:spacing w:after="0" w:line="139" w:lineRule="exact"/>
        <w:rPr>
          <w:sz w:val="20"/>
          <w:szCs w:val="20"/>
          <w:color w:val="auto"/>
        </w:rPr>
      </w:pPr>
    </w:p>
    <w:p>
      <w:pPr>
        <w:jc w:val="both"/>
        <w:ind w:firstLine="1287"/>
        <w:spacing w:after="0" w:line="257" w:lineRule="auto"/>
        <w:tabs>
          <w:tab w:leader="none" w:pos="1613"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in-kind benefits provided and expenses eligible for reimbursement under this Agreement shall be provided by the Company or incurred by Employee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pacing w:after="0" w:line="209" w:lineRule="exact"/>
        <w:rPr>
          <w:rFonts w:ascii="Arial" w:cs="Arial" w:eastAsia="Arial" w:hAnsi="Arial"/>
          <w:sz w:val="18"/>
          <w:szCs w:val="18"/>
          <w:color w:val="auto"/>
        </w:rPr>
      </w:pPr>
    </w:p>
    <w:p>
      <w:pPr>
        <w:jc w:val="both"/>
        <w:ind w:firstLine="1287"/>
        <w:spacing w:after="0" w:line="268" w:lineRule="auto"/>
        <w:tabs>
          <w:tab w:leader="none" w:pos="1609"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Employee or any other person if any provisions of this Agreement are determined to constitute deferred compensation subject to Section 409A of the Code but do not satisfy an exemption from, or the conditions of, such Section.</w:t>
      </w:r>
    </w:p>
    <w:p>
      <w:pPr>
        <w:spacing w:after="0" w:line="170" w:lineRule="exact"/>
        <w:rPr>
          <w:rFonts w:ascii="Arial" w:cs="Arial" w:eastAsia="Arial" w:hAnsi="Arial"/>
          <w:sz w:val="18"/>
          <w:szCs w:val="18"/>
          <w:color w:val="auto"/>
        </w:rPr>
      </w:pPr>
    </w:p>
    <w:p>
      <w:pPr>
        <w:jc w:val="both"/>
        <w:ind w:firstLine="639"/>
        <w:spacing w:after="0" w:line="265" w:lineRule="auto"/>
        <w:tabs>
          <w:tab w:leader="none" w:pos="959"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Covenant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obligations under this Agreement, including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to provide severance and to allow Employee to participate in the other compensation programs as provided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is conditioned on Employee signing a Restrictive Covenant Agreement in the form of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Restrictive Covenant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w:t>
      </w:r>
    </w:p>
    <w:p>
      <w:pPr>
        <w:spacing w:after="0" w:line="152" w:lineRule="exact"/>
        <w:rPr>
          <w:rFonts w:ascii="Arial" w:cs="Arial" w:eastAsia="Arial" w:hAnsi="Arial"/>
          <w:sz w:val="18"/>
          <w:szCs w:val="18"/>
          <w:color w:val="auto"/>
        </w:rPr>
      </w:pPr>
    </w:p>
    <w:p>
      <w:pPr>
        <w:jc w:val="both"/>
        <w:ind w:firstLine="639"/>
        <w:spacing w:after="0" w:line="253" w:lineRule="auto"/>
        <w:tabs>
          <w:tab w:leader="none" w:pos="959"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 of Disputes.</w:t>
      </w:r>
      <w:r>
        <w:rPr>
          <w:rFonts w:ascii="Arial" w:cs="Arial" w:eastAsia="Arial" w:hAnsi="Arial"/>
          <w:sz w:val="18"/>
          <w:szCs w:val="18"/>
          <w:b w:val="1"/>
          <w:bCs w:val="1"/>
          <w:color w:val="auto"/>
        </w:rPr>
        <w:t xml:space="preserve"> </w:t>
      </w:r>
      <w:r>
        <w:rPr>
          <w:rFonts w:ascii="Arial" w:cs="Arial" w:eastAsia="Arial" w:hAnsi="Arial"/>
          <w:sz w:val="18"/>
          <w:szCs w:val="18"/>
          <w:color w:val="auto"/>
        </w:rPr>
        <w:t>Any controversy or claim arising out of or relating to this Agreement or the breach thereof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arising out of Employee’s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w:t>
      </w:r>
      <w:r>
        <w:rPr>
          <w:rFonts w:ascii="Arial" w:cs="Arial" w:eastAsia="Arial" w:hAnsi="Arial"/>
          <w:sz w:val="18"/>
          <w:szCs w:val="18"/>
          <w:b w:val="1"/>
          <w:bCs w:val="1"/>
          <w:u w:val="single" w:color="auto"/>
          <w:color w:val="auto"/>
        </w:rPr>
        <w:t>AAA</w:t>
      </w:r>
      <w:r>
        <w:rPr>
          <w:rFonts w:ascii="Arial" w:cs="Arial" w:eastAsia="Arial" w:hAnsi="Arial"/>
          <w:sz w:val="18"/>
          <w:szCs w:val="18"/>
          <w:color w:val="auto"/>
        </w:rPr>
        <w:t xml:space="preserve">”) in Chicago, Illinois in accordance with the Employment Dispute Resolution Rules of the AAA, including, but not limited to, the rules and procedures applicable to the selection of arbitrators. In the event that any person or entity other than Employee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be specifically enforceable. Notwithstanding the foregoing,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not preclude either party from pursuing a court action for the sole purpose of obtaining a temporary restraining order or a preliminary injunction in circumstances in which such relief is appropriate (including, without limitation, the Company’s enforcement of the Restrictive Covenant Agreement):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any other relief shall be pursued through an arbitration proceeding pursuant to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Further notwithstanding the foregoing,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not limit the Company’s ability to terminate Employee’s employment at any time.</w:t>
      </w:r>
    </w:p>
    <w:p>
      <w:pPr>
        <w:spacing w:after="0" w:line="212" w:lineRule="exact"/>
        <w:rPr>
          <w:rFonts w:ascii="Arial" w:cs="Arial" w:eastAsia="Arial" w:hAnsi="Arial"/>
          <w:sz w:val="18"/>
          <w:szCs w:val="18"/>
          <w:color w:val="auto"/>
        </w:rPr>
      </w:pPr>
    </w:p>
    <w:p>
      <w:pPr>
        <w:jc w:val="both"/>
        <w:ind w:firstLine="639"/>
        <w:spacing w:after="0" w:line="268" w:lineRule="auto"/>
        <w:tabs>
          <w:tab w:leader="none" w:pos="959"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Integration.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constitutes the entire agreement between the parties with respect to the subject matter</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and supersedes all prior agreements between the parties concerning such subject matter, including, but not limited to, any prior Agreement and/or compensation plan to which Employee and the Company or any of its affiliates are parties.</w:t>
      </w:r>
    </w:p>
    <w:p>
      <w:pPr>
        <w:spacing w:after="0" w:line="197" w:lineRule="exact"/>
        <w:rPr>
          <w:rFonts w:ascii="Arial" w:cs="Arial" w:eastAsia="Arial" w:hAnsi="Arial"/>
          <w:sz w:val="18"/>
          <w:szCs w:val="18"/>
          <w:color w:val="auto"/>
        </w:rPr>
      </w:pPr>
    </w:p>
    <w:p>
      <w:pPr>
        <w:ind w:firstLine="639"/>
        <w:spacing w:after="0" w:line="287" w:lineRule="auto"/>
        <w:tabs>
          <w:tab w:leader="none" w:pos="964"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All payments made by the Company to Employee under this Agreement shall be net of any tax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required to be withheld by the Company under applicable law, as determined by the Company in its sole discretion.</w:t>
      </w:r>
    </w:p>
    <w:p>
      <w:pPr>
        <w:spacing w:after="0" w:line="179" w:lineRule="exact"/>
        <w:rPr>
          <w:rFonts w:ascii="Arial" w:cs="Arial" w:eastAsia="Arial" w:hAnsi="Arial"/>
          <w:sz w:val="18"/>
          <w:szCs w:val="18"/>
          <w:color w:val="auto"/>
        </w:rPr>
      </w:pPr>
    </w:p>
    <w:p>
      <w:pPr>
        <w:jc w:val="both"/>
        <w:ind w:firstLine="639"/>
        <w:spacing w:after="0" w:line="259" w:lineRule="auto"/>
        <w:tabs>
          <w:tab w:leader="none" w:pos="951"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280G Limitations</w:t>
      </w:r>
      <w:r>
        <w:rPr>
          <w:rFonts w:ascii="Arial" w:cs="Arial" w:eastAsia="Arial" w:hAnsi="Arial"/>
          <w:sz w:val="18"/>
          <w:szCs w:val="18"/>
          <w:color w:val="auto"/>
        </w:rPr>
        <w:t>. Notwithstanding anything in this Agreement to the contrary, in the event that the severance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provided for in this Agreement or otherwise payable to Employee (a) constitute “parachute payments” within the meaning of Section 280G of the Code and (b) would be subject to the excise tax imposed by Section 4999 of the Code, then such benefits shall be either be: (i) delivered in full, or (ii) delivered as to such lesser extent which would result in no portion of such severance benefits being subject to excise tax under Section 4999 of the Code, whichever of the foregoing amounts, taking</w:t>
      </w:r>
    </w:p>
    <w:p>
      <w:pPr>
        <w:sectPr>
          <w:pgSz w:w="11900" w:h="16838" w:orient="portrait"/>
          <w:cols w:equalWidth="0" w:num="1">
            <w:col w:w="10580"/>
          </w:cols>
          <w:pgMar w:left="660" w:top="1403" w:right="659" w:bottom="1440" w:gutter="0" w:footer="0" w:header="0"/>
        </w:sectPr>
      </w:pPr>
    </w:p>
    <w:bookmarkStart w:id="88" w:name="page89"/>
    <w:bookmarkEnd w:id="88"/>
    <w:p>
      <w:pPr>
        <w:jc w:val="both"/>
        <w:spacing w:after="0" w:line="252" w:lineRule="auto"/>
        <w:rPr>
          <w:sz w:val="20"/>
          <w:szCs w:val="20"/>
          <w:color w:val="auto"/>
        </w:rPr>
      </w:pPr>
      <w:r>
        <w:rPr>
          <w:rFonts w:ascii="Arial" w:cs="Arial" w:eastAsia="Arial" w:hAnsi="Arial"/>
          <w:sz w:val="18"/>
          <w:szCs w:val="18"/>
          <w:color w:val="auto"/>
        </w:rPr>
        <w:t xml:space="preserve">into account the applicable federal, state and local income and employment taxes and the excise tax imposed by Section 4999 of the Code, results in the receipt by Employee, on an after-tax basis, of the greatest amount of benefits, notwithstanding that all or some portion of such benefits may be subject to excise tax under Section 4999 of the Code. Any determination required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will be made in writing by an accounting firm selected by the Company or such other person or entity to which the parties mutually agree (the “</w:t>
      </w:r>
      <w:r>
        <w:rPr>
          <w:rFonts w:ascii="Arial" w:cs="Arial" w:eastAsia="Arial" w:hAnsi="Arial"/>
          <w:sz w:val="18"/>
          <w:szCs w:val="18"/>
          <w:b w:val="1"/>
          <w:bCs w:val="1"/>
          <w:color w:val="auto"/>
        </w:rPr>
        <w:t>Accountants</w:t>
      </w:r>
      <w:r>
        <w:rPr>
          <w:rFonts w:ascii="Arial" w:cs="Arial" w:eastAsia="Arial" w:hAnsi="Arial"/>
          <w:sz w:val="18"/>
          <w:szCs w:val="18"/>
          <w:color w:val="auto"/>
        </w:rPr>
        <w:t xml:space="preserve">”), whose determination will be conclusive and binding upon Employee and the Company for all purposes. For purposes of making the calculations required by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the Accountants may make reasonable assumptions and approximations concerning applicable taxes and may rely on reasonable, good faith interpretations concerning the application of Sections 280G and 4999 of the Code. The Company and Employee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Any reduction in payments and/or benefits required by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occur in the following order: (A) cash payments shall be reduced first and in reverse chronological order such that the cash payment owed on the latest date following the occurrence of the event triggering such excise tax will be the first cash payment to be reduced; (B) accelerated vesting of stock awards, if any, shall be cancelled/reduced next and in the reverse order of the date of grant for such stock awards (i.e., the vesting of the most recently granted stock awards will be reduced first), with full value awards reversed before any stock option or stock appreciation rights are reduced; and (C) deferred compensation amounts subject to Section 409A shall be reduced last.</w:t>
      </w:r>
    </w:p>
    <w:p>
      <w:pPr>
        <w:spacing w:after="0" w:line="181" w:lineRule="exact"/>
        <w:rPr>
          <w:sz w:val="20"/>
          <w:szCs w:val="20"/>
          <w:color w:val="auto"/>
        </w:rPr>
      </w:pPr>
    </w:p>
    <w:p>
      <w:pPr>
        <w:jc w:val="both"/>
        <w:ind w:firstLine="639"/>
        <w:spacing w:after="0" w:line="259" w:lineRule="auto"/>
        <w:tabs>
          <w:tab w:leader="none" w:pos="964"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Enforceability.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portion or provision of this Agreement (including, without limitation, any portion or provision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206" w:lineRule="exact"/>
        <w:rPr>
          <w:rFonts w:ascii="Arial" w:cs="Arial" w:eastAsia="Arial" w:hAnsi="Arial"/>
          <w:sz w:val="18"/>
          <w:szCs w:val="18"/>
          <w:color w:val="auto"/>
        </w:rPr>
      </w:pPr>
    </w:p>
    <w:p>
      <w:pPr>
        <w:ind w:firstLine="639"/>
        <w:spacing w:after="0" w:line="287" w:lineRule="auto"/>
        <w:tabs>
          <w:tab w:leader="none" w:pos="964"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this Agreement shall survive the termination of this Agreement and/or the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employment to the extent necessary to effectuate the terms contained herein.</w:t>
      </w:r>
    </w:p>
    <w:p>
      <w:pPr>
        <w:spacing w:after="0" w:line="125" w:lineRule="exact"/>
        <w:rPr>
          <w:rFonts w:ascii="Arial" w:cs="Arial" w:eastAsia="Arial" w:hAnsi="Arial"/>
          <w:sz w:val="18"/>
          <w:szCs w:val="18"/>
          <w:color w:val="auto"/>
        </w:rPr>
      </w:pPr>
    </w:p>
    <w:p>
      <w:pPr>
        <w:jc w:val="both"/>
        <w:ind w:firstLine="639"/>
        <w:spacing w:after="0" w:line="257" w:lineRule="auto"/>
        <w:tabs>
          <w:tab w:leader="none" w:pos="964"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No waiver of any provision hereof shall be effective unless made in writing and signed by the waiving party. The</w:t>
      </w:r>
      <w:r>
        <w:rPr>
          <w:rFonts w:ascii="Arial" w:cs="Arial" w:eastAsia="Arial" w:hAnsi="Arial"/>
          <w:sz w:val="18"/>
          <w:szCs w:val="18"/>
          <w:b w:val="1"/>
          <w:bCs w:val="1"/>
          <w:color w:val="auto"/>
        </w:rPr>
        <w:t xml:space="preserve"> </w:t>
      </w:r>
      <w:r>
        <w:rPr>
          <w:rFonts w:ascii="Arial" w:cs="Arial" w:eastAsia="Arial" w:hAnsi="Arial"/>
          <w:sz w:val="18"/>
          <w:szCs w:val="18"/>
          <w:color w:val="auto"/>
        </w:rPr>
        <w:t>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52" w:lineRule="exact"/>
        <w:rPr>
          <w:rFonts w:ascii="Arial" w:cs="Arial" w:eastAsia="Arial" w:hAnsi="Arial"/>
          <w:sz w:val="18"/>
          <w:szCs w:val="18"/>
          <w:color w:val="auto"/>
        </w:rPr>
      </w:pPr>
    </w:p>
    <w:p>
      <w:pPr>
        <w:jc w:val="both"/>
        <w:ind w:firstLine="639"/>
        <w:spacing w:after="0" w:line="262" w:lineRule="auto"/>
        <w:tabs>
          <w:tab w:leader="none" w:pos="964"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notices, requests, demands and other communications provided for by this Agreement shall be sufficient if</w:t>
      </w:r>
      <w:r>
        <w:rPr>
          <w:rFonts w:ascii="Arial" w:cs="Arial" w:eastAsia="Arial" w:hAnsi="Arial"/>
          <w:sz w:val="18"/>
          <w:szCs w:val="18"/>
          <w:b w:val="1"/>
          <w:bCs w:val="1"/>
          <w:color w:val="auto"/>
        </w:rPr>
        <w:t xml:space="preserve"> </w:t>
      </w:r>
      <w:r>
        <w:rPr>
          <w:rFonts w:ascii="Arial" w:cs="Arial" w:eastAsia="Arial" w:hAnsi="Arial"/>
          <w:sz w:val="18"/>
          <w:szCs w:val="18"/>
          <w:color w:val="auto"/>
        </w:rPr>
        <w:t>in writing and delivered in person or sent by a nationally recognized overnight courier service or by registered or certified mail, postage prepaid, return receipt requested, to Employee at the last address Employee has filed in writing with the Company or, in the case of the Company, at its main offices, attention of the General Counsel.</w:t>
      </w:r>
    </w:p>
    <w:p>
      <w:pPr>
        <w:spacing w:after="0" w:line="203" w:lineRule="exact"/>
        <w:rPr>
          <w:rFonts w:ascii="Arial" w:cs="Arial" w:eastAsia="Arial" w:hAnsi="Arial"/>
          <w:sz w:val="18"/>
          <w:szCs w:val="18"/>
          <w:color w:val="auto"/>
        </w:rPr>
      </w:pPr>
    </w:p>
    <w:p>
      <w:pPr>
        <w:ind w:firstLine="639"/>
        <w:spacing w:after="0" w:line="287" w:lineRule="auto"/>
        <w:tabs>
          <w:tab w:leader="none" w:pos="964"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amended or modified only by a written instrument signed by Employee and by a</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representative of the Company (other than Employee).</w:t>
      </w:r>
    </w:p>
    <w:p>
      <w:pPr>
        <w:spacing w:after="0" w:line="139" w:lineRule="exact"/>
        <w:rPr>
          <w:rFonts w:ascii="Arial" w:cs="Arial" w:eastAsia="Arial" w:hAnsi="Arial"/>
          <w:sz w:val="18"/>
          <w:szCs w:val="18"/>
          <w:color w:val="auto"/>
        </w:rPr>
      </w:pPr>
    </w:p>
    <w:p>
      <w:pPr>
        <w:ind w:right="20" w:firstLine="639"/>
        <w:spacing w:after="0" w:line="271" w:lineRule="auto"/>
        <w:tabs>
          <w:tab w:leader="none" w:pos="964"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construed under and be governed in all respects by the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Illinois without giving effect to the conflict of laws principles of such State.</w:t>
      </w:r>
    </w:p>
    <w:p>
      <w:pPr>
        <w:spacing w:after="0" w:line="153" w:lineRule="exact"/>
        <w:rPr>
          <w:rFonts w:ascii="Arial" w:cs="Arial" w:eastAsia="Arial" w:hAnsi="Arial"/>
          <w:sz w:val="18"/>
          <w:szCs w:val="18"/>
          <w:color w:val="auto"/>
        </w:rPr>
      </w:pPr>
    </w:p>
    <w:p>
      <w:pPr>
        <w:ind w:right="20" w:firstLine="639"/>
        <w:spacing w:after="0" w:line="271" w:lineRule="auto"/>
        <w:tabs>
          <w:tab w:leader="none" w:pos="964"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each of which when so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shall be taken to be an original; but such counterparts shall together constitute one and the same document.</w:t>
      </w:r>
    </w:p>
    <w:p>
      <w:pPr>
        <w:spacing w:after="0" w:line="156" w:lineRule="exact"/>
        <w:rPr>
          <w:sz w:val="20"/>
          <w:szCs w:val="20"/>
          <w:color w:val="auto"/>
        </w:rPr>
      </w:pPr>
    </w:p>
    <w:p>
      <w:pPr>
        <w:jc w:val="center"/>
        <w:ind w:right="200"/>
        <w:spacing w:after="0"/>
        <w:rPr>
          <w:sz w:val="20"/>
          <w:szCs w:val="20"/>
          <w:color w:val="auto"/>
        </w:rPr>
      </w:pPr>
      <w:r>
        <w:rPr>
          <w:rFonts w:ascii="Arial" w:cs="Arial" w:eastAsia="Arial" w:hAnsi="Arial"/>
          <w:sz w:val="18"/>
          <w:szCs w:val="18"/>
          <w:i w:val="1"/>
          <w:iCs w:val="1"/>
          <w:color w:val="auto"/>
        </w:rPr>
        <w:t>[Remainder of page intentionally left blank; Signature page follows.]</w:t>
      </w:r>
    </w:p>
    <w:p>
      <w:pPr>
        <w:sectPr>
          <w:pgSz w:w="11900" w:h="16838" w:orient="portrait"/>
          <w:cols w:equalWidth="0" w:num="1">
            <w:col w:w="10580"/>
          </w:cols>
          <w:pgMar w:left="660" w:top="1403" w:right="659" w:bottom="1440" w:gutter="0" w:footer="0" w:header="0"/>
        </w:sectPr>
      </w:pPr>
    </w:p>
    <w:bookmarkStart w:id="89" w:name="page90"/>
    <w:bookmarkEnd w:id="89"/>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 WITNESS WHEREOF, the parties have executed this Agreement effective as of the date set forth above.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140" w:type="dxa"/>
            <w:vAlign w:val="bottom"/>
            <w:vMerge w:val="restart"/>
          </w:tcPr>
          <w:p>
            <w:pPr>
              <w:spacing w:after="0"/>
              <w:rPr>
                <w:sz w:val="20"/>
                <w:szCs w:val="20"/>
                <w:color w:val="auto"/>
              </w:rPr>
            </w:pPr>
            <w:r>
              <w:rPr>
                <w:rFonts w:ascii="Arial" w:cs="Arial" w:eastAsia="Arial" w:hAnsi="Arial"/>
                <w:sz w:val="18"/>
                <w:szCs w:val="18"/>
                <w:b w:val="1"/>
                <w:bCs w:val="1"/>
                <w:color w:val="auto"/>
              </w:rPr>
              <w:t>REYNOLDS CONSUMER PRODUCTS</w:t>
            </w:r>
          </w:p>
        </w:tc>
        <w:tc>
          <w:tcPr>
            <w:tcW w:w="1960" w:type="dxa"/>
            <w:vAlign w:val="bottom"/>
          </w:tcPr>
          <w:p>
            <w:pPr>
              <w:ind w:left="960"/>
              <w:spacing w:after="0"/>
              <w:rPr>
                <w:sz w:val="20"/>
                <w:szCs w:val="20"/>
                <w:color w:val="auto"/>
              </w:rPr>
            </w:pPr>
            <w:r>
              <w:rPr>
                <w:rFonts w:ascii="Arial" w:cs="Arial" w:eastAsia="Arial" w:hAnsi="Arial"/>
                <w:sz w:val="18"/>
                <w:szCs w:val="18"/>
                <w:b w:val="1"/>
                <w:bCs w:val="1"/>
                <w:color w:val="auto"/>
                <w:w w:val="97"/>
              </w:rPr>
              <w:t>EMPLOYEE</w:t>
            </w:r>
          </w:p>
        </w:tc>
        <w:tc>
          <w:tcPr>
            <w:tcW w:w="0" w:type="dxa"/>
            <w:vAlign w:val="bottom"/>
          </w:tcPr>
          <w:p>
            <w:pPr>
              <w:spacing w:after="0"/>
              <w:rPr>
                <w:sz w:val="1"/>
                <w:szCs w:val="1"/>
                <w:color w:val="auto"/>
              </w:rPr>
            </w:pPr>
          </w:p>
        </w:tc>
      </w:tr>
      <w:tr>
        <w:trPr>
          <w:trHeight w:val="50"/>
        </w:trPr>
        <w:tc>
          <w:tcPr>
            <w:tcW w:w="4140" w:type="dxa"/>
            <w:vAlign w:val="bottom"/>
            <w:vMerge w:val="continue"/>
          </w:tcPr>
          <w:p>
            <w:pPr>
              <w:spacing w:after="0"/>
              <w:rPr>
                <w:sz w:val="4"/>
                <w:szCs w:val="4"/>
                <w:color w:val="auto"/>
              </w:rPr>
            </w:pPr>
          </w:p>
        </w:tc>
        <w:tc>
          <w:tcPr>
            <w:tcW w:w="1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4140" w:type="dxa"/>
            <w:vAlign w:val="bottom"/>
          </w:tcPr>
          <w:p>
            <w:pPr>
              <w:spacing w:after="0"/>
              <w:rPr>
                <w:sz w:val="20"/>
                <w:szCs w:val="20"/>
                <w:color w:val="auto"/>
              </w:rPr>
            </w:pPr>
            <w:r>
              <w:rPr>
                <w:rFonts w:ascii="Arial" w:cs="Arial" w:eastAsia="Arial" w:hAnsi="Arial"/>
                <w:sz w:val="18"/>
                <w:szCs w:val="18"/>
                <w:b w:val="1"/>
                <w:bCs w:val="1"/>
                <w:color w:val="auto"/>
              </w:rPr>
              <w:t>HOLDINGS LLC</w:t>
            </w: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gridSpan w:val="2"/>
          </w:tcPr>
          <w:p>
            <w:pPr>
              <w:spacing w:after="0"/>
              <w:rPr>
                <w:sz w:val="20"/>
                <w:szCs w:val="20"/>
                <w:color w:val="auto"/>
              </w:rPr>
            </w:pPr>
            <w:r>
              <w:rPr>
                <w:rFonts w:ascii="Arial" w:cs="Arial" w:eastAsia="Arial" w:hAnsi="Arial"/>
                <w:sz w:val="18"/>
                <w:szCs w:val="18"/>
                <w:color w:val="auto"/>
              </w:rPr>
              <w:t>By: /s/ Valerie Miller</w:t>
            </w: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/s/ Nathan D. Lowe</w:t>
            </w:r>
          </w:p>
        </w:tc>
        <w:tc>
          <w:tcPr>
            <w:tcW w:w="2680" w:type="dxa"/>
            <w:vAlign w:val="bottom"/>
            <w:vMerge w:val="restart"/>
          </w:tcPr>
          <w:p>
            <w:pPr>
              <w:ind w:left="1380"/>
              <w:spacing w:after="0"/>
              <w:rPr>
                <w:sz w:val="20"/>
                <w:szCs w:val="20"/>
                <w:color w:val="auto"/>
              </w:rPr>
            </w:pPr>
            <w:r>
              <w:rPr>
                <w:rFonts w:ascii="Arial" w:cs="Arial" w:eastAsia="Arial" w:hAnsi="Arial"/>
                <w:sz w:val="18"/>
                <w:szCs w:val="18"/>
                <w:color w:val="auto"/>
                <w:w w:val="99"/>
              </w:rPr>
              <w:t>Nathan D. Lowe</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6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720" w:type="dxa"/>
            <w:vAlign w:val="bottom"/>
            <w:gridSpan w:val="4"/>
          </w:tcPr>
          <w:p>
            <w:pPr>
              <w:ind w:left="320"/>
              <w:spacing w:after="0"/>
              <w:rPr>
                <w:sz w:val="20"/>
                <w:szCs w:val="20"/>
                <w:color w:val="auto"/>
              </w:rPr>
            </w:pPr>
            <w:r>
              <w:rPr>
                <w:rFonts w:ascii="Arial" w:cs="Arial" w:eastAsia="Arial" w:hAnsi="Arial"/>
                <w:sz w:val="18"/>
                <w:szCs w:val="18"/>
                <w:color w:val="auto"/>
              </w:rPr>
              <w:t>Valerie D. Miller Executive Vice</w:t>
            </w:r>
          </w:p>
        </w:tc>
        <w:tc>
          <w:tcPr>
            <w:tcW w:w="2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320"/>
        <w:spacing w:after="0"/>
        <w:rPr>
          <w:sz w:val="20"/>
          <w:szCs w:val="20"/>
          <w:color w:val="auto"/>
        </w:rPr>
      </w:pPr>
      <w:r>
        <w:rPr>
          <w:rFonts w:ascii="Arial" w:cs="Arial" w:eastAsia="Arial" w:hAnsi="Arial"/>
          <w:sz w:val="18"/>
          <w:szCs w:val="18"/>
          <w:color w:val="auto"/>
        </w:rPr>
        <w:t>President, Human Resources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10/28/2024</w:t>
      </w:r>
    </w:p>
    <w:p>
      <w:pPr>
        <w:spacing w:after="0" w:line="3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10/28/2024</w:t>
      </w:r>
    </w:p>
    <w:p>
      <w:pPr>
        <w:sectPr>
          <w:pgSz w:w="11900" w:h="16838" w:orient="portrait"/>
          <w:cols w:equalWidth="0" w:num="1">
            <w:col w:w="9719"/>
          </w:cols>
          <w:pgMar w:left="740" w:top="1440" w:right="1440" w:bottom="1440" w:gutter="0" w:footer="0" w:header="0"/>
        </w:sectPr>
      </w:pPr>
    </w:p>
    <w:bookmarkStart w:id="90" w:name="page91"/>
    <w:bookmarkEnd w:id="90"/>
    <w:p>
      <w:pPr>
        <w:jc w:val="center"/>
        <w:ind w:right="316"/>
        <w:spacing w:after="0"/>
        <w:rPr>
          <w:sz w:val="20"/>
          <w:szCs w:val="20"/>
          <w:color w:val="auto"/>
        </w:rPr>
      </w:pPr>
      <w:r>
        <w:rPr>
          <w:rFonts w:ascii="Arial" w:cs="Arial" w:eastAsia="Arial" w:hAnsi="Arial"/>
          <w:sz w:val="18"/>
          <w:szCs w:val="18"/>
          <w:b w:val="1"/>
          <w:bCs w:val="1"/>
          <w:u w:val="single" w:color="auto"/>
          <w:color w:val="auto"/>
        </w:rPr>
        <w:t>Schedule A</w:t>
      </w:r>
    </w:p>
    <w:p>
      <w:pPr>
        <w:spacing w:after="0" w:line="200" w:lineRule="exact"/>
        <w:rPr>
          <w:sz w:val="20"/>
          <w:szCs w:val="20"/>
          <w:color w:val="auto"/>
        </w:rPr>
      </w:pPr>
    </w:p>
    <w:p>
      <w:pPr>
        <w:spacing w:after="0" w:line="255" w:lineRule="exact"/>
        <w:rPr>
          <w:sz w:val="20"/>
          <w:szCs w:val="20"/>
          <w:color w:val="auto"/>
        </w:rPr>
      </w:pPr>
    </w:p>
    <w:p>
      <w:pPr>
        <w:jc w:val="center"/>
        <w:ind w:right="316"/>
        <w:spacing w:after="0"/>
        <w:rPr>
          <w:sz w:val="20"/>
          <w:szCs w:val="20"/>
          <w:color w:val="auto"/>
        </w:rPr>
      </w:pPr>
      <w:r>
        <w:rPr>
          <w:rFonts w:ascii="Arial" w:cs="Arial" w:eastAsia="Arial" w:hAnsi="Arial"/>
          <w:sz w:val="18"/>
          <w:szCs w:val="18"/>
          <w:b w:val="1"/>
          <w:bCs w:val="1"/>
          <w:u w:val="single" w:color="auto"/>
          <w:color w:val="auto"/>
        </w:rPr>
        <w:t>Key Terms of Employment</w:t>
      </w:r>
    </w:p>
    <w:p>
      <w:pPr>
        <w:spacing w:after="0" w:line="252" w:lineRule="exact"/>
        <w:rPr>
          <w:sz w:val="20"/>
          <w:szCs w:val="20"/>
          <w:color w:val="auto"/>
        </w:rPr>
      </w:pPr>
    </w:p>
    <w:p>
      <w:pPr>
        <w:jc w:val="center"/>
        <w:ind w:right="316"/>
        <w:spacing w:after="0"/>
        <w:rPr>
          <w:sz w:val="20"/>
          <w:szCs w:val="20"/>
          <w:color w:val="auto"/>
        </w:rPr>
      </w:pPr>
      <w:r>
        <w:rPr>
          <w:rFonts w:ascii="Arial" w:cs="Arial" w:eastAsia="Arial" w:hAnsi="Arial"/>
          <w:sz w:val="18"/>
          <w:szCs w:val="18"/>
          <w:b w:val="1"/>
          <w:bCs w:val="1"/>
          <w:color w:val="auto"/>
        </w:rPr>
        <w:t>Effective January 1, 2025</w:t>
      </w:r>
    </w:p>
    <w:p>
      <w:pPr>
        <w:spacing w:after="0" w:line="200" w:lineRule="exact"/>
        <w:rPr>
          <w:sz w:val="20"/>
          <w:szCs w:val="20"/>
          <w:color w:val="auto"/>
        </w:rPr>
      </w:pPr>
    </w:p>
    <w:p>
      <w:pPr>
        <w:spacing w:after="0" w:line="295" w:lineRule="exact"/>
        <w:rPr>
          <w:sz w:val="20"/>
          <w:szCs w:val="20"/>
          <w:color w:val="auto"/>
        </w:rPr>
      </w:pPr>
    </w:p>
    <w:p>
      <w:pPr>
        <w:ind w:left="304" w:hanging="304"/>
        <w:spacing w:after="0"/>
        <w:tabs>
          <w:tab w:leader="none" w:pos="304"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xml:space="preserve"> Chief Financial Officer</w:t>
      </w:r>
    </w:p>
    <w:p>
      <w:pPr>
        <w:spacing w:after="0" w:line="252" w:lineRule="exact"/>
        <w:rPr>
          <w:rFonts w:ascii="Arial" w:cs="Arial" w:eastAsia="Arial" w:hAnsi="Arial"/>
          <w:sz w:val="18"/>
          <w:szCs w:val="18"/>
          <w:color w:val="auto"/>
        </w:rPr>
      </w:pPr>
    </w:p>
    <w:p>
      <w:pPr>
        <w:ind w:left="304" w:hanging="304"/>
        <w:spacing w:after="0"/>
        <w:tabs>
          <w:tab w:leader="none" w:pos="304"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Primary Location:</w:t>
      </w:r>
      <w:r>
        <w:rPr>
          <w:rFonts w:ascii="Arial" w:cs="Arial" w:eastAsia="Arial" w:hAnsi="Arial"/>
          <w:sz w:val="18"/>
          <w:szCs w:val="18"/>
          <w:color w:val="auto"/>
        </w:rPr>
        <w:t xml:space="preserve"> Lake Forest, Illinois</w:t>
      </w:r>
    </w:p>
    <w:p>
      <w:pPr>
        <w:spacing w:after="0" w:line="252" w:lineRule="exact"/>
        <w:rPr>
          <w:rFonts w:ascii="Arial" w:cs="Arial" w:eastAsia="Arial" w:hAnsi="Arial"/>
          <w:sz w:val="18"/>
          <w:szCs w:val="18"/>
          <w:color w:val="auto"/>
        </w:rPr>
      </w:pPr>
    </w:p>
    <w:p>
      <w:pPr>
        <w:ind w:left="324" w:hanging="324"/>
        <w:spacing w:after="0" w:line="287" w:lineRule="auto"/>
        <w:tabs>
          <w:tab w:leader="none" w:pos="31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$550,000.00. The Company may adjust Employee’s base salary from time to time. For purposes of Sections 5 and 6 below, “Base Salary” shall be the Employee’s base salary at the time of separation.</w:t>
      </w:r>
    </w:p>
    <w:p>
      <w:pPr>
        <w:spacing w:after="0" w:line="179" w:lineRule="exact"/>
        <w:rPr>
          <w:rFonts w:ascii="Arial" w:cs="Arial" w:eastAsia="Arial" w:hAnsi="Arial"/>
          <w:sz w:val="18"/>
          <w:szCs w:val="18"/>
          <w:color w:val="auto"/>
        </w:rPr>
      </w:pPr>
    </w:p>
    <w:p>
      <w:pPr>
        <w:ind w:left="324" w:right="20" w:hanging="324"/>
        <w:spacing w:after="0" w:line="287" w:lineRule="auto"/>
        <w:tabs>
          <w:tab w:leader="none" w:pos="31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Annual Bonus Target:</w:t>
      </w:r>
      <w:r>
        <w:rPr>
          <w:rFonts w:ascii="Arial" w:cs="Arial" w:eastAsia="Arial" w:hAnsi="Arial"/>
          <w:sz w:val="18"/>
          <w:szCs w:val="18"/>
          <w:color w:val="auto"/>
        </w:rPr>
        <w:t xml:space="preserve"> 75% of Base Salary. The Company may adjust Employee’s annual bonus target from time to time. For purposes of Section 5 below, “Annual Bonus Target” shall be the annual bonus target percentage at the time of separation.</w:t>
      </w:r>
    </w:p>
    <w:p>
      <w:pPr>
        <w:spacing w:after="0" w:line="152" w:lineRule="exact"/>
        <w:rPr>
          <w:rFonts w:ascii="Arial" w:cs="Arial" w:eastAsia="Arial" w:hAnsi="Arial"/>
          <w:sz w:val="18"/>
          <w:szCs w:val="18"/>
          <w:color w:val="auto"/>
        </w:rPr>
      </w:pPr>
    </w:p>
    <w:p>
      <w:pPr>
        <w:jc w:val="both"/>
        <w:ind w:left="324" w:hanging="324"/>
        <w:spacing w:after="0" w:line="252" w:lineRule="auto"/>
        <w:tabs>
          <w:tab w:leader="none" w:pos="31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Severance Amount/Period:</w:t>
      </w:r>
      <w:r>
        <w:rPr>
          <w:rFonts w:ascii="Arial" w:cs="Arial" w:eastAsia="Arial" w:hAnsi="Arial"/>
          <w:sz w:val="18"/>
          <w:szCs w:val="18"/>
          <w:color w:val="auto"/>
        </w:rPr>
        <w:t xml:space="preserve"> (i) Base Salary, plus an additional amount equal to the Employee’s Annual Bonus at Target for the year including the Date of Termination, prorated through the Date of Termination, paid in equal installments over 12 months following the Date of Termination except that if (i) a Sale of Business (as defined below) occurs and (ii) within 12 months following the closing of such Sale of Business either (A) Employee is terminated without Cause, or (B) Employee’s position is materially reduced in remuneration or scope of duties and Employee terminates Employee’s employment, then the Severance Amount shall be two times Base Salary plus Annual Bonus at Target, plus an additional amount equal to the Employee’s Annual Bonus at Target for the year including the Date of Termination prorated through Date of Termination, paid in equal installments over 24 months following the Date of Termination. All other terms of </w:t>
      </w:r>
      <w:r>
        <w:rPr>
          <w:rFonts w:ascii="Arial" w:cs="Arial" w:eastAsia="Arial" w:hAnsi="Arial"/>
          <w:sz w:val="18"/>
          <w:szCs w:val="18"/>
          <w:u w:val="single" w:color="auto"/>
          <w:color w:val="auto"/>
        </w:rPr>
        <w:t>Section 5(b)(i)</w:t>
      </w:r>
      <w:r>
        <w:rPr>
          <w:rFonts w:ascii="Arial" w:cs="Arial" w:eastAsia="Arial" w:hAnsi="Arial"/>
          <w:sz w:val="18"/>
          <w:szCs w:val="18"/>
          <w:color w:val="auto"/>
        </w:rPr>
        <w:t xml:space="preserve"> of the Agreement will apply. For purposes of this provision a “</w:t>
      </w:r>
      <w:r>
        <w:rPr>
          <w:rFonts w:ascii="Arial" w:cs="Arial" w:eastAsia="Arial" w:hAnsi="Arial"/>
          <w:sz w:val="18"/>
          <w:szCs w:val="18"/>
          <w:b w:val="1"/>
          <w:bCs w:val="1"/>
          <w:u w:val="single" w:color="auto"/>
          <w:color w:val="auto"/>
        </w:rPr>
        <w:t>Sale of Business</w:t>
      </w:r>
      <w:r>
        <w:rPr>
          <w:rFonts w:ascii="Arial" w:cs="Arial" w:eastAsia="Arial" w:hAnsi="Arial"/>
          <w:sz w:val="18"/>
          <w:szCs w:val="18"/>
          <w:color w:val="auto"/>
        </w:rPr>
        <w:t>” shall mean the sale or other disposition of (x) more than 50% of the shares or other equity interests of the Company or the Company's direct or indirect parent to a non-affiliated party (which shall not include a sale or an offering by Packaging Finance Limited of some or all of its shares in the Company, so long as the remainder of the shares continue to be owned by the public), or (y) more than 50% of the businesses or assets that, as of the most recent year end, generated more than 50% of the Company's EBITDA (as determined in good faith by the Company’s Board of Directors, based on the Company' s regularly prepared financial statements), provided that a disposition as a result of lender foreclosure on assets or pursuant to a bankruptcy or judicially administered reorganization shall not constitute a Sale of Business. Employee’s position shall not be materially reduced by reason of the Company being smaller or having less operations as a result of the Sale of Business so long as Employee’s duties and responsibilities are generally consistent with Employee’s duties and responsibilities prior to the Sale of Business.</w:t>
      </w:r>
    </w:p>
    <w:p>
      <w:pPr>
        <w:spacing w:after="0" w:line="218" w:lineRule="exact"/>
        <w:rPr>
          <w:rFonts w:ascii="Arial" w:cs="Arial" w:eastAsia="Arial" w:hAnsi="Arial"/>
          <w:sz w:val="18"/>
          <w:szCs w:val="18"/>
          <w:color w:val="auto"/>
        </w:rPr>
      </w:pPr>
    </w:p>
    <w:p>
      <w:pPr>
        <w:ind w:left="304" w:hanging="304"/>
        <w:spacing w:after="0"/>
        <w:tabs>
          <w:tab w:leader="none" w:pos="304"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Other Compensation Programs:</w:t>
      </w:r>
    </w:p>
    <w:p>
      <w:pPr>
        <w:spacing w:after="0" w:line="265"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8"/>
          <w:szCs w:val="18"/>
          <w:color w:val="auto"/>
        </w:rPr>
        <w:t>Long-Term Incentive Program Target: 175% of Base Salary</w:t>
      </w:r>
    </w:p>
    <w:p>
      <w:pPr>
        <w:spacing w:after="0" w:line="279" w:lineRule="exact"/>
        <w:rPr>
          <w:rFonts w:ascii="Arial" w:cs="Arial" w:eastAsia="Arial" w:hAnsi="Arial"/>
          <w:sz w:val="18"/>
          <w:szCs w:val="18"/>
          <w:color w:val="auto"/>
        </w:rPr>
      </w:pPr>
    </w:p>
    <w:p>
      <w:pPr>
        <w:ind w:left="304" w:hanging="304"/>
        <w:spacing w:after="0"/>
        <w:tabs>
          <w:tab w:leader="none" w:pos="304"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One-Time Restricted Stock Unit Grant:</w:t>
      </w:r>
    </w:p>
    <w:p>
      <w:pPr>
        <w:spacing w:after="0" w:line="31" w:lineRule="exact"/>
        <w:rPr>
          <w:rFonts w:ascii="Arial" w:cs="Arial" w:eastAsia="Arial" w:hAnsi="Arial"/>
          <w:sz w:val="18"/>
          <w:szCs w:val="18"/>
          <w:color w:val="auto"/>
        </w:rPr>
      </w:pPr>
    </w:p>
    <w:p>
      <w:pPr>
        <w:ind w:left="324" w:right="400"/>
        <w:spacing w:after="0" w:line="292" w:lineRule="auto"/>
        <w:rPr>
          <w:rFonts w:ascii="Arial" w:cs="Arial" w:eastAsia="Arial" w:hAnsi="Arial"/>
          <w:sz w:val="18"/>
          <w:szCs w:val="18"/>
          <w:color w:val="auto"/>
        </w:rPr>
      </w:pPr>
      <w:r>
        <w:rPr>
          <w:rFonts w:ascii="Arial" w:cs="Arial" w:eastAsia="Arial" w:hAnsi="Arial"/>
          <w:sz w:val="18"/>
          <w:szCs w:val="18"/>
          <w:color w:val="auto"/>
        </w:rPr>
        <w:t>Effective February 1, 2025, a one-time grant of restricted stock units (“RSUs”) with a value equal to $250,000.00, to vest ratably over two years from the effective date of grant.</w:t>
      </w:r>
    </w:p>
    <w:p>
      <w:pPr>
        <w:sectPr>
          <w:pgSz w:w="11900" w:h="16838" w:orient="portrait"/>
          <w:cols w:equalWidth="0" w:num="1">
            <w:col w:w="10264"/>
          </w:cols>
          <w:pgMar w:left="976" w:top="1403" w:right="65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u w:val="single" w:color="auto"/>
          <w:color w:val="auto"/>
        </w:rPr>
        <w:t>Schedule B</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Restrictive Covenant Agreement</w:t>
      </w:r>
    </w:p>
    <w:p>
      <w:pPr>
        <w:spacing w:after="0" w:line="200" w:lineRule="exact"/>
        <w:rPr>
          <w:sz w:val="20"/>
          <w:szCs w:val="20"/>
          <w:color w:val="auto"/>
        </w:rPr>
      </w:pPr>
    </w:p>
    <w:p>
      <w:pPr>
        <w:spacing w:after="0" w:line="295" w:lineRule="exact"/>
        <w:rPr>
          <w:sz w:val="20"/>
          <w:szCs w:val="20"/>
          <w:color w:val="auto"/>
        </w:rPr>
      </w:pPr>
    </w:p>
    <w:p>
      <w:pPr>
        <w:ind w:right="360" w:firstLine="647"/>
        <w:spacing w:after="0" w:line="296" w:lineRule="auto"/>
        <w:rPr>
          <w:sz w:val="20"/>
          <w:szCs w:val="20"/>
          <w:color w:val="auto"/>
        </w:rPr>
      </w:pPr>
      <w:r>
        <w:rPr>
          <w:rFonts w:ascii="Arial" w:cs="Arial" w:eastAsia="Arial" w:hAnsi="Arial"/>
          <w:sz w:val="18"/>
          <w:szCs w:val="18"/>
          <w:color w:val="auto"/>
        </w:rPr>
        <w:t>Restrictive Covenant Agreement dated as of January 1, 2025, between Reynolds Consumer Products Holdings LLC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Nathan D. Lowe (“</w:t>
      </w:r>
      <w:r>
        <w:rPr>
          <w:rFonts w:ascii="Arial" w:cs="Arial" w:eastAsia="Arial" w:hAnsi="Arial"/>
          <w:sz w:val="18"/>
          <w:szCs w:val="18"/>
          <w:b w:val="1"/>
          <w:bCs w:val="1"/>
          <w:u w:val="single" w:color="auto"/>
          <w:color w:val="auto"/>
        </w:rPr>
        <w:t>Employee</w:t>
      </w:r>
      <w:r>
        <w:rPr>
          <w:rFonts w:ascii="Arial" w:cs="Arial" w:eastAsia="Arial" w:hAnsi="Arial"/>
          <w:sz w:val="18"/>
          <w:szCs w:val="18"/>
          <w:color w:val="auto"/>
        </w:rPr>
        <w: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PRELIMINARY STATEMENT</w:t>
      </w:r>
    </w:p>
    <w:p>
      <w:pPr>
        <w:spacing w:after="0" w:line="266" w:lineRule="exact"/>
        <w:rPr>
          <w:sz w:val="20"/>
          <w:szCs w:val="20"/>
          <w:color w:val="auto"/>
        </w:rPr>
      </w:pPr>
    </w:p>
    <w:p>
      <w:pPr>
        <w:ind w:firstLine="639"/>
        <w:spacing w:after="0" w:line="287" w:lineRule="auto"/>
        <w:tabs>
          <w:tab w:leader="none" w:pos="9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and Employee have entered into an Employment Agreement of even date herewith. The execution of this Restrictive Covenant Agreement is a condition to the Company’s obligations under the Employment Agreement.</w:t>
      </w:r>
    </w:p>
    <w:p>
      <w:pPr>
        <w:spacing w:after="0" w:line="179" w:lineRule="exact"/>
        <w:rPr>
          <w:rFonts w:ascii="Arial" w:cs="Arial" w:eastAsia="Arial" w:hAnsi="Arial"/>
          <w:sz w:val="18"/>
          <w:szCs w:val="18"/>
          <w:color w:val="auto"/>
        </w:rPr>
      </w:pPr>
    </w:p>
    <w:p>
      <w:pPr>
        <w:ind w:firstLine="639"/>
        <w:spacing w:after="0" w:line="287" w:lineRule="auto"/>
        <w:tabs>
          <w:tab w:leader="none" w:pos="9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addition, the Company is providing Employee other consideration for Employee’s execution of this Agreement, as provided in a separate letter of even date herewith.</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NOW, THEREFORE, the Company and Employee agree as follows: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52" w:lineRule="exact"/>
        <w:rPr>
          <w:sz w:val="20"/>
          <w:szCs w:val="20"/>
          <w:color w:val="auto"/>
        </w:rPr>
      </w:pPr>
    </w:p>
    <w:p>
      <w:pPr>
        <w:ind w:left="1280" w:hanging="640"/>
        <w:spacing w:after="0"/>
        <w:tabs>
          <w:tab w:leader="none" w:pos="1280"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this Agreement:</w:t>
      </w:r>
    </w:p>
    <w:p>
      <w:pPr>
        <w:spacing w:after="0" w:line="211" w:lineRule="exact"/>
        <w:rPr>
          <w:rFonts w:ascii="Arial" w:cs="Arial" w:eastAsia="Arial" w:hAnsi="Arial"/>
          <w:sz w:val="18"/>
          <w:szCs w:val="18"/>
          <w:color w:val="auto"/>
        </w:rPr>
      </w:pPr>
    </w:p>
    <w:p>
      <w:pPr>
        <w:jc w:val="both"/>
        <w:ind w:firstLine="1287"/>
        <w:spacing w:after="0" w:line="259" w:lineRule="auto"/>
        <w:tabs>
          <w:tab w:leader="none" w:pos="1609"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Product</w:t>
      </w:r>
      <w:r>
        <w:rPr>
          <w:rFonts w:ascii="Arial" w:cs="Arial" w:eastAsia="Arial" w:hAnsi="Arial"/>
          <w:sz w:val="18"/>
          <w:szCs w:val="18"/>
          <w:color w:val="auto"/>
        </w:rPr>
        <w:t>” means any product developed, manufactured, produced or distributed by the Company during the 24 month period immediately preceding the termination of Employee’s employment with the Company provided that (i) Employee had access to Proprietary Information related to the product or (ii) Employee marketed or interacted with Customers or Prospective Customers regarding the product during the 12-month period immediately preceding the termination of Employee’s employment with the Company.</w:t>
      </w:r>
    </w:p>
    <w:p>
      <w:pPr>
        <w:spacing w:after="0" w:line="206" w:lineRule="exact"/>
        <w:rPr>
          <w:rFonts w:ascii="Arial" w:cs="Arial" w:eastAsia="Arial" w:hAnsi="Arial"/>
          <w:sz w:val="18"/>
          <w:szCs w:val="18"/>
          <w:color w:val="auto"/>
        </w:rPr>
      </w:pPr>
    </w:p>
    <w:p>
      <w:pPr>
        <w:ind w:right="20" w:firstLine="1287"/>
        <w:spacing w:after="0" w:line="287" w:lineRule="auto"/>
        <w:tabs>
          <w:tab w:leader="none" w:pos="1609"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Competitive Activity</w:t>
      </w:r>
      <w:r>
        <w:rPr>
          <w:rFonts w:ascii="Arial" w:cs="Arial" w:eastAsia="Arial" w:hAnsi="Arial"/>
          <w:sz w:val="18"/>
          <w:szCs w:val="18"/>
          <w:color w:val="auto"/>
        </w:rPr>
        <w:t>” means the marketing, distribution, promotion, sales, development, delivery, or servicing of any product that competes with any Company Product.</w:t>
      </w:r>
    </w:p>
    <w:p>
      <w:pPr>
        <w:spacing w:after="0" w:line="125" w:lineRule="exact"/>
        <w:rPr>
          <w:rFonts w:ascii="Arial" w:cs="Arial" w:eastAsia="Arial" w:hAnsi="Arial"/>
          <w:sz w:val="18"/>
          <w:szCs w:val="18"/>
          <w:color w:val="auto"/>
        </w:rPr>
      </w:pPr>
    </w:p>
    <w:p>
      <w:pPr>
        <w:jc w:val="both"/>
        <w:ind w:firstLine="1287"/>
        <w:spacing w:after="0" w:line="262" w:lineRule="auto"/>
        <w:tabs>
          <w:tab w:leader="none" w:pos="1613"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Competitor</w:t>
      </w:r>
      <w:r>
        <w:rPr>
          <w:rFonts w:ascii="Arial" w:cs="Arial" w:eastAsia="Arial" w:hAnsi="Arial"/>
          <w:sz w:val="18"/>
          <w:szCs w:val="18"/>
          <w:color w:val="auto"/>
        </w:rPr>
        <w:t xml:space="preserve">” means (i) those entities listed on </w:t>
      </w:r>
      <w:r>
        <w:rPr>
          <w:rFonts w:ascii="Arial" w:cs="Arial" w:eastAsia="Arial" w:hAnsi="Arial"/>
          <w:sz w:val="18"/>
          <w:szCs w:val="18"/>
          <w:u w:val="single" w:color="auto"/>
          <w:color w:val="auto"/>
        </w:rPr>
        <w:t>Attachment A</w:t>
      </w:r>
      <w:r>
        <w:rPr>
          <w:rFonts w:ascii="Arial" w:cs="Arial" w:eastAsia="Arial" w:hAnsi="Arial"/>
          <w:sz w:val="18"/>
          <w:szCs w:val="18"/>
          <w:color w:val="auto"/>
        </w:rPr>
        <w:t xml:space="preserv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such other entities that the Company reasonably determines are engaged in a Competitive Activity, in each case plus any direct or indirect parent or subsidiary of such entity, minus (iii) such entities on </w:t>
      </w:r>
      <w:r>
        <w:rPr>
          <w:rFonts w:ascii="Arial" w:cs="Arial" w:eastAsia="Arial" w:hAnsi="Arial"/>
          <w:sz w:val="18"/>
          <w:szCs w:val="18"/>
          <w:u w:val="single" w:color="auto"/>
          <w:color w:val="auto"/>
        </w:rPr>
        <w:t>Attachment A</w:t>
      </w:r>
      <w:r>
        <w:rPr>
          <w:rFonts w:ascii="Arial" w:cs="Arial" w:eastAsia="Arial" w:hAnsi="Arial"/>
          <w:sz w:val="18"/>
          <w:szCs w:val="18"/>
          <w:color w:val="auto"/>
        </w:rPr>
        <w:t xml:space="preserve"> that the Company reasonably determines are no longer engaged in a Competitive Activity. Company shall notify Employee in writing of any additions to or deletions from </w:t>
      </w:r>
      <w:r>
        <w:rPr>
          <w:rFonts w:ascii="Arial" w:cs="Arial" w:eastAsia="Arial" w:hAnsi="Arial"/>
          <w:sz w:val="18"/>
          <w:szCs w:val="18"/>
          <w:u w:val="single" w:color="auto"/>
          <w:color w:val="auto"/>
        </w:rPr>
        <w:t>Attachment A</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jc w:val="both"/>
        <w:ind w:firstLine="1287"/>
        <w:spacing w:after="0" w:line="262" w:lineRule="auto"/>
        <w:tabs>
          <w:tab w:leader="none" w:pos="1609"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Customer</w:t>
      </w:r>
      <w:r>
        <w:rPr>
          <w:rFonts w:ascii="Arial" w:cs="Arial" w:eastAsia="Arial" w:hAnsi="Arial"/>
          <w:sz w:val="18"/>
          <w:szCs w:val="18"/>
          <w:color w:val="auto"/>
        </w:rPr>
        <w:t>” means any customer, including distributors, with whom the Company transacted business during the 24-month period immediately preceding the termination of Employee’s employment with the Company provided that (i) Employee had Material Contact with, or (ii) knew Proprietary Information of or about, the Customer during the 24-month period immediately preceding the termination of Employee’s employment with the Company.</w:t>
      </w:r>
    </w:p>
    <w:p>
      <w:pPr>
        <w:spacing w:after="0" w:line="203" w:lineRule="exact"/>
        <w:rPr>
          <w:rFonts w:ascii="Arial" w:cs="Arial" w:eastAsia="Arial" w:hAnsi="Arial"/>
          <w:sz w:val="18"/>
          <w:szCs w:val="18"/>
          <w:color w:val="auto"/>
        </w:rPr>
      </w:pPr>
    </w:p>
    <w:p>
      <w:pPr>
        <w:ind w:left="1600" w:hanging="313"/>
        <w:spacing w:after="0"/>
        <w:tabs>
          <w:tab w:leader="none" w:pos="16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Material Contact</w:t>
      </w:r>
      <w:r>
        <w:rPr>
          <w:rFonts w:ascii="Arial" w:cs="Arial" w:eastAsia="Arial" w:hAnsi="Arial"/>
          <w:sz w:val="18"/>
          <w:szCs w:val="18"/>
          <w:color w:val="auto"/>
        </w:rPr>
        <w:t>” means any contact between Employee and any Customer or Prospective Customer:</w:t>
      </w:r>
    </w:p>
    <w:p>
      <w:pPr>
        <w:spacing w:after="0" w:line="265" w:lineRule="exact"/>
        <w:rPr>
          <w:rFonts w:ascii="Arial" w:cs="Arial" w:eastAsia="Arial" w:hAnsi="Arial"/>
          <w:sz w:val="18"/>
          <w:szCs w:val="18"/>
          <w:color w:val="auto"/>
        </w:rPr>
      </w:pPr>
    </w:p>
    <w:p>
      <w:pPr>
        <w:ind w:left="2580" w:hanging="724"/>
        <w:spacing w:after="0"/>
        <w:tabs>
          <w:tab w:leader="none" w:pos="2580" w:val="left"/>
        </w:tabs>
        <w:numPr>
          <w:ilvl w:val="2"/>
          <w:numId w:val="51"/>
        </w:numPr>
        <w:rPr>
          <w:rFonts w:ascii="Arial" w:cs="Arial" w:eastAsia="Arial" w:hAnsi="Arial"/>
          <w:sz w:val="18"/>
          <w:szCs w:val="18"/>
          <w:color w:val="auto"/>
        </w:rPr>
      </w:pPr>
      <w:r>
        <w:rPr>
          <w:rFonts w:ascii="Arial" w:cs="Arial" w:eastAsia="Arial" w:hAnsi="Arial"/>
          <w:sz w:val="18"/>
          <w:szCs w:val="18"/>
          <w:color w:val="auto"/>
        </w:rPr>
        <w:t>with whom or with which Employee dealt on behalf of the Company;</w:t>
      </w:r>
    </w:p>
    <w:p>
      <w:pPr>
        <w:spacing w:after="0" w:line="27" w:lineRule="exact"/>
        <w:rPr>
          <w:rFonts w:ascii="Arial" w:cs="Arial" w:eastAsia="Arial" w:hAnsi="Arial"/>
          <w:sz w:val="18"/>
          <w:szCs w:val="18"/>
          <w:color w:val="auto"/>
        </w:rPr>
      </w:pPr>
    </w:p>
    <w:p>
      <w:pPr>
        <w:ind w:left="2260" w:hanging="404"/>
        <w:spacing w:after="0"/>
        <w:tabs>
          <w:tab w:leader="none" w:pos="22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whose dealings with the Company were coordinated or supervised by Employee; or</w:t>
      </w:r>
    </w:p>
    <w:p>
      <w:pPr>
        <w:spacing w:after="0" w:line="9" w:lineRule="exact"/>
        <w:rPr>
          <w:rFonts w:ascii="Arial" w:cs="Arial" w:eastAsia="Arial" w:hAnsi="Arial"/>
          <w:sz w:val="18"/>
          <w:szCs w:val="18"/>
          <w:color w:val="auto"/>
        </w:rPr>
      </w:pPr>
    </w:p>
    <w:p>
      <w:pPr>
        <w:ind w:left="2260" w:hanging="404"/>
        <w:spacing w:after="0"/>
        <w:tabs>
          <w:tab w:leader="none" w:pos="22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that resulted in Employee obtaining Proprietary Information about a Customer or Prospective Customer.</w:t>
      </w:r>
    </w:p>
    <w:p>
      <w:pPr>
        <w:sectPr>
          <w:pgSz w:w="11900" w:h="16838" w:orient="portrait"/>
          <w:cols w:equalWidth="0" w:num="1">
            <w:col w:w="10580"/>
          </w:cols>
          <w:pgMar w:left="660" w:top="1403" w:right="659" w:bottom="1440" w:gutter="0" w:footer="0" w:header="0"/>
        </w:sectPr>
      </w:pPr>
    </w:p>
    <w:bookmarkStart w:id="92" w:name="page93"/>
    <w:bookmarkEnd w:id="92"/>
    <w:p>
      <w:pPr>
        <w:jc w:val="both"/>
        <w:ind w:left="-639" w:firstLine="1287"/>
        <w:spacing w:after="0" w:line="252" w:lineRule="auto"/>
        <w:tabs>
          <w:tab w:leader="none" w:pos="974"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Proprietary Information</w:t>
      </w:r>
      <w:r>
        <w:rPr>
          <w:rFonts w:ascii="Arial" w:cs="Arial" w:eastAsia="Arial" w:hAnsi="Arial"/>
          <w:sz w:val="18"/>
          <w:szCs w:val="18"/>
          <w:color w:val="auto"/>
        </w:rPr>
        <w:t>” means confidential or proprietary information or trade secrets of the Company or its affiliates, including, but not limited to, materials and information, whether written, electronic, or otherwise: a) disclosed to Employee or known by Employee as a result of his or her employment with the Company, b) which is not generally known, and c) which relates to or concerns the Company’s or its affiliates’: innovations; ideas; plans; processes; structures; systems; know-how; algorithms; computer programs; software; code; publications; designs; methods; techniques; drawings; apparatuses; government filings; patents; patent applications; materials; devices; research activities; reports and plans; specification s; promotional methods; financial information; forecasts; sales, profit and loss figures; personal identifying information of employees; marketing and sales methods and strategies; plans and systems; customer protocols and training programs; customer, prospective customer, vendor, licensee and client lists; information about customers, prospective customers, vendors, licensees and clients; information about relationships between the Company or its affiliates and their business partners, acquisition prospects, vendors, suppliers, prospective customers, customers, employees, owners, licensees and clients; information about deals and prospective deals; information about products, including but not limited strengths, weaknesses and vulnerabilities of existing products, as well as product strategies and roadmaps for future products and releases; and information about pricing including but not limited to license types, models, implementation costs, discounts and tolerance for discounts. Proprietary Information shall also include all information and matters specifically designated as proprietary and/or confidential by the Company or its affiliates or their customers or other business partners. The following information will not be considered Proprietary Information under this Agreement: a) information that has become generally available to the public through no wrongful act of Employee; b) information that Employee identified prior to Employee’s employment with the Company; c) information that is disclosed to the public pursuant to the binding order of a government agency or court; and d) information that is acquired through general skill and experience during Employee’s employment with the Company which Employee could reasonably have been expected to acquire in similar employment for another company provided Employee has no reason to believe that the Company would consider such information Proprietary Information as defined above.</w:t>
      </w:r>
    </w:p>
    <w:p>
      <w:pPr>
        <w:spacing w:after="0" w:line="214" w:lineRule="exact"/>
        <w:rPr>
          <w:rFonts w:ascii="Arial" w:cs="Arial" w:eastAsia="Arial" w:hAnsi="Arial"/>
          <w:sz w:val="18"/>
          <w:szCs w:val="18"/>
          <w:color w:val="auto"/>
        </w:rPr>
      </w:pPr>
    </w:p>
    <w:p>
      <w:pPr>
        <w:jc w:val="both"/>
        <w:ind w:left="-639" w:firstLine="1287"/>
        <w:spacing w:after="0" w:line="262" w:lineRule="auto"/>
        <w:tabs>
          <w:tab w:leader="none" w:pos="970"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Prospective Customer</w:t>
      </w:r>
      <w:r>
        <w:rPr>
          <w:rFonts w:ascii="Arial" w:cs="Arial" w:eastAsia="Arial" w:hAnsi="Arial"/>
          <w:sz w:val="18"/>
          <w:szCs w:val="18"/>
          <w:color w:val="auto"/>
        </w:rPr>
        <w:t>” means any person with whom the Company was attempting to transact business within the six-month period immediately preceding the termination of Employee’s employment with the Company provided that (i) Employee had Material Contact with, or (ii) knew Proprietary Information of or about, the Prospective Customer during the six-month period immediately preceding the termination of Employee’s employment.</w:t>
      </w:r>
    </w:p>
    <w:p>
      <w:pPr>
        <w:spacing w:after="0" w:line="203" w:lineRule="exact"/>
        <w:rPr>
          <w:rFonts w:ascii="Arial" w:cs="Arial" w:eastAsia="Arial" w:hAnsi="Arial"/>
          <w:sz w:val="18"/>
          <w:szCs w:val="18"/>
          <w:color w:val="auto"/>
        </w:rPr>
      </w:pPr>
    </w:p>
    <w:p>
      <w:pPr>
        <w:jc w:val="both"/>
        <w:ind w:left="-639" w:firstLine="639"/>
        <w:spacing w:after="0" w:line="255" w:lineRule="auto"/>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Legitimate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Due to the nature of the Company’s business, certain the Company employees,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have access to Proprietary Information. Likewise, via their employment, certain the Company employees, including Employee, receive specialized training and/or shall be introduced to, given the opportunity to develop personal contacts with, and actually develop an advantageous familiarity as to the Company’s Customers and Prospective Customers. If the confidential or “trade secret” information, specialized training, or contacts and familiarity were made available to the Company competitors or other individuals outside the Company, or otherwise used against the Company interests, it would undoubtedly result in a loss of business or competitive position for the Comp any and/or harm the Company’s goodwill and investment in developing and maintaining its business relationships. Employee also agrees he/she holds a position uniquely essential to the management, organization, and/or service of the Company and the Company’s business is inherently national in character.</w:t>
      </w:r>
    </w:p>
    <w:p>
      <w:pPr>
        <w:spacing w:after="0" w:line="207" w:lineRule="exact"/>
        <w:rPr>
          <w:rFonts w:ascii="Arial" w:cs="Arial" w:eastAsia="Arial" w:hAnsi="Arial"/>
          <w:sz w:val="18"/>
          <w:szCs w:val="18"/>
          <w:color w:val="auto"/>
        </w:rPr>
      </w:pPr>
    </w:p>
    <w:p>
      <w:pPr>
        <w:ind w:left="321" w:hanging="321"/>
        <w:spacing w:after="0"/>
        <w:tabs>
          <w:tab w:leader="none" w:pos="321"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Disclosure of Existing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disclosed in writing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Attachment B</w:t>
      </w:r>
      <w:r>
        <w:rPr>
          <w:rFonts w:ascii="Arial" w:cs="Arial" w:eastAsia="Arial" w:hAnsi="Arial"/>
          <w:sz w:val="18"/>
          <w:szCs w:val="18"/>
          <w:color w:val="auto"/>
        </w:rPr>
        <w:t>, Employee certifies the following:</w:t>
      </w:r>
    </w:p>
    <w:p>
      <w:pPr>
        <w:spacing w:after="0" w:line="252" w:lineRule="exact"/>
        <w:rPr>
          <w:rFonts w:ascii="Arial" w:cs="Arial" w:eastAsia="Arial" w:hAnsi="Arial"/>
          <w:sz w:val="18"/>
          <w:szCs w:val="18"/>
          <w:color w:val="auto"/>
        </w:rPr>
      </w:pPr>
    </w:p>
    <w:p>
      <w:pPr>
        <w:jc w:val="both"/>
        <w:ind w:left="-639" w:firstLine="1287"/>
        <w:spacing w:after="0" w:line="271" w:lineRule="auto"/>
        <w:tabs>
          <w:tab w:leader="none" w:pos="97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Employee is not bound by any written agreement or other obligation that directly or indirectly (i) restricts Employee from using or disclosing any confidential or proprietary information of any person or entity, (ii) restricts Employee from competing with, or soliciting actual or potential customers or business from, any person or entity, (iii) restricts Employee from soliciting any current or former employees of any person or entity, or (iv) limits Employee’s ability to perform any assigned duties for the Company.</w:t>
      </w:r>
    </w:p>
    <w:p>
      <w:pPr>
        <w:sectPr>
          <w:pgSz w:w="11900" w:h="16838" w:orient="portrait"/>
          <w:cols w:equalWidth="0" w:num="1">
            <w:col w:w="9941"/>
          </w:cols>
          <w:pgMar w:left="1299" w:top="1403" w:right="659" w:bottom="1440" w:gutter="0" w:footer="0" w:header="0"/>
        </w:sectPr>
      </w:pPr>
    </w:p>
    <w:bookmarkStart w:id="93" w:name="page94"/>
    <w:bookmarkEnd w:id="93"/>
    <w:p>
      <w:pPr>
        <w:jc w:val="both"/>
        <w:ind w:left="-640" w:firstLine="1287"/>
        <w:spacing w:after="0" w:line="267" w:lineRule="auto"/>
        <w:tabs>
          <w:tab w:leader="none" w:pos="969"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Employee does not have in Employee’s possession any confidential or proprietary information or documents belonging to others (except as disclosed in </w:t>
      </w:r>
      <w:r>
        <w:rPr>
          <w:rFonts w:ascii="Arial" w:cs="Arial" w:eastAsia="Arial" w:hAnsi="Arial"/>
          <w:sz w:val="18"/>
          <w:szCs w:val="18"/>
          <w:u w:val="single" w:color="auto"/>
          <w:color w:val="auto"/>
        </w:rPr>
        <w:t>Attachment B</w:t>
      </w:r>
      <w:r>
        <w:rPr>
          <w:rFonts w:ascii="Arial" w:cs="Arial" w:eastAsia="Arial" w:hAnsi="Arial"/>
          <w:sz w:val="18"/>
          <w:szCs w:val="18"/>
          <w:color w:val="auto"/>
        </w:rPr>
        <w:t>), and will not use, disclose to, or induce the Company to use any such information or documents. To the extent Employee possesses any confidential information or documents from a former employer or other party, Employee agrees to immediately return any such confidential information or documents to the owner unless Employee has express written authorization to retain it or them or destroy such information or documents.</w:t>
      </w:r>
    </w:p>
    <w:p>
      <w:pPr>
        <w:spacing w:after="0" w:line="225" w:lineRule="exact"/>
        <w:rPr>
          <w:rFonts w:ascii="Arial" w:cs="Arial" w:eastAsia="Arial" w:hAnsi="Arial"/>
          <w:sz w:val="18"/>
          <w:szCs w:val="18"/>
          <w:color w:val="auto"/>
        </w:rPr>
      </w:pPr>
    </w:p>
    <w:p>
      <w:pPr>
        <w:jc w:val="both"/>
        <w:ind w:left="-640" w:right="20" w:firstLine="1287"/>
        <w:spacing w:after="0" w:line="284" w:lineRule="auto"/>
        <w:tabs>
          <w:tab w:leader="none" w:pos="973"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Employee understands that the Company expects Employee to fulfill any contractual and fiduciary obligations Employee may owe to any former employer or other party, and Employee agrees to do so. Prior to execution of this Agreement, Employee certifies that Employee tendered to the Company all agreements and understandings described by this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left="640" w:hanging="640"/>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Work Made for Hire - Assignment of Inventions.</w:t>
      </w:r>
    </w:p>
    <w:p>
      <w:pPr>
        <w:spacing w:after="0" w:line="265" w:lineRule="exact"/>
        <w:rPr>
          <w:rFonts w:ascii="Arial" w:cs="Arial" w:eastAsia="Arial" w:hAnsi="Arial"/>
          <w:sz w:val="18"/>
          <w:szCs w:val="18"/>
          <w:color w:val="auto"/>
        </w:rPr>
      </w:pPr>
    </w:p>
    <w:p>
      <w:pPr>
        <w:jc w:val="both"/>
        <w:ind w:left="-640" w:firstLine="1287"/>
        <w:spacing w:after="0" w:line="263" w:lineRule="auto"/>
        <w:tabs>
          <w:tab w:leader="none" w:pos="969" w:val="left"/>
        </w:tabs>
        <w:numPr>
          <w:ilvl w:val="1"/>
          <w:numId w:val="55"/>
        </w:numPr>
        <w:rPr>
          <w:rFonts w:ascii="Arial" w:cs="Arial" w:eastAsia="Arial" w:hAnsi="Arial"/>
          <w:sz w:val="18"/>
          <w:szCs w:val="18"/>
          <w:color w:val="auto"/>
        </w:rPr>
      </w:pPr>
      <w:r>
        <w:rPr>
          <w:rFonts w:ascii="Arial" w:cs="Arial" w:eastAsia="Arial" w:hAnsi="Arial"/>
          <w:sz w:val="18"/>
          <w:szCs w:val="18"/>
          <w:color w:val="auto"/>
        </w:rPr>
        <w:t>Employee understands and agrees all “Work” (defined to mean all concepts, data, databases, inventions, formulas, discoveries, improvements, trade secrets, original works of authorship, know-how, algorithms, computer programs, software, code, publications, websites, designs, proposals, strategies, processes, methodologies and techniques, and any and all other information, materials and intellectual property, in any medium) that Employee, alone or jointly, creates, conceives, develops, or reduces to practice or causes another to create, conceive, develop, or reduce to practice, shall be a “work made for hire” within the meaning of that term under United States Copyright Act, 17 U.S.C. §§101 et seq. Employee agrees to promptly disclose to the Company, or any persons designated by it, all Work. Employee agrees to and hereby assigns and transfers to the Company, effective as of the date of its creation, any and all rights, title and interest Employee may have or may acquire in any Work including any Work not deemed, for whatever reason, to have been created as a work made for hire), effective as of the date of its creation, including any and all intellectual property rights in the Work, and the right to prosecute and recover damages for all infringements or other violations of the Work.</w:t>
      </w:r>
    </w:p>
    <w:p>
      <w:pPr>
        <w:spacing w:after="0" w:line="231" w:lineRule="exact"/>
        <w:rPr>
          <w:rFonts w:ascii="Arial" w:cs="Arial" w:eastAsia="Arial" w:hAnsi="Arial"/>
          <w:sz w:val="18"/>
          <w:szCs w:val="18"/>
          <w:color w:val="auto"/>
        </w:rPr>
      </w:pPr>
    </w:p>
    <w:p>
      <w:pPr>
        <w:jc w:val="both"/>
        <w:ind w:left="-640" w:firstLine="1287"/>
        <w:spacing w:after="0" w:line="263" w:lineRule="auto"/>
        <w:tabs>
          <w:tab w:leader="none" w:pos="969" w:val="left"/>
        </w:tabs>
        <w:numPr>
          <w:ilvl w:val="1"/>
          <w:numId w:val="55"/>
        </w:numPr>
        <w:rPr>
          <w:rFonts w:ascii="Arial" w:cs="Arial" w:eastAsia="Arial" w:hAnsi="Arial"/>
          <w:sz w:val="18"/>
          <w:szCs w:val="18"/>
          <w:color w:val="auto"/>
        </w:rPr>
      </w:pPr>
      <w:r>
        <w:rPr>
          <w:rFonts w:ascii="Arial" w:cs="Arial" w:eastAsia="Arial" w:hAnsi="Arial"/>
          <w:sz w:val="18"/>
          <w:szCs w:val="18"/>
          <w:color w:val="auto"/>
        </w:rPr>
        <w:t>Employee hereby gives the Company the unrestricted right to use, display, distribute, modify, combine with other information or materials, create derivative works based on, sell, or otherwise exploit for any purpose, the Work and any portion thereof, in any manner and medium throughout the world. Employee irrevocably waives and assigns to the Company any and all so-called moral rights Employee may have in or with respect to any Work. Upon the Company’s request, Employee shall promptly execute and deliver to the Company any and all further assignments, patent applications, or such other documents as the Company may deem necessary to effectuate the purposes of this Agreement. Employee hereby irrevocably designates and appoints the Company and its officers and agents as Employee’s agent and attorney-in-fact, with full powers of substitution, to act for and on Employee’s behalf to execute, verify and file any such documents and to do all other lawfully permitted acts as permitted in the preceding paragraph with the same legal effect as if executed by Employee. The foregoing agency and power shall only be used by the Company if Employee fails to execute within five business days after the Company’s request related to any document or instrument described above. Employee hereby waives and quitclaims to the Company all claims of any nature which Employee now has or may later obtain for infringement of any intellectual property rights assigned under this Agreement or otherwise to the Company.</w:t>
      </w:r>
    </w:p>
    <w:p>
      <w:pPr>
        <w:spacing w:after="0" w:line="237" w:lineRule="exact"/>
        <w:rPr>
          <w:rFonts w:ascii="Arial" w:cs="Arial" w:eastAsia="Arial" w:hAnsi="Arial"/>
          <w:sz w:val="18"/>
          <w:szCs w:val="18"/>
          <w:color w:val="auto"/>
        </w:rPr>
      </w:pPr>
    </w:p>
    <w:p>
      <w:pPr>
        <w:jc w:val="both"/>
        <w:ind w:left="-640" w:firstLine="1287"/>
        <w:spacing w:after="0" w:line="273" w:lineRule="auto"/>
        <w:tabs>
          <w:tab w:leader="none" w:pos="973"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Employee has identified on </w:t>
      </w:r>
      <w:r>
        <w:rPr>
          <w:rFonts w:ascii="Arial" w:cs="Arial" w:eastAsia="Arial" w:hAnsi="Arial"/>
          <w:sz w:val="18"/>
          <w:szCs w:val="18"/>
          <w:u w:val="single" w:color="auto"/>
          <w:color w:val="auto"/>
        </w:rPr>
        <w:t>Attachment C</w:t>
      </w:r>
      <w:r>
        <w:rPr>
          <w:rFonts w:ascii="Arial" w:cs="Arial" w:eastAsia="Arial" w:hAnsi="Arial"/>
          <w:sz w:val="18"/>
          <w:szCs w:val="18"/>
          <w:color w:val="auto"/>
        </w:rPr>
        <w:t xml:space="preserve"> all inventions or improvements relevant to the subject matter of Employee’s engagement with the Company that Employee desires to remove from the operation of this Agreement, and Employee’s post-employment restrictions. If there is no such list on </w:t>
      </w:r>
      <w:r>
        <w:rPr>
          <w:rFonts w:ascii="Arial" w:cs="Arial" w:eastAsia="Arial" w:hAnsi="Arial"/>
          <w:sz w:val="18"/>
          <w:szCs w:val="18"/>
          <w:u w:val="single" w:color="auto"/>
          <w:color w:val="auto"/>
        </w:rPr>
        <w:t>Attachment C</w:t>
      </w:r>
      <w:r>
        <w:rPr>
          <w:rFonts w:ascii="Arial" w:cs="Arial" w:eastAsia="Arial" w:hAnsi="Arial"/>
          <w:sz w:val="18"/>
          <w:szCs w:val="18"/>
          <w:color w:val="auto"/>
        </w:rPr>
        <w:t>, Employee represents that Employee has made no such inventions and improvements at the time of signing this Agreement.</w:t>
      </w:r>
    </w:p>
    <w:p>
      <w:pPr>
        <w:spacing w:after="0" w:line="219" w:lineRule="exact"/>
        <w:rPr>
          <w:rFonts w:ascii="Arial" w:cs="Arial" w:eastAsia="Arial" w:hAnsi="Arial"/>
          <w:sz w:val="18"/>
          <w:szCs w:val="18"/>
          <w:color w:val="auto"/>
        </w:rPr>
      </w:pPr>
    </w:p>
    <w:p>
      <w:pPr>
        <w:ind w:left="-640" w:right="20" w:firstLine="1287"/>
        <w:spacing w:after="0" w:line="287" w:lineRule="auto"/>
        <w:tabs>
          <w:tab w:leader="none" w:pos="969"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provisions of this Agreement requiring the assignment to the Company of Employee’s rights to certain inventions do not apply to an invention for which no equipment, supplies,</w:t>
      </w:r>
    </w:p>
    <w:p>
      <w:pPr>
        <w:sectPr>
          <w:pgSz w:w="11900" w:h="16838" w:orient="portrait"/>
          <w:cols w:equalWidth="0" w:num="1">
            <w:col w:w="9940"/>
          </w:cols>
          <w:pgMar w:left="1300" w:top="1403" w:right="659" w:bottom="1440" w:gutter="0" w:footer="0" w:header="0"/>
        </w:sectPr>
      </w:pPr>
    </w:p>
    <w:bookmarkStart w:id="94" w:name="page95"/>
    <w:bookmarkEnd w:id="94"/>
    <w:p>
      <w:pPr>
        <w:ind w:left="8"/>
        <w:spacing w:after="0"/>
        <w:rPr>
          <w:sz w:val="20"/>
          <w:szCs w:val="20"/>
          <w:color w:val="auto"/>
        </w:rPr>
      </w:pPr>
      <w:r>
        <w:rPr>
          <w:rFonts w:ascii="Arial" w:cs="Arial" w:eastAsia="Arial" w:hAnsi="Arial"/>
          <w:sz w:val="18"/>
          <w:szCs w:val="18"/>
          <w:color w:val="auto"/>
        </w:rPr>
        <w:t>facility, or trade secret information of the Company was used and which was developed entirely on the Employee’s own time, unless</w:t>
      </w:r>
    </w:p>
    <w:p>
      <w:pPr>
        <w:spacing w:after="0" w:line="27" w:lineRule="exact"/>
        <w:rPr>
          <w:sz w:val="20"/>
          <w:szCs w:val="20"/>
          <w:color w:val="auto"/>
        </w:rPr>
      </w:pPr>
    </w:p>
    <w:p>
      <w:pPr>
        <w:ind w:left="8" w:right="20" w:hanging="8"/>
        <w:spacing w:after="0" w:line="282" w:lineRule="auto"/>
        <w:tabs>
          <w:tab w:leader="none" w:pos="25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invention relates a) directly to the business of the Company, or b) to the Company’s actual or demonstrably anticipated research or development, or (ii) the invention results from any work performed by the Employee for the Company.</w:t>
      </w:r>
    </w:p>
    <w:p>
      <w:pPr>
        <w:spacing w:after="0" w:line="89" w:lineRule="exact"/>
        <w:rPr>
          <w:rFonts w:ascii="Arial" w:cs="Arial" w:eastAsia="Arial" w:hAnsi="Arial"/>
          <w:sz w:val="18"/>
          <w:szCs w:val="18"/>
          <w:color w:val="auto"/>
        </w:rPr>
      </w:pPr>
    </w:p>
    <w:p>
      <w:pPr>
        <w:ind w:left="1288" w:hanging="640"/>
        <w:spacing w:after="0"/>
        <w:tabs>
          <w:tab w:leader="none" w:pos="1288" w:val="left"/>
        </w:tabs>
        <w:numPr>
          <w:ilvl w:val="1"/>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Covenants.</w:t>
      </w:r>
    </w:p>
    <w:p>
      <w:pPr>
        <w:spacing w:after="0" w:line="265" w:lineRule="exact"/>
        <w:rPr>
          <w:rFonts w:ascii="Arial" w:cs="Arial" w:eastAsia="Arial" w:hAnsi="Arial"/>
          <w:sz w:val="18"/>
          <w:szCs w:val="18"/>
          <w:color w:val="auto"/>
        </w:rPr>
      </w:pPr>
    </w:p>
    <w:p>
      <w:pPr>
        <w:jc w:val="both"/>
        <w:ind w:left="8" w:firstLine="1287"/>
        <w:spacing w:after="0" w:line="273" w:lineRule="auto"/>
        <w:tabs>
          <w:tab w:leader="none" w:pos="1617" w:val="left"/>
        </w:tabs>
        <w:numPr>
          <w:ilvl w:val="2"/>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during Employee’s employment with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for a period of 12 months following the termination of Employee’s employment, Employee shall not, on behalf of any entity or person other than the Company, directly or indirectly, contact or solicit any Customer for the purpose of delivering, selling, or otherwise offering a product that is the same or similar to that of a Company Product.</w:t>
      </w:r>
    </w:p>
    <w:p>
      <w:pPr>
        <w:spacing w:after="0" w:line="219" w:lineRule="exact"/>
        <w:rPr>
          <w:rFonts w:ascii="Arial" w:cs="Arial" w:eastAsia="Arial" w:hAnsi="Arial"/>
          <w:sz w:val="18"/>
          <w:szCs w:val="18"/>
          <w:color w:val="auto"/>
        </w:rPr>
      </w:pPr>
    </w:p>
    <w:p>
      <w:pPr>
        <w:jc w:val="both"/>
        <w:ind w:left="8" w:right="20" w:firstLine="1287"/>
        <w:spacing w:after="0" w:line="273" w:lineRule="auto"/>
        <w:tabs>
          <w:tab w:leader="none" w:pos="1617" w:val="left"/>
        </w:tabs>
        <w:numPr>
          <w:ilvl w:val="2"/>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Prospective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during Employee’s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for a period of 12 months following the termination of Employee’s employment, Employee shall not, on behalf of any entity or person other than the Company, directly or indirectly, contact or solicit any Prospective Customer for the purpose of delivering, selling, or otherwise offering a product that is the same or similar to that of a Company Product.</w:t>
      </w:r>
    </w:p>
    <w:p>
      <w:pPr>
        <w:spacing w:after="0" w:line="219" w:lineRule="exact"/>
        <w:rPr>
          <w:rFonts w:ascii="Arial" w:cs="Arial" w:eastAsia="Arial" w:hAnsi="Arial"/>
          <w:sz w:val="18"/>
          <w:szCs w:val="18"/>
          <w:color w:val="auto"/>
        </w:rPr>
      </w:pPr>
    </w:p>
    <w:p>
      <w:pPr>
        <w:jc w:val="both"/>
        <w:ind w:left="8" w:firstLine="1287"/>
        <w:spacing w:after="0" w:line="267" w:lineRule="auto"/>
        <w:tabs>
          <w:tab w:leader="none" w:pos="1621" w:val="left"/>
        </w:tabs>
        <w:numPr>
          <w:ilvl w:val="2"/>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during Employee’s employment with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for a period of 12 months following the termination of Employee’s employment, Employee shall not, directly or indirectly: a) induce or attempt to induce any employee of the Company or any of its affiliates with whom Employee had a working relationship in the 24 months prior to the termination of Employee’s employment to terminate his or her employment with the Company; b) hire or employ, or attempt to hire or employ, any employee of the Company or any of its affiliates with whom Employee had a working relationship in the 24 months prior to the termination of Employee’s employment; or c) assist any other person or entity in doing any of the foregoing.</w:t>
      </w:r>
    </w:p>
    <w:p>
      <w:pPr>
        <w:spacing w:after="0" w:line="224" w:lineRule="exact"/>
        <w:rPr>
          <w:rFonts w:ascii="Arial" w:cs="Arial" w:eastAsia="Arial" w:hAnsi="Arial"/>
          <w:sz w:val="18"/>
          <w:szCs w:val="18"/>
          <w:color w:val="auto"/>
        </w:rPr>
      </w:pPr>
    </w:p>
    <w:p>
      <w:pPr>
        <w:jc w:val="both"/>
        <w:ind w:left="8" w:firstLine="1287"/>
        <w:spacing w:after="0" w:line="267" w:lineRule="auto"/>
        <w:tabs>
          <w:tab w:leader="none" w:pos="1617" w:val="left"/>
        </w:tabs>
        <w:numPr>
          <w:ilvl w:val="2"/>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Limited Non-Competition.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during Employee’s employment with the Company and for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period of 12 months following the termination of Employee’s employment, Employee shall not, anywhere in North America (United States, Mexico or Canada) act in any capacity, whether or not for consideration, on behalf of any Competitor. Given the national nature of the Company’s business, the extent to which Employee has been (or will be) exposed to the Company’s Proprietary information, and the ability of Employee to carry out Employee’s work remotely, regardless of physical location, Employee acknowledges the geographic scope of the post-employment restriction in this </w:t>
      </w:r>
      <w:r>
        <w:rPr>
          <w:rFonts w:ascii="Arial" w:cs="Arial" w:eastAsia="Arial" w:hAnsi="Arial"/>
          <w:sz w:val="18"/>
          <w:szCs w:val="18"/>
          <w:u w:val="single" w:color="auto"/>
          <w:color w:val="auto"/>
        </w:rPr>
        <w:t>Section 5(d)</w:t>
      </w:r>
      <w:r>
        <w:rPr>
          <w:rFonts w:ascii="Arial" w:cs="Arial" w:eastAsia="Arial" w:hAnsi="Arial"/>
          <w:sz w:val="18"/>
          <w:szCs w:val="18"/>
          <w:color w:val="auto"/>
        </w:rPr>
        <w:t xml:space="preserve"> is reasonable and appropriate.</w:t>
      </w:r>
    </w:p>
    <w:p>
      <w:pPr>
        <w:spacing w:after="0" w:line="224" w:lineRule="exact"/>
        <w:rPr>
          <w:rFonts w:ascii="Arial" w:cs="Arial" w:eastAsia="Arial" w:hAnsi="Arial"/>
          <w:sz w:val="18"/>
          <w:szCs w:val="18"/>
          <w:color w:val="auto"/>
        </w:rPr>
      </w:pPr>
    </w:p>
    <w:p>
      <w:pPr>
        <w:ind w:left="8" w:right="200" w:firstLine="1287"/>
        <w:spacing w:after="0" w:line="303" w:lineRule="auto"/>
        <w:tabs>
          <w:tab w:leader="none" w:pos="1617" w:val="left"/>
        </w:tabs>
        <w:numPr>
          <w:ilvl w:val="2"/>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Covenant.</w:t>
      </w:r>
      <w:r>
        <w:rPr>
          <w:rFonts w:ascii="Arial" w:cs="Arial" w:eastAsia="Arial" w:hAnsi="Arial"/>
          <w:sz w:val="18"/>
          <w:szCs w:val="18"/>
          <w:b w:val="1"/>
          <w:bCs w:val="1"/>
          <w:color w:val="auto"/>
        </w:rPr>
        <w:t xml:space="preserve"> </w:t>
      </w:r>
      <w:r>
        <w:rPr>
          <w:rFonts w:ascii="Arial" w:cs="Arial" w:eastAsia="Arial" w:hAnsi="Arial"/>
          <w:sz w:val="18"/>
          <w:szCs w:val="18"/>
          <w:color w:val="auto"/>
        </w:rPr>
        <w:t>During Employee’s employment with the Company and following the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employment:</w:t>
      </w:r>
    </w:p>
    <w:p>
      <w:pPr>
        <w:spacing w:after="0" w:line="179" w:lineRule="exact"/>
        <w:rPr>
          <w:rFonts w:ascii="Arial" w:cs="Arial" w:eastAsia="Arial" w:hAnsi="Arial"/>
          <w:sz w:val="18"/>
          <w:szCs w:val="18"/>
          <w:color w:val="auto"/>
        </w:rPr>
      </w:pPr>
    </w:p>
    <w:p>
      <w:pPr>
        <w:jc w:val="both"/>
        <w:ind w:left="648" w:firstLine="1296"/>
        <w:spacing w:after="0" w:line="271" w:lineRule="auto"/>
        <w:tabs>
          <w:tab w:leader="none" w:pos="2266" w:val="left"/>
        </w:tabs>
        <w:numPr>
          <w:ilvl w:val="3"/>
          <w:numId w:val="56"/>
        </w:numPr>
        <w:rPr>
          <w:rFonts w:ascii="Arial" w:cs="Arial" w:eastAsia="Arial" w:hAnsi="Arial"/>
          <w:sz w:val="18"/>
          <w:szCs w:val="18"/>
          <w:color w:val="auto"/>
        </w:rPr>
      </w:pPr>
      <w:r>
        <w:rPr>
          <w:rFonts w:ascii="Arial" w:cs="Arial" w:eastAsia="Arial" w:hAnsi="Arial"/>
          <w:sz w:val="18"/>
          <w:szCs w:val="18"/>
          <w:color w:val="auto"/>
        </w:rPr>
        <w:t>Employee will not disclose or transfer, directly or indirectly, any Proprietary Information to any person or entity other than as authorized by the Company. Employee understands and agrees that disclosures authorized by the Company for the benefit of the Company must be made in accordance with the Company’s policies and practices designed to maintain the confidentiality of Proprietary Information, for example providing information after obtaining signed non-disclosure or confidentiality agreements;</w:t>
      </w:r>
    </w:p>
    <w:p>
      <w:pPr>
        <w:spacing w:after="0" w:line="221" w:lineRule="exact"/>
        <w:rPr>
          <w:rFonts w:ascii="Arial" w:cs="Arial" w:eastAsia="Arial" w:hAnsi="Arial"/>
          <w:sz w:val="18"/>
          <w:szCs w:val="18"/>
          <w:color w:val="auto"/>
        </w:rPr>
      </w:pPr>
    </w:p>
    <w:p>
      <w:pPr>
        <w:ind w:left="648" w:right="20" w:firstLine="1296"/>
        <w:spacing w:after="0" w:line="287" w:lineRule="auto"/>
        <w:tabs>
          <w:tab w:leader="none" w:pos="2265" w:val="left"/>
        </w:tabs>
        <w:numPr>
          <w:ilvl w:val="3"/>
          <w:numId w:val="56"/>
        </w:numPr>
        <w:rPr>
          <w:rFonts w:ascii="Arial" w:cs="Arial" w:eastAsia="Arial" w:hAnsi="Arial"/>
          <w:sz w:val="18"/>
          <w:szCs w:val="18"/>
          <w:color w:val="auto"/>
        </w:rPr>
      </w:pPr>
      <w:r>
        <w:rPr>
          <w:rFonts w:ascii="Arial" w:cs="Arial" w:eastAsia="Arial" w:hAnsi="Arial"/>
          <w:sz w:val="18"/>
          <w:szCs w:val="18"/>
          <w:color w:val="auto"/>
        </w:rPr>
        <w:t>Employee will not use, directly or indirectly, any Proprietary Information for the benefit or profit of any person or organization, including Employee, other than the Company;</w:t>
      </w:r>
    </w:p>
    <w:p>
      <w:pPr>
        <w:spacing w:after="0" w:line="206" w:lineRule="exact"/>
        <w:rPr>
          <w:rFonts w:ascii="Arial" w:cs="Arial" w:eastAsia="Arial" w:hAnsi="Arial"/>
          <w:sz w:val="18"/>
          <w:szCs w:val="18"/>
          <w:color w:val="auto"/>
        </w:rPr>
      </w:pPr>
    </w:p>
    <w:p>
      <w:pPr>
        <w:ind w:left="648" w:firstLine="1296"/>
        <w:spacing w:after="0" w:line="303" w:lineRule="auto"/>
        <w:tabs>
          <w:tab w:leader="none" w:pos="2265" w:val="left"/>
        </w:tabs>
        <w:numPr>
          <w:ilvl w:val="3"/>
          <w:numId w:val="56"/>
        </w:numPr>
        <w:rPr>
          <w:rFonts w:ascii="Arial" w:cs="Arial" w:eastAsia="Arial" w:hAnsi="Arial"/>
          <w:sz w:val="18"/>
          <w:szCs w:val="18"/>
          <w:color w:val="auto"/>
        </w:rPr>
      </w:pPr>
      <w:r>
        <w:rPr>
          <w:rFonts w:ascii="Arial" w:cs="Arial" w:eastAsia="Arial" w:hAnsi="Arial"/>
          <w:sz w:val="18"/>
          <w:szCs w:val="18"/>
          <w:color w:val="auto"/>
        </w:rPr>
        <w:t>Employee will not remove or transfer from any of the Company’s offices or premises any materials or property of the Company (including, without limitation, materials and</w:t>
      </w:r>
    </w:p>
    <w:p>
      <w:pPr>
        <w:sectPr>
          <w:pgSz w:w="11900" w:h="16838" w:orient="portrait"/>
          <w:cols w:equalWidth="0" w:num="1">
            <w:col w:w="10588"/>
          </w:cols>
          <w:pgMar w:left="652" w:top="1403" w:right="659" w:bottom="1440" w:gutter="0" w:footer="0" w:header="0"/>
        </w:sectPr>
      </w:pPr>
    </w:p>
    <w:bookmarkStart w:id="95" w:name="page96"/>
    <w:bookmarkEnd w:id="95"/>
    <w:p>
      <w:pPr>
        <w:ind w:right="500"/>
        <w:spacing w:after="0" w:line="287" w:lineRule="auto"/>
        <w:rPr>
          <w:sz w:val="20"/>
          <w:szCs w:val="20"/>
          <w:color w:val="auto"/>
        </w:rPr>
      </w:pPr>
      <w:r>
        <w:rPr>
          <w:rFonts w:ascii="Arial" w:cs="Arial" w:eastAsia="Arial" w:hAnsi="Arial"/>
          <w:sz w:val="18"/>
          <w:szCs w:val="18"/>
          <w:color w:val="auto"/>
        </w:rPr>
        <w:t>property containing Proprietary Information), except as is strictly necessary in the performance of Employee’s assigned duties as an employee;</w:t>
      </w:r>
    </w:p>
    <w:p>
      <w:pPr>
        <w:spacing w:after="0" w:line="207" w:lineRule="exact"/>
        <w:rPr>
          <w:sz w:val="20"/>
          <w:szCs w:val="20"/>
          <w:color w:val="auto"/>
        </w:rPr>
      </w:pPr>
    </w:p>
    <w:p>
      <w:pPr>
        <w:jc w:val="both"/>
        <w:ind w:firstLine="1296"/>
        <w:spacing w:after="0" w:line="284" w:lineRule="auto"/>
        <w:tabs>
          <w:tab w:leader="none" w:pos="1613" w:val="left"/>
        </w:tabs>
        <w:numPr>
          <w:ilvl w:val="1"/>
          <w:numId w:val="57"/>
        </w:numPr>
        <w:rPr>
          <w:rFonts w:ascii="Arial" w:cs="Arial" w:eastAsia="Arial" w:hAnsi="Arial"/>
          <w:sz w:val="18"/>
          <w:szCs w:val="18"/>
          <w:color w:val="auto"/>
        </w:rPr>
      </w:pPr>
      <w:r>
        <w:rPr>
          <w:rFonts w:ascii="Arial" w:cs="Arial" w:eastAsia="Arial" w:hAnsi="Arial"/>
          <w:sz w:val="18"/>
          <w:szCs w:val="18"/>
          <w:color w:val="auto"/>
        </w:rPr>
        <w:t>Employee will not copy any Proprietary Information except as needed in furtherance of and for use in the Company’s business. Employee agrees that copies of Proprietary Information must be treated with the same degree of confidentiality as the original information and are subject to the same restrictions contained in this Agreement;</w:t>
      </w:r>
    </w:p>
    <w:p>
      <w:pPr>
        <w:spacing w:after="0" w:line="196" w:lineRule="exact"/>
        <w:rPr>
          <w:rFonts w:ascii="Arial" w:cs="Arial" w:eastAsia="Arial" w:hAnsi="Arial"/>
          <w:sz w:val="18"/>
          <w:szCs w:val="18"/>
          <w:color w:val="auto"/>
        </w:rPr>
      </w:pPr>
    </w:p>
    <w:p>
      <w:pPr>
        <w:jc w:val="both"/>
        <w:ind w:firstLine="1296"/>
        <w:spacing w:after="0" w:line="284" w:lineRule="auto"/>
        <w:tabs>
          <w:tab w:leader="none" w:pos="1614" w:val="left"/>
        </w:tabs>
        <w:numPr>
          <w:ilvl w:val="1"/>
          <w:numId w:val="57"/>
        </w:numPr>
        <w:rPr>
          <w:rFonts w:ascii="Arial" w:cs="Arial" w:eastAsia="Arial" w:hAnsi="Arial"/>
          <w:sz w:val="18"/>
          <w:szCs w:val="18"/>
          <w:color w:val="auto"/>
        </w:rPr>
      </w:pPr>
      <w:r>
        <w:rPr>
          <w:rFonts w:ascii="Arial" w:cs="Arial" w:eastAsia="Arial" w:hAnsi="Arial"/>
          <w:sz w:val="18"/>
          <w:szCs w:val="18"/>
          <w:color w:val="auto"/>
        </w:rPr>
        <w:t>Employee will promptly upon the Company’s request, and in any event promptly upon the termination of Employee’s employment with the Company, return to the Company all materials and property removed from or belonging to the Company and Employee will not retain copies of any of such materials and property;</w:t>
      </w:r>
    </w:p>
    <w:p>
      <w:pPr>
        <w:spacing w:after="0" w:line="196" w:lineRule="exact"/>
        <w:rPr>
          <w:rFonts w:ascii="Arial" w:cs="Arial" w:eastAsia="Arial" w:hAnsi="Arial"/>
          <w:sz w:val="18"/>
          <w:szCs w:val="18"/>
          <w:color w:val="auto"/>
        </w:rPr>
      </w:pPr>
    </w:p>
    <w:p>
      <w:pPr>
        <w:ind w:firstLine="1296"/>
        <w:spacing w:after="0" w:line="303" w:lineRule="auto"/>
        <w:tabs>
          <w:tab w:leader="none" w:pos="1613" w:val="left"/>
        </w:tabs>
        <w:numPr>
          <w:ilvl w:val="1"/>
          <w:numId w:val="57"/>
        </w:numPr>
        <w:rPr>
          <w:rFonts w:ascii="Arial" w:cs="Arial" w:eastAsia="Arial" w:hAnsi="Arial"/>
          <w:sz w:val="18"/>
          <w:szCs w:val="18"/>
          <w:color w:val="auto"/>
        </w:rPr>
      </w:pPr>
      <w:r>
        <w:rPr>
          <w:rFonts w:ascii="Arial" w:cs="Arial" w:eastAsia="Arial" w:hAnsi="Arial"/>
          <w:sz w:val="18"/>
          <w:szCs w:val="18"/>
          <w:color w:val="auto"/>
        </w:rPr>
        <w:t>Employee agrees to take all reasonable steps to preserve the confidential and proprietary nature of Proprietary Information and to prevent the inadvertent or accidental disclosure of Proprietary Information; and</w:t>
      </w:r>
    </w:p>
    <w:p>
      <w:pPr>
        <w:spacing w:after="0" w:line="192" w:lineRule="exact"/>
        <w:rPr>
          <w:rFonts w:ascii="Arial" w:cs="Arial" w:eastAsia="Arial" w:hAnsi="Arial"/>
          <w:sz w:val="18"/>
          <w:szCs w:val="18"/>
          <w:color w:val="auto"/>
        </w:rPr>
      </w:pPr>
    </w:p>
    <w:p>
      <w:pPr>
        <w:jc w:val="both"/>
        <w:ind w:firstLine="1296"/>
        <w:spacing w:after="0" w:line="276" w:lineRule="auto"/>
        <w:tabs>
          <w:tab w:leader="none" w:pos="1613" w:val="left"/>
        </w:tabs>
        <w:numPr>
          <w:ilvl w:val="1"/>
          <w:numId w:val="57"/>
        </w:numPr>
        <w:rPr>
          <w:rFonts w:ascii="Arial" w:cs="Arial" w:eastAsia="Arial" w:hAnsi="Arial"/>
          <w:sz w:val="18"/>
          <w:szCs w:val="18"/>
          <w:color w:val="auto"/>
        </w:rPr>
      </w:pPr>
      <w:r>
        <w:rPr>
          <w:rFonts w:ascii="Arial" w:cs="Arial" w:eastAsia="Arial" w:hAnsi="Arial"/>
          <w:sz w:val="18"/>
          <w:szCs w:val="18"/>
          <w:color w:val="auto"/>
        </w:rPr>
        <w:t>Employee will not use or rely on the confidential or proprietary information or trade secrets of a third party in the performance of Employee’s work for the Company except when obtained through lawful means such as contractual teaming agreements, purchase of copyrights, or other written permission for use of such information.</w:t>
      </w:r>
    </w:p>
    <w:p>
      <w:pPr>
        <w:spacing w:after="0" w:line="217" w:lineRule="exact"/>
        <w:rPr>
          <w:rFonts w:ascii="Arial" w:cs="Arial" w:eastAsia="Arial" w:hAnsi="Arial"/>
          <w:sz w:val="18"/>
          <w:szCs w:val="18"/>
          <w:color w:val="auto"/>
        </w:rPr>
      </w:pPr>
    </w:p>
    <w:p>
      <w:pPr>
        <w:jc w:val="both"/>
        <w:ind w:left="-640" w:firstLine="1287"/>
        <w:spacing w:after="0" w:line="266" w:lineRule="auto"/>
        <w:tabs>
          <w:tab w:leader="none" w:pos="973"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Scope of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desire for the restrictive covenants, including any time period and geographic</w:t>
      </w:r>
      <w:r>
        <w:rPr>
          <w:rFonts w:ascii="Arial" w:cs="Arial" w:eastAsia="Arial" w:hAnsi="Arial"/>
          <w:sz w:val="18"/>
          <w:szCs w:val="18"/>
          <w:b w:val="1"/>
          <w:bCs w:val="1"/>
          <w:color w:val="auto"/>
        </w:rPr>
        <w:t xml:space="preserve"> </w:t>
      </w:r>
      <w:r>
        <w:rPr>
          <w:rFonts w:ascii="Arial" w:cs="Arial" w:eastAsia="Arial" w:hAnsi="Arial"/>
          <w:sz w:val="18"/>
          <w:szCs w:val="18"/>
          <w:color w:val="auto"/>
        </w:rPr>
        <w:t>scope, to be construed as broadly as permitted by applicable law. It is the parties’ intent, and a critical inducement to the Company entering into this Agreement, to protect and preserve the Company’s legitimate interests, and thus the parties agree that the time period and the geographic coverage and scope of the post-employment restrictions herein are reasonable and necessary. However, if a court of competent jurisdiction finds that the time period of any of the foregoing post-employment restrictions is too lengthy, the geographic scope is too broad, or the agreement overreaches in any way, the parties authorize and respectfully ask the court to modify or, if modification is not possible, strike the offending portion, but only that portion, and grant the relief reasonably necessary to protect the Company’s interests so as to achieve the original intent of the parties.</w:t>
      </w:r>
    </w:p>
    <w:p>
      <w:pPr>
        <w:spacing w:after="0" w:line="216" w:lineRule="exact"/>
        <w:rPr>
          <w:rFonts w:ascii="Arial" w:cs="Arial" w:eastAsia="Arial" w:hAnsi="Arial"/>
          <w:sz w:val="18"/>
          <w:szCs w:val="18"/>
          <w:color w:val="auto"/>
        </w:rPr>
      </w:pPr>
    </w:p>
    <w:p>
      <w:pPr>
        <w:jc w:val="both"/>
        <w:ind w:left="-640" w:firstLine="1287"/>
        <w:spacing w:after="0" w:line="270" w:lineRule="auto"/>
        <w:tabs>
          <w:tab w:leader="none" w:pos="969"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a threatened or existing violation of any of the post-employment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this Agreement would cause the Company irreparable injury for which it would have no adequate remedy at law and agrees that the Company will be entitled to obtain injunctive relief prohibiting such violation, in addition to any other rights and remedies available to it at law or in equity. The real or perceived existence of any claim or cause of action against the Company, whether predicated on this Agreement or some other basis, will not alleviate Employee of Employee’s obligations under this Agreement and will not constitute a defense to the enforcement by the Company of post-employment restrictions contained herein.</w:t>
      </w:r>
    </w:p>
    <w:p>
      <w:pPr>
        <w:spacing w:after="0" w:line="209" w:lineRule="exact"/>
        <w:rPr>
          <w:rFonts w:ascii="Arial" w:cs="Arial" w:eastAsia="Arial" w:hAnsi="Arial"/>
          <w:sz w:val="18"/>
          <w:szCs w:val="18"/>
          <w:color w:val="auto"/>
        </w:rPr>
      </w:pPr>
    </w:p>
    <w:p>
      <w:pPr>
        <w:jc w:val="both"/>
        <w:ind w:left="-640" w:firstLine="1287"/>
        <w:spacing w:after="0" w:line="284" w:lineRule="auto"/>
        <w:tabs>
          <w:tab w:leader="none" w:pos="969"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Tolling of Time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in the event Employee violates any subsection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b w:val="1"/>
          <w:bCs w:val="1"/>
          <w:color w:val="auto"/>
        </w:rPr>
        <w:t xml:space="preserve"> </w:t>
      </w:r>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as to which there is a specific time period during which Employee is prohibited from certain actions and activities, such violation shall toll the running of such time period from the date of such violation until the date the violation ceases.</w:t>
      </w:r>
    </w:p>
    <w:p>
      <w:pPr>
        <w:spacing w:after="0" w:line="196" w:lineRule="exact"/>
        <w:rPr>
          <w:rFonts w:ascii="Arial" w:cs="Arial" w:eastAsia="Arial" w:hAnsi="Arial"/>
          <w:sz w:val="18"/>
          <w:szCs w:val="18"/>
          <w:color w:val="auto"/>
        </w:rPr>
      </w:pPr>
    </w:p>
    <w:p>
      <w:pPr>
        <w:jc w:val="both"/>
        <w:ind w:left="-640" w:firstLine="1287"/>
        <w:spacing w:after="0" w:line="273" w:lineRule="auto"/>
        <w:tabs>
          <w:tab w:leader="none" w:pos="977"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Inevitable Use of Proprietary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acknowledges and agrees that, after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separation of employment, Employee will possess the Company’s Proprietary Information which Employee would inevitably use if Employee were to engage in the conduct prohibited by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(including each of its sub-sections), that such use would be unfair and extremely detrimental to the Company and, in view of the benefits provided to Employee in this Agreement, that such conduct on</w:t>
      </w:r>
    </w:p>
    <w:p>
      <w:pPr>
        <w:sectPr>
          <w:pgSz w:w="11900" w:h="16838" w:orient="portrait"/>
          <w:cols w:equalWidth="0" w:num="1">
            <w:col w:w="9940"/>
          </w:cols>
          <w:pgMar w:left="1300" w:top="1403" w:right="659" w:bottom="1440" w:gutter="0" w:footer="0" w:header="0"/>
        </w:sectPr>
      </w:pPr>
    </w:p>
    <w:bookmarkStart w:id="96" w:name="page97"/>
    <w:bookmarkEnd w:id="96"/>
    <w:p>
      <w:pPr>
        <w:ind w:right="360"/>
        <w:spacing w:after="0" w:line="287" w:lineRule="auto"/>
        <w:rPr>
          <w:sz w:val="20"/>
          <w:szCs w:val="20"/>
          <w:color w:val="auto"/>
        </w:rPr>
      </w:pPr>
      <w:r>
        <w:rPr>
          <w:rFonts w:ascii="Arial" w:cs="Arial" w:eastAsia="Arial" w:hAnsi="Arial"/>
          <w:sz w:val="18"/>
          <w:szCs w:val="18"/>
          <w:color w:val="auto"/>
        </w:rPr>
        <w:t>his or her part would be inequitable. Accordingly, Employee separately and severally agrees for the benefit of the Company to be bound by each of the covenants described above.</w:t>
      </w:r>
    </w:p>
    <w:p>
      <w:pPr>
        <w:spacing w:after="0" w:line="99" w:lineRule="exact"/>
        <w:rPr>
          <w:sz w:val="20"/>
          <w:szCs w:val="20"/>
          <w:color w:val="auto"/>
        </w:rPr>
      </w:pPr>
    </w:p>
    <w:p>
      <w:pPr>
        <w:jc w:val="both"/>
        <w:ind w:firstLine="639"/>
        <w:spacing w:after="0" w:line="259" w:lineRule="auto"/>
        <w:tabs>
          <w:tab w:leader="none" w:pos="959"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Reasonable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acknowledges that it is necessary and appropriate for the Company to protect its</w:t>
      </w:r>
      <w:r>
        <w:rPr>
          <w:rFonts w:ascii="Arial" w:cs="Arial" w:eastAsia="Arial" w:hAnsi="Arial"/>
          <w:sz w:val="18"/>
          <w:szCs w:val="18"/>
          <w:b w:val="1"/>
          <w:bCs w:val="1"/>
          <w:color w:val="auto"/>
        </w:rPr>
        <w:t xml:space="preserve"> </w:t>
      </w:r>
      <w:r>
        <w:rPr>
          <w:rFonts w:ascii="Arial" w:cs="Arial" w:eastAsia="Arial" w:hAnsi="Arial"/>
          <w:sz w:val="18"/>
          <w:szCs w:val="18"/>
          <w:color w:val="auto"/>
        </w:rPr>
        <w:t>legitimate business interests by restricting Employee’s ability to engage in certain competitive activities and any violation of such post-employment restrictions would result in irreparable injury to the Company’s legitimate business interests. The parties agree that the post-employment restrictions contained in this Agreement are drafted narrowly to safeguard the Company’s legitimate business interests while not unreasonably interfering with Employee’s ability to obtain other employment.</w:t>
      </w:r>
    </w:p>
    <w:p>
      <w:pPr>
        <w:spacing w:after="0" w:line="206" w:lineRule="exact"/>
        <w:rPr>
          <w:rFonts w:ascii="Arial" w:cs="Arial" w:eastAsia="Arial" w:hAnsi="Arial"/>
          <w:sz w:val="18"/>
          <w:szCs w:val="18"/>
          <w:color w:val="auto"/>
        </w:rPr>
      </w:pPr>
    </w:p>
    <w:p>
      <w:pPr>
        <w:jc w:val="both"/>
        <w:ind w:firstLine="639"/>
        <w:spacing w:after="0" w:line="257" w:lineRule="auto"/>
        <w:tabs>
          <w:tab w:leader="none" w:pos="959"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No representation, promise, understanding, or warranty not set forth herein has been made or relied</w:t>
      </w:r>
      <w:r>
        <w:rPr>
          <w:rFonts w:ascii="Arial" w:cs="Arial" w:eastAsia="Arial" w:hAnsi="Arial"/>
          <w:sz w:val="18"/>
          <w:szCs w:val="18"/>
          <w:b w:val="1"/>
          <w:bCs w:val="1"/>
          <w:color w:val="auto"/>
        </w:rPr>
        <w:t xml:space="preserve"> </w:t>
      </w:r>
      <w:r>
        <w:rPr>
          <w:rFonts w:ascii="Arial" w:cs="Arial" w:eastAsia="Arial" w:hAnsi="Arial"/>
          <w:sz w:val="18"/>
          <w:szCs w:val="18"/>
          <w:color w:val="auto"/>
        </w:rPr>
        <w:t>upon by either party in making this Agreement. No modification, amendment or addition will be valid, unless set forth in writing and signed by the patty against whom enforcement of any such modification, amendment or addition is sought. Notwithstanding, this Agreement supersedes any prior confidentiality agreements or restrictive covenants between the Company and Employee provided however that if a court of competent jurisdiction refuses to enforce this Agreement, then the patties agree that the term of any prior confidentiality or restrictive covenants shall govern.</w:t>
      </w:r>
    </w:p>
    <w:p>
      <w:pPr>
        <w:spacing w:after="0" w:line="209" w:lineRule="exact"/>
        <w:rPr>
          <w:rFonts w:ascii="Arial" w:cs="Arial" w:eastAsia="Arial" w:hAnsi="Arial"/>
          <w:sz w:val="18"/>
          <w:szCs w:val="18"/>
          <w:color w:val="auto"/>
        </w:rPr>
      </w:pPr>
    </w:p>
    <w:p>
      <w:pPr>
        <w:jc w:val="both"/>
        <w:ind w:firstLine="639"/>
        <w:spacing w:after="0" w:line="268" w:lineRule="auto"/>
        <w:tabs>
          <w:tab w:leader="none" w:pos="959"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At Will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shall be deemed to constitute a contract of employment for any given</w:t>
      </w:r>
      <w:r>
        <w:rPr>
          <w:rFonts w:ascii="Arial" w:cs="Arial" w:eastAsia="Arial" w:hAnsi="Arial"/>
          <w:sz w:val="18"/>
          <w:szCs w:val="18"/>
          <w:b w:val="1"/>
          <w:bCs w:val="1"/>
          <w:color w:val="auto"/>
        </w:rPr>
        <w:t xml:space="preserve"> </w:t>
      </w:r>
      <w:r>
        <w:rPr>
          <w:rFonts w:ascii="Arial" w:cs="Arial" w:eastAsia="Arial" w:hAnsi="Arial"/>
          <w:sz w:val="18"/>
          <w:szCs w:val="18"/>
          <w:color w:val="auto"/>
        </w:rPr>
        <w:t>duration. The relationship between the Company and Employee shall be employment-at-will and either the Company or Employee may terminate it at any time for any reason without liability.</w:t>
      </w:r>
    </w:p>
    <w:p>
      <w:pPr>
        <w:spacing w:after="0" w:line="157" w:lineRule="exact"/>
        <w:rPr>
          <w:rFonts w:ascii="Arial" w:cs="Arial" w:eastAsia="Arial" w:hAnsi="Arial"/>
          <w:sz w:val="18"/>
          <w:szCs w:val="18"/>
          <w:color w:val="auto"/>
        </w:rPr>
      </w:pPr>
    </w:p>
    <w:p>
      <w:pPr>
        <w:ind w:left="1280" w:hanging="640"/>
        <w:spacing w:after="0"/>
        <w:tabs>
          <w:tab w:leader="none" w:pos="1280"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Subsequent Employment.</w:t>
      </w:r>
    </w:p>
    <w:p>
      <w:pPr>
        <w:spacing w:after="0" w:line="265" w:lineRule="exact"/>
        <w:rPr>
          <w:rFonts w:ascii="Arial" w:cs="Arial" w:eastAsia="Arial" w:hAnsi="Arial"/>
          <w:sz w:val="18"/>
          <w:szCs w:val="18"/>
          <w:color w:val="auto"/>
        </w:rPr>
      </w:pPr>
    </w:p>
    <w:p>
      <w:pPr>
        <w:jc w:val="both"/>
        <w:ind w:firstLine="1287"/>
        <w:spacing w:after="0" w:line="270" w:lineRule="auto"/>
        <w:tabs>
          <w:tab w:leader="none" w:pos="1609" w:val="left"/>
        </w:tabs>
        <w:numPr>
          <w:ilvl w:val="1"/>
          <w:numId w:val="59"/>
        </w:numPr>
        <w:rPr>
          <w:rFonts w:ascii="Arial" w:cs="Arial" w:eastAsia="Arial" w:hAnsi="Arial"/>
          <w:sz w:val="18"/>
          <w:szCs w:val="18"/>
          <w:color w:val="auto"/>
        </w:rPr>
      </w:pPr>
      <w:r>
        <w:rPr>
          <w:rFonts w:ascii="Arial" w:cs="Arial" w:eastAsia="Arial" w:hAnsi="Arial"/>
          <w:sz w:val="18"/>
          <w:szCs w:val="18"/>
          <w:color w:val="auto"/>
        </w:rPr>
        <w:t>For a period of 12 months following the termination of Employee’s employment with the Company, Employee shall advise the Company with respect to any new employment by Employee’s. Employee is aware that the Company may contact Employee’s prospective or subsequent employers and inform them of this Agreement or any other policy or employment agreement between Employee and the Company that may be in effect on Employee’s last day of employment. Employee understands that Employee has a duty to contact the Company if Employee has any questions regarding whether or not conduct by Employee would be restricted by this Agreement.</w:t>
      </w:r>
    </w:p>
    <w:p>
      <w:pPr>
        <w:spacing w:after="0" w:line="209" w:lineRule="exact"/>
        <w:rPr>
          <w:rFonts w:ascii="Arial" w:cs="Arial" w:eastAsia="Arial" w:hAnsi="Arial"/>
          <w:sz w:val="18"/>
          <w:szCs w:val="18"/>
          <w:color w:val="auto"/>
        </w:rPr>
      </w:pPr>
    </w:p>
    <w:p>
      <w:pPr>
        <w:jc w:val="both"/>
        <w:ind w:firstLine="1287"/>
        <w:spacing w:after="0" w:line="273" w:lineRule="auto"/>
        <w:tabs>
          <w:tab w:leader="none" w:pos="1609" w:val="left"/>
        </w:tabs>
        <w:numPr>
          <w:ilvl w:val="1"/>
          <w:numId w:val="59"/>
        </w:numPr>
        <w:rPr>
          <w:rFonts w:ascii="Arial" w:cs="Arial" w:eastAsia="Arial" w:hAnsi="Arial"/>
          <w:sz w:val="18"/>
          <w:szCs w:val="18"/>
          <w:color w:val="auto"/>
        </w:rPr>
      </w:pPr>
      <w:r>
        <w:rPr>
          <w:rFonts w:ascii="Arial" w:cs="Arial" w:eastAsia="Arial" w:hAnsi="Arial"/>
          <w:sz w:val="18"/>
          <w:szCs w:val="18"/>
          <w:color w:val="auto"/>
        </w:rPr>
        <w:t>Employee shall make the terms and conditions of the post-employment restrictions in this Agreement known to any business, entity or persons engaged in activities competitive with the Company’s business with which Employee becomes associated during Employee’s employment with the Company and in the 12-month period after the termination of Employee’s employment.</w:t>
      </w:r>
    </w:p>
    <w:p>
      <w:pPr>
        <w:spacing w:after="0" w:line="97" w:lineRule="exact"/>
        <w:rPr>
          <w:rFonts w:ascii="Arial" w:cs="Arial" w:eastAsia="Arial" w:hAnsi="Arial"/>
          <w:sz w:val="18"/>
          <w:szCs w:val="18"/>
          <w:color w:val="auto"/>
        </w:rPr>
      </w:pPr>
    </w:p>
    <w:p>
      <w:pPr>
        <w:jc w:val="both"/>
        <w:ind w:firstLine="639"/>
        <w:spacing w:after="0" w:line="257" w:lineRule="auto"/>
        <w:tabs>
          <w:tab w:leader="none" w:pos="964"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 of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assign this Agreement, its rights, interests and remedies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its obligations under this Agreement, to any successor or purchaser of the Company or any division or business of the Company in the discretion of the Company and without notice to Employee. The validity of this Agreement will not be affected by the sale (whether via a stock or asset sale), merger, or any other change in ownership of the Company. Employee understands that Employee’s obligations under this Agreement are personal, and that Employee may not assign this Agreement, or any of Employee’s rights, interests, or obligations under this Agreement.</w:t>
      </w:r>
    </w:p>
    <w:p>
      <w:pPr>
        <w:spacing w:after="0" w:line="222" w:lineRule="exact"/>
        <w:rPr>
          <w:rFonts w:ascii="Arial" w:cs="Arial" w:eastAsia="Arial" w:hAnsi="Arial"/>
          <w:sz w:val="18"/>
          <w:szCs w:val="18"/>
          <w:color w:val="auto"/>
        </w:rPr>
      </w:pPr>
    </w:p>
    <w:p>
      <w:pPr>
        <w:jc w:val="both"/>
        <w:ind w:firstLine="639"/>
        <w:spacing w:after="0" w:line="262" w:lineRule="auto"/>
        <w:tabs>
          <w:tab w:leader="none" w:pos="951"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Non-Waiver.</w:t>
      </w:r>
      <w:r>
        <w:rPr>
          <w:rFonts w:ascii="Arial" w:cs="Arial" w:eastAsia="Arial" w:hAnsi="Arial"/>
          <w:sz w:val="18"/>
          <w:szCs w:val="18"/>
          <w:b w:val="1"/>
          <w:bCs w:val="1"/>
          <w:color w:val="auto"/>
        </w:rPr>
        <w:t xml:space="preserve"> </w:t>
      </w:r>
      <w:r>
        <w:rPr>
          <w:rFonts w:ascii="Arial" w:cs="Arial" w:eastAsia="Arial" w:hAnsi="Arial"/>
          <w:sz w:val="18"/>
          <w:szCs w:val="18"/>
          <w:color w:val="auto"/>
        </w:rPr>
        <w:t>No failure or delay by any party to this Agreement in exercising any right, power or privilege hereunder, will</w:t>
      </w:r>
      <w:r>
        <w:rPr>
          <w:rFonts w:ascii="Arial" w:cs="Arial" w:eastAsia="Arial" w:hAnsi="Arial"/>
          <w:sz w:val="18"/>
          <w:szCs w:val="18"/>
          <w:b w:val="1"/>
          <w:bCs w:val="1"/>
          <w:color w:val="auto"/>
        </w:rPr>
        <w:t xml:space="preserve"> </w:t>
      </w:r>
      <w:r>
        <w:rPr>
          <w:rFonts w:ascii="Arial" w:cs="Arial" w:eastAsia="Arial" w:hAnsi="Arial"/>
          <w:sz w:val="18"/>
          <w:szCs w:val="18"/>
          <w:color w:val="auto"/>
        </w:rPr>
        <w:t>operate as a waiver thereof, nor will any single or partial exercise thereof preclude any other or further exercise thereof or the exercise of any other right, power or privilege. The rights and remedies provided herein will be cumulative and in addition to any rights or remedies provided by law or equity.</w:t>
      </w:r>
    </w:p>
    <w:p>
      <w:pPr>
        <w:spacing w:after="0" w:line="203" w:lineRule="exact"/>
        <w:rPr>
          <w:rFonts w:ascii="Arial" w:cs="Arial" w:eastAsia="Arial" w:hAnsi="Arial"/>
          <w:sz w:val="18"/>
          <w:szCs w:val="18"/>
          <w:color w:val="auto"/>
        </w:rPr>
      </w:pPr>
    </w:p>
    <w:p>
      <w:pPr>
        <w:ind w:firstLine="639"/>
        <w:spacing w:after="0" w:line="271" w:lineRule="auto"/>
        <w:tabs>
          <w:tab w:leader="none" w:pos="964"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be governed by and construed in accordance with the laws of the State of Illinois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giving effect to any conflict of law principles.</w:t>
      </w:r>
    </w:p>
    <w:p>
      <w:pPr>
        <w:sectPr>
          <w:pgSz w:w="11900" w:h="16838" w:orient="portrait"/>
          <w:cols w:equalWidth="0" w:num="1">
            <w:col w:w="10580"/>
          </w:cols>
          <w:pgMar w:left="660" w:top="1403" w:right="659" w:bottom="1440" w:gutter="0" w:footer="0" w:header="0"/>
        </w:sectPr>
      </w:pPr>
    </w:p>
    <w:bookmarkStart w:id="97" w:name="page98"/>
    <w:bookmarkEnd w:id="97"/>
    <w:p>
      <w:pPr>
        <w:spacing w:after="0" w:line="207" w:lineRule="exact"/>
        <w:rPr>
          <w:sz w:val="20"/>
          <w:szCs w:val="20"/>
          <w:color w:val="auto"/>
        </w:rPr>
      </w:pPr>
    </w:p>
    <w:p>
      <w:pPr>
        <w:jc w:val="both"/>
        <w:ind w:left="8" w:firstLine="639"/>
        <w:spacing w:after="0" w:line="257" w:lineRule="auto"/>
        <w:tabs>
          <w:tab w:leader="none" w:pos="972" w:val="left"/>
        </w:tabs>
        <w:numPr>
          <w:ilvl w:val="1"/>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Consent to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expressly consent to the exclusive jurisdiction of the state or federal courts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Illinois to resolve any and all disputes arising under the post-employment restrictions contained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Agreement and hereby waive any right that they might have to object to jurisdiction or venue within such court or any defense based on the doctrine of </w:t>
      </w:r>
      <w:r>
        <w:rPr>
          <w:rFonts w:ascii="Arial" w:cs="Arial" w:eastAsia="Arial" w:hAnsi="Arial"/>
          <w:sz w:val="18"/>
          <w:szCs w:val="18"/>
          <w:i w:val="1"/>
          <w:iCs w:val="1"/>
          <w:color w:val="auto"/>
        </w:rPr>
        <w:t>forum non conveniens</w:t>
      </w:r>
      <w:r>
        <w:rPr>
          <w:rFonts w:ascii="Arial" w:cs="Arial" w:eastAsia="Arial" w:hAnsi="Arial"/>
          <w:sz w:val="18"/>
          <w:szCs w:val="18"/>
          <w:color w:val="auto"/>
        </w:rPr>
        <w:t xml:space="preserve">. The parties also agree that any and all disputes arising under the post-employment restrictions contained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Agreement may be resolved in a state or federal court and shall not be subject to arbitration irrespective of any other agreement.</w:t>
      </w:r>
    </w:p>
    <w:p>
      <w:pPr>
        <w:spacing w:after="0" w:line="168" w:lineRule="exact"/>
        <w:rPr>
          <w:rFonts w:ascii="Arial" w:cs="Arial" w:eastAsia="Arial" w:hAnsi="Arial"/>
          <w:sz w:val="18"/>
          <w:szCs w:val="18"/>
          <w:color w:val="auto"/>
        </w:rPr>
      </w:pPr>
    </w:p>
    <w:p>
      <w:pPr>
        <w:jc w:val="both"/>
        <w:ind w:left="8" w:firstLine="639"/>
        <w:spacing w:after="0" w:line="259" w:lineRule="auto"/>
        <w:tabs>
          <w:tab w:leader="none" w:pos="972" w:val="left"/>
        </w:tabs>
        <w:numPr>
          <w:ilvl w:val="1"/>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 &amp; Signatures.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duplicate counterparts, each of which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and all of which taken together shall constitute one and the same instrument. Facsimile, electronic (PDF, etc.) and other copies or duplicates of this Agreement are valid and enforceable as originals. Similarly, Agreements signed by hand, electronically (DocuSign or similar service), or, on behalf of the Company, by signature stamp, are valid and enforceable as original signatures.</w:t>
      </w:r>
    </w:p>
    <w:p>
      <w:pPr>
        <w:spacing w:after="0" w:line="206" w:lineRule="exact"/>
        <w:rPr>
          <w:rFonts w:ascii="Arial" w:cs="Arial" w:eastAsia="Arial" w:hAnsi="Arial"/>
          <w:sz w:val="18"/>
          <w:szCs w:val="18"/>
          <w:color w:val="auto"/>
        </w:rPr>
      </w:pPr>
    </w:p>
    <w:p>
      <w:pPr>
        <w:jc w:val="both"/>
        <w:ind w:left="8" w:firstLine="639"/>
        <w:spacing w:after="0" w:line="254" w:lineRule="auto"/>
        <w:tabs>
          <w:tab w:leader="none" w:pos="972" w:val="left"/>
        </w:tabs>
        <w:numPr>
          <w:ilvl w:val="1"/>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of Immunity.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understands that nothing in this Agreement is intended to prohibit Employee from</w:t>
      </w:r>
      <w:r>
        <w:rPr>
          <w:rFonts w:ascii="Arial" w:cs="Arial" w:eastAsia="Arial" w:hAnsi="Arial"/>
          <w:sz w:val="18"/>
          <w:szCs w:val="18"/>
          <w:b w:val="1"/>
          <w:bCs w:val="1"/>
          <w:color w:val="auto"/>
        </w:rPr>
        <w:t xml:space="preserve"> </w:t>
      </w:r>
      <w:r>
        <w:rPr>
          <w:rFonts w:ascii="Arial" w:cs="Arial" w:eastAsia="Arial" w:hAnsi="Arial"/>
          <w:sz w:val="18"/>
          <w:szCs w:val="18"/>
          <w:color w:val="auto"/>
        </w:rPr>
        <w:t>disclosing information, including Proprietary Information, which is permitted to be disclosed by the Federal Defend Trade Secrets Act, which provides that an individual may not be held criminally or civilly liable under any federal or state trade secret law for disclosure of a trade secret (a) made in confidence to a government official, either directly or indirectly, or to an attorney, solely for the purpose ofrepo11ing or investigating a suspected violation of law or (b) in a complaint or other document filed in a lawsuit or other proceeding, if such filing is made under seal. In addition, Employee understands that if Employee files a lawsuit against the Company for retaliation based on the reporting of a suspected violation of law, Employee may disclose a trade secret to Employee’s attorney and use the trade secret information in the court proceeding, so long as any document containing the trade secret is filed under seal and the trade secret is not disclosed except pursuant to court order. To the extent Employee suspects a violation of the law, Employee should report their suspicion to an officer of the Company or in accordance with relevant the Company policies.</w:t>
      </w:r>
    </w:p>
    <w:p>
      <w:pPr>
        <w:spacing w:after="0" w:line="212" w:lineRule="exact"/>
        <w:rPr>
          <w:rFonts w:ascii="Arial" w:cs="Arial" w:eastAsia="Arial" w:hAnsi="Arial"/>
          <w:sz w:val="18"/>
          <w:szCs w:val="18"/>
          <w:color w:val="auto"/>
        </w:rPr>
      </w:pPr>
    </w:p>
    <w:p>
      <w:pPr>
        <w:ind w:left="8" w:firstLine="639"/>
        <w:spacing w:after="0" w:line="260" w:lineRule="auto"/>
        <w:tabs>
          <w:tab w:leader="none" w:pos="972" w:val="left"/>
        </w:tabs>
        <w:numPr>
          <w:ilvl w:val="1"/>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the Company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At the request of the Company (or, without any request, upon termination of my</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Employee will immediately deliver to the Company</w:t>
      </w:r>
    </w:p>
    <w:p>
      <w:pPr>
        <w:spacing w:after="0" w:line="1" w:lineRule="exact"/>
        <w:rPr>
          <w:rFonts w:ascii="Arial" w:cs="Arial" w:eastAsia="Arial" w:hAnsi="Arial"/>
          <w:sz w:val="18"/>
          <w:szCs w:val="18"/>
          <w:color w:val="auto"/>
        </w:rPr>
      </w:pPr>
    </w:p>
    <w:p>
      <w:pPr>
        <w:jc w:val="both"/>
        <w:ind w:left="8" w:hanging="8"/>
        <w:spacing w:after="0" w:line="250" w:lineRule="auto"/>
        <w:tabs>
          <w:tab w:leader="none" w:pos="28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the Company property that is then in Employee’s possession, custody or control, including, without limitation, all keys, access cards, cell phones, tablets, computer hardware including but not limited to any hard drives, external storage devices, diskettes, fobs, laptops, tablets, computers and personal data assistants (and the contents thereof), internet connectivity devices, computer software and programs, data, materials, papers, books, files, documents, records; (b) any and all documents or other items containing, summarizing, or describing any Proprietary Information, including all originals and copies in whatever form;</w:t>
      </w:r>
    </w:p>
    <w:p>
      <w:pPr>
        <w:spacing w:after="0" w:line="1" w:lineRule="exact"/>
        <w:rPr>
          <w:rFonts w:ascii="Arial" w:cs="Arial" w:eastAsia="Arial" w:hAnsi="Arial"/>
          <w:sz w:val="18"/>
          <w:szCs w:val="18"/>
          <w:color w:val="auto"/>
        </w:rPr>
      </w:pPr>
    </w:p>
    <w:p>
      <w:pPr>
        <w:ind w:left="8" w:right="20" w:hanging="8"/>
        <w:spacing w:after="0" w:line="266" w:lineRule="auto"/>
        <w:tabs>
          <w:tab w:leader="none" w:pos="298"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any personal device that Employee synced with or used to access any the Company system for purpose of inspection and copying; and (d) a list of passwords or codes needed to operate or access any of the items referenced in this </w:t>
      </w:r>
      <w:r>
        <w:rPr>
          <w:rFonts w:ascii="Arial" w:cs="Arial" w:eastAsia="Arial" w:hAnsi="Arial"/>
          <w:sz w:val="18"/>
          <w:szCs w:val="18"/>
          <w:u w:val="single" w:color="auto"/>
          <w:color w:val="auto"/>
        </w:rPr>
        <w:t>Section 16</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left="8" w:firstLine="639"/>
        <w:spacing w:after="0" w:line="255" w:lineRule="auto"/>
        <w:tabs>
          <w:tab w:leader="none" w:pos="972" w:val="left"/>
        </w:tabs>
        <w:numPr>
          <w:ilvl w:val="1"/>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Promotional Materials.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authorizes and consents to, during the term of Employee’s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creation and/or use of Employee’s likeness as well as Employee’s name by the Company, and persons or organizations authorized by it, without reservation or limitation and without further consideration. Pursuant to this authorization and consent, the Company may, for example, use Employee’s likeness on its website, and publish and distribute advertising, sales, or other promotional literature containing a likeness of Employee in the course of performing Employee’s job duties. Employee also waives any cause of action for personal injury and/or property damage by virtue of the creation and use of such a likeness. Property rights to any likeness of Employee produced or prepared by the Company, or any person or organization authorized by it shall vest in and remain with the Company. As used herein, “likeness” shall include a photograph, photographic reproduction, audio transmission, audio recording, video transmission and/or video recording, as well as any other similar medium.</w:t>
      </w:r>
    </w:p>
    <w:p>
      <w:pPr>
        <w:spacing w:after="0" w:line="207" w:lineRule="exact"/>
        <w:rPr>
          <w:rFonts w:ascii="Arial" w:cs="Arial" w:eastAsia="Arial" w:hAnsi="Arial"/>
          <w:sz w:val="18"/>
          <w:szCs w:val="18"/>
          <w:color w:val="auto"/>
        </w:rPr>
      </w:pPr>
    </w:p>
    <w:p>
      <w:pPr>
        <w:ind w:left="8" w:right="20" w:firstLine="639"/>
        <w:spacing w:after="0" w:line="287" w:lineRule="auto"/>
        <w:tabs>
          <w:tab w:leader="none" w:pos="972" w:val="left"/>
        </w:tabs>
        <w:numPr>
          <w:ilvl w:val="1"/>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Fair Meaning.</w:t>
      </w:r>
      <w:r>
        <w:rPr>
          <w:rFonts w:ascii="Arial" w:cs="Arial" w:eastAsia="Arial" w:hAnsi="Arial"/>
          <w:sz w:val="18"/>
          <w:szCs w:val="18"/>
          <w:b w:val="1"/>
          <w:bCs w:val="1"/>
          <w:color w:val="auto"/>
        </w:rPr>
        <w:t xml:space="preserve"> </w:t>
      </w:r>
      <w:r>
        <w:rPr>
          <w:rFonts w:ascii="Arial" w:cs="Arial" w:eastAsia="Arial" w:hAnsi="Arial"/>
          <w:sz w:val="18"/>
          <w:szCs w:val="18"/>
          <w:color w:val="auto"/>
        </w:rPr>
        <w:t>The language of this Agreement shall be construed as a whole, according to its fair meaning, and not</w:t>
      </w:r>
      <w:r>
        <w:rPr>
          <w:rFonts w:ascii="Arial" w:cs="Arial" w:eastAsia="Arial" w:hAnsi="Arial"/>
          <w:sz w:val="18"/>
          <w:szCs w:val="18"/>
          <w:b w:val="1"/>
          <w:bCs w:val="1"/>
          <w:color w:val="auto"/>
        </w:rPr>
        <w:t xml:space="preserve"> </w:t>
      </w:r>
      <w:r>
        <w:rPr>
          <w:rFonts w:ascii="Arial" w:cs="Arial" w:eastAsia="Arial" w:hAnsi="Arial"/>
          <w:sz w:val="18"/>
          <w:szCs w:val="18"/>
          <w:color w:val="auto"/>
        </w:rPr>
        <w:t>strictly for or against any party.</w:t>
      </w:r>
    </w:p>
    <w:p>
      <w:pPr>
        <w:sectPr>
          <w:pgSz w:w="11900" w:h="16838" w:orient="portrait"/>
          <w:cols w:equalWidth="0" w:num="1">
            <w:col w:w="10588"/>
          </w:cols>
          <w:pgMar w:left="652" w:top="1440" w:right="659" w:bottom="1440" w:gutter="0" w:footer="0" w:header="0"/>
        </w:sectPr>
      </w:pPr>
    </w:p>
    <w:bookmarkStart w:id="98" w:name="page99"/>
    <w:bookmarkEnd w:id="98"/>
    <w:p>
      <w:pPr>
        <w:spacing w:after="0" w:line="207" w:lineRule="exact"/>
        <w:rPr>
          <w:sz w:val="20"/>
          <w:szCs w:val="20"/>
          <w:color w:val="auto"/>
        </w:rPr>
      </w:pPr>
    </w:p>
    <w:p>
      <w:pPr>
        <w:jc w:val="both"/>
        <w:ind w:firstLine="639"/>
        <w:spacing w:after="0" w:line="257" w:lineRule="auto"/>
        <w:tabs>
          <w:tab w:leader="none" w:pos="964"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Consideration.</w:t>
      </w:r>
      <w:r>
        <w:rPr>
          <w:rFonts w:ascii="Arial" w:cs="Arial" w:eastAsia="Arial" w:hAnsi="Arial"/>
          <w:sz w:val="18"/>
          <w:szCs w:val="18"/>
          <w:b w:val="1"/>
          <w:bCs w:val="1"/>
          <w:color w:val="auto"/>
        </w:rPr>
        <w:t xml:space="preserve"> Employee understands that the Company’s obligations under the Employment Agreement, as well as the provision of the additional consideration identified in the Preliminary Statement, are conditioned upon Employee signing this Agreement. Further, as a result of Employee’s employment, Employee shall be (or has been) given access to the Company’s Proprietary Information, provision of confidential information, opportunities for advancement, and opportunities to participate in confidential meetings and specialized training, which shall constitute independent consideration for the post-employment restrictions contained in this Agreement and would not be (or would not have been) given to Employee without Employee’s agreement to abide by the terms and conditions of this Agreement, including without limitation the ancillary obligations of confidentiality and non-disclosure.</w:t>
      </w:r>
    </w:p>
    <w:p>
      <w:pPr>
        <w:spacing w:after="0" w:line="198" w:lineRule="exact"/>
        <w:rPr>
          <w:sz w:val="20"/>
          <w:szCs w:val="20"/>
          <w:color w:val="auto"/>
        </w:rPr>
      </w:pPr>
    </w:p>
    <w:p>
      <w:pPr>
        <w:ind w:right="640" w:firstLine="647"/>
        <w:spacing w:after="0" w:line="296" w:lineRule="auto"/>
        <w:rPr>
          <w:sz w:val="20"/>
          <w:szCs w:val="20"/>
          <w:color w:val="auto"/>
        </w:rPr>
      </w:pPr>
      <w:r>
        <w:rPr>
          <w:rFonts w:ascii="Arial" w:cs="Arial" w:eastAsia="Arial" w:hAnsi="Arial"/>
          <w:sz w:val="18"/>
          <w:szCs w:val="18"/>
          <w:b w:val="1"/>
          <w:bCs w:val="1"/>
          <w:color w:val="auto"/>
        </w:rPr>
        <w:t>By initialing below, Employee specifically acknowledges that Employee has read, understands and agrees to Section 19.</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Employee initials: </w:t>
      </w:r>
      <w:r>
        <w:rPr>
          <w:rFonts w:ascii="Arial" w:cs="Arial" w:eastAsia="Arial" w:hAnsi="Arial"/>
          <w:sz w:val="18"/>
          <w:szCs w:val="18"/>
          <w:u w:val="single" w:color="auto"/>
          <w:color w:val="auto"/>
        </w:rPr>
        <w:t>/s/ NL</w:t>
      </w:r>
    </w:p>
    <w:p>
      <w:pPr>
        <w:spacing w:after="0" w:line="200" w:lineRule="exact"/>
        <w:rPr>
          <w:sz w:val="20"/>
          <w:szCs w:val="20"/>
          <w:color w:val="auto"/>
        </w:rPr>
      </w:pPr>
    </w:p>
    <w:p>
      <w:pPr>
        <w:spacing w:after="0" w:line="257" w:lineRule="exact"/>
        <w:rPr>
          <w:sz w:val="20"/>
          <w:szCs w:val="20"/>
          <w:color w:val="auto"/>
        </w:rPr>
      </w:pPr>
    </w:p>
    <w:p>
      <w:pPr>
        <w:jc w:val="center"/>
        <w:ind w:right="200"/>
        <w:spacing w:after="0"/>
        <w:rPr>
          <w:sz w:val="20"/>
          <w:szCs w:val="20"/>
          <w:color w:val="auto"/>
        </w:rPr>
      </w:pPr>
      <w:r>
        <w:rPr>
          <w:rFonts w:ascii="Arial" w:cs="Arial" w:eastAsia="Arial" w:hAnsi="Arial"/>
          <w:sz w:val="18"/>
          <w:szCs w:val="18"/>
          <w:i w:val="1"/>
          <w:iCs w:val="1"/>
          <w:color w:val="auto"/>
        </w:rPr>
        <w:t>[Remainder of page intentionally left blank; Signature page follows.]</w:t>
      </w:r>
    </w:p>
    <w:p>
      <w:pPr>
        <w:sectPr>
          <w:pgSz w:w="11900" w:h="16838" w:orient="portrait"/>
          <w:cols w:equalWidth="0" w:num="1">
            <w:col w:w="10580"/>
          </w:cols>
          <w:pgMar w:left="660" w:top="1440" w:right="659" w:bottom="1440" w:gutter="0" w:footer="0" w:header="0"/>
        </w:sectPr>
      </w:pPr>
    </w:p>
    <w:bookmarkStart w:id="99" w:name="page100"/>
    <w:bookmarkEnd w:id="99"/>
    <w:p>
      <w:pPr>
        <w:ind w:firstLine="647"/>
        <w:spacing w:after="0" w:line="287" w:lineRule="auto"/>
        <w:rPr>
          <w:sz w:val="20"/>
          <w:szCs w:val="20"/>
          <w:color w:val="auto"/>
        </w:rPr>
      </w:pPr>
      <w:r>
        <w:rPr>
          <w:rFonts w:ascii="Arial" w:cs="Arial" w:eastAsia="Arial" w:hAnsi="Arial"/>
          <w:sz w:val="18"/>
          <w:szCs w:val="18"/>
          <w:color w:val="auto"/>
        </w:rPr>
        <w:t>By executing this Agreement below, the parties confirm they have read, understood, and voluntarily agreed to be bound by the entire Agreement.</w:t>
      </w:r>
    </w:p>
    <w:p>
      <w:pPr>
        <w:spacing w:after="0" w:line="180" w:lineRule="exact"/>
        <w:rPr>
          <w:sz w:val="20"/>
          <w:szCs w:val="20"/>
          <w:color w:val="auto"/>
        </w:rPr>
      </w:pPr>
    </w:p>
    <w:tbl>
      <w:tblPr>
        <w:tblLayout w:type="fixed"/>
        <w:tblInd w:w="80" w:type="dxa"/>
        <w:tblCellMar>
          <w:top w:w="0" w:type="dxa"/>
          <w:left w:w="0" w:type="dxa"/>
          <w:bottom w:w="0" w:type="dxa"/>
          <w:right w:w="0" w:type="dxa"/>
        </w:tblCellMar>
      </w:tblPr>
      <w:tr>
        <w:trPr>
          <w:trHeight w:val="247"/>
        </w:trPr>
        <w:tc>
          <w:tcPr>
            <w:tcW w:w="4140" w:type="dxa"/>
            <w:vAlign w:val="bottom"/>
            <w:vMerge w:val="restart"/>
          </w:tcPr>
          <w:p>
            <w:pPr>
              <w:spacing w:after="0"/>
              <w:rPr>
                <w:sz w:val="20"/>
                <w:szCs w:val="20"/>
                <w:color w:val="auto"/>
              </w:rPr>
            </w:pPr>
            <w:r>
              <w:rPr>
                <w:rFonts w:ascii="Arial" w:cs="Arial" w:eastAsia="Arial" w:hAnsi="Arial"/>
                <w:sz w:val="18"/>
                <w:szCs w:val="18"/>
                <w:b w:val="1"/>
                <w:bCs w:val="1"/>
                <w:color w:val="auto"/>
              </w:rPr>
              <w:t>REYNOLDS CONSUMER PRODUCTS</w:t>
            </w:r>
          </w:p>
        </w:tc>
        <w:tc>
          <w:tcPr>
            <w:tcW w:w="1960" w:type="dxa"/>
            <w:vAlign w:val="bottom"/>
          </w:tcPr>
          <w:p>
            <w:pPr>
              <w:ind w:left="960"/>
              <w:spacing w:after="0"/>
              <w:rPr>
                <w:sz w:val="20"/>
                <w:szCs w:val="20"/>
                <w:color w:val="auto"/>
              </w:rPr>
            </w:pPr>
            <w:r>
              <w:rPr>
                <w:rFonts w:ascii="Arial" w:cs="Arial" w:eastAsia="Arial" w:hAnsi="Arial"/>
                <w:sz w:val="18"/>
                <w:szCs w:val="18"/>
                <w:b w:val="1"/>
                <w:bCs w:val="1"/>
                <w:color w:val="auto"/>
                <w:w w:val="97"/>
              </w:rPr>
              <w:t>EMPLOYEE</w:t>
            </w:r>
          </w:p>
        </w:tc>
        <w:tc>
          <w:tcPr>
            <w:tcW w:w="0" w:type="dxa"/>
            <w:vAlign w:val="bottom"/>
          </w:tcPr>
          <w:p>
            <w:pPr>
              <w:spacing w:after="0"/>
              <w:rPr>
                <w:sz w:val="1"/>
                <w:szCs w:val="1"/>
                <w:color w:val="auto"/>
              </w:rPr>
            </w:pPr>
          </w:p>
        </w:tc>
      </w:tr>
      <w:tr>
        <w:trPr>
          <w:trHeight w:val="64"/>
        </w:trPr>
        <w:tc>
          <w:tcPr>
            <w:tcW w:w="4140" w:type="dxa"/>
            <w:vAlign w:val="bottom"/>
            <w:vMerge w:val="continue"/>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4140" w:type="dxa"/>
            <w:vAlign w:val="bottom"/>
          </w:tcPr>
          <w:p>
            <w:pPr>
              <w:spacing w:after="0"/>
              <w:rPr>
                <w:sz w:val="20"/>
                <w:szCs w:val="20"/>
                <w:color w:val="auto"/>
              </w:rPr>
            </w:pPr>
            <w:r>
              <w:rPr>
                <w:rFonts w:ascii="Arial" w:cs="Arial" w:eastAsia="Arial" w:hAnsi="Arial"/>
                <w:sz w:val="18"/>
                <w:szCs w:val="18"/>
                <w:b w:val="1"/>
                <w:bCs w:val="1"/>
                <w:color w:val="auto"/>
              </w:rPr>
              <w:t>HOLDINGS LLC</w:t>
            </w:r>
          </w:p>
        </w:tc>
        <w:tc>
          <w:tcPr>
            <w:tcW w:w="19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780" w:type="dxa"/>
            <w:vAlign w:val="bottom"/>
            <w:gridSpan w:val="2"/>
          </w:tcPr>
          <w:p>
            <w:pPr>
              <w:spacing w:after="0"/>
              <w:rPr>
                <w:sz w:val="20"/>
                <w:szCs w:val="20"/>
                <w:color w:val="auto"/>
              </w:rPr>
            </w:pPr>
            <w:r>
              <w:rPr>
                <w:rFonts w:ascii="Arial" w:cs="Arial" w:eastAsia="Arial" w:hAnsi="Arial"/>
                <w:sz w:val="18"/>
                <w:szCs w:val="18"/>
                <w:color w:val="auto"/>
              </w:rPr>
              <w:t>By: /s/ Valerie Miller</w:t>
            </w: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/s/ Nathan D. Lowe</w:t>
            </w:r>
          </w:p>
        </w:tc>
        <w:tc>
          <w:tcPr>
            <w:tcW w:w="2680" w:type="dxa"/>
            <w:vAlign w:val="bottom"/>
            <w:vMerge w:val="restart"/>
          </w:tcPr>
          <w:p>
            <w:pPr>
              <w:ind w:left="1380"/>
              <w:spacing w:after="0"/>
              <w:rPr>
                <w:sz w:val="20"/>
                <w:szCs w:val="20"/>
                <w:color w:val="auto"/>
              </w:rPr>
            </w:pPr>
            <w:r>
              <w:rPr>
                <w:rFonts w:ascii="Arial" w:cs="Arial" w:eastAsia="Arial" w:hAnsi="Arial"/>
                <w:sz w:val="18"/>
                <w:szCs w:val="18"/>
                <w:color w:val="auto"/>
                <w:w w:val="99"/>
              </w:rPr>
              <w:t>Nathan D. Lowe</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6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720" w:type="dxa"/>
            <w:vAlign w:val="bottom"/>
            <w:gridSpan w:val="4"/>
          </w:tcPr>
          <w:p>
            <w:pPr>
              <w:ind w:left="320"/>
              <w:spacing w:after="0"/>
              <w:rPr>
                <w:sz w:val="20"/>
                <w:szCs w:val="20"/>
                <w:color w:val="auto"/>
              </w:rPr>
            </w:pPr>
            <w:r>
              <w:rPr>
                <w:rFonts w:ascii="Arial" w:cs="Arial" w:eastAsia="Arial" w:hAnsi="Arial"/>
                <w:sz w:val="18"/>
                <w:szCs w:val="18"/>
                <w:color w:val="auto"/>
              </w:rPr>
              <w:t>Valerie D. Miller Executive Vice</w:t>
            </w:r>
          </w:p>
        </w:tc>
        <w:tc>
          <w:tcPr>
            <w:tcW w:w="2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400"/>
        <w:spacing w:after="0"/>
        <w:rPr>
          <w:sz w:val="20"/>
          <w:szCs w:val="20"/>
          <w:color w:val="auto"/>
        </w:rPr>
      </w:pPr>
      <w:r>
        <w:rPr>
          <w:rFonts w:ascii="Arial" w:cs="Arial" w:eastAsia="Arial" w:hAnsi="Arial"/>
          <w:sz w:val="18"/>
          <w:szCs w:val="18"/>
          <w:color w:val="auto"/>
        </w:rPr>
        <w:t>President, Human Resources</w:t>
      </w:r>
    </w:p>
    <w:p>
      <w:pPr>
        <w:spacing w:after="0" w:line="72"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10/28/2024</w:t>
      </w:r>
    </w:p>
    <w:p>
      <w:pPr>
        <w:spacing w:after="0" w:line="3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10/28/2024</w:t>
      </w:r>
    </w:p>
    <w:p>
      <w:pPr>
        <w:sectPr>
          <w:pgSz w:w="11900" w:h="16838" w:orient="portrait"/>
          <w:cols w:equalWidth="0" w:num="1">
            <w:col w:w="10380"/>
          </w:cols>
          <w:pgMar w:left="660" w:top="1403" w:right="859" w:bottom="1440" w:gutter="0" w:footer="0" w:header="0"/>
        </w:sectPr>
      </w:pPr>
    </w:p>
    <w:bookmarkStart w:id="100" w:name="page101"/>
    <w:bookmarkEnd w:id="100"/>
    <w:p>
      <w:pPr>
        <w:spacing w:after="0" w:line="166" w:lineRule="exact"/>
        <w:rPr>
          <w:sz w:val="20"/>
          <w:szCs w:val="20"/>
          <w:color w:val="auto"/>
        </w:rPr>
      </w:pPr>
    </w:p>
    <w:p>
      <w:pPr>
        <w:jc w:val="right"/>
        <w:ind w:right="3159"/>
        <w:spacing w:after="0"/>
        <w:rPr>
          <w:sz w:val="20"/>
          <w:szCs w:val="20"/>
          <w:color w:val="auto"/>
        </w:rPr>
      </w:pPr>
      <w:r>
        <w:rPr>
          <w:rFonts w:ascii="Arial" w:cs="Arial" w:eastAsia="Arial" w:hAnsi="Arial"/>
          <w:sz w:val="18"/>
          <w:szCs w:val="18"/>
          <w:b w:val="1"/>
          <w:bCs w:val="1"/>
          <w:color w:val="auto"/>
        </w:rPr>
        <w:t xml:space="preserve">Attachment A </w:t>
      </w:r>
      <w:r>
        <w:rPr>
          <w:rFonts w:ascii="Arial" w:cs="Arial" w:eastAsia="Arial" w:hAnsi="Arial"/>
          <w:sz w:val="18"/>
          <w:szCs w:val="18"/>
          <w:b w:val="1"/>
          <w:bCs w:val="1"/>
          <w:u w:val="single" w:color="auto"/>
          <w:color w:val="auto"/>
        </w:rPr>
        <w:t>RCP Competitors</w:t>
      </w:r>
    </w:p>
    <w:p>
      <w:pPr>
        <w:spacing w:after="0" w:line="236" w:lineRule="exact"/>
        <w:rPr>
          <w:sz w:val="20"/>
          <w:szCs w:val="20"/>
          <w:color w:val="auto"/>
        </w:rPr>
      </w:pPr>
    </w:p>
    <w:p>
      <w:pPr>
        <w:ind w:left="340" w:hanging="334"/>
        <w:spacing w:after="0"/>
        <w:tabs>
          <w:tab w:leader="none" w:pos="340" w:val="left"/>
        </w:tabs>
        <w:numPr>
          <w:ilvl w:val="0"/>
          <w:numId w:val="64"/>
        </w:numPr>
        <w:rPr>
          <w:rFonts w:ascii="Times New Roman" w:cs="Times New Roman" w:eastAsia="Times New Roman" w:hAnsi="Times New Roman"/>
          <w:sz w:val="21"/>
          <w:szCs w:val="21"/>
          <w:color w:val="111111"/>
        </w:rPr>
      </w:pPr>
      <w:r>
        <w:rPr>
          <w:rFonts w:ascii="Arial" w:cs="Arial" w:eastAsia="Arial" w:hAnsi="Arial"/>
          <w:sz w:val="18"/>
          <w:szCs w:val="18"/>
          <w:color w:val="auto"/>
        </w:rPr>
        <w:t>The Clorox Company</w:t>
      </w:r>
    </w:p>
    <w:p>
      <w:pPr>
        <w:spacing w:after="0" w:line="15" w:lineRule="exact"/>
        <w:rPr>
          <w:rFonts w:ascii="Times New Roman" w:cs="Times New Roman" w:eastAsia="Times New Roman" w:hAnsi="Times New Roman"/>
          <w:sz w:val="21"/>
          <w:szCs w:val="21"/>
          <w:color w:val="111111"/>
        </w:rPr>
      </w:pPr>
    </w:p>
    <w:p>
      <w:pPr>
        <w:ind w:left="340" w:hanging="334"/>
        <w:spacing w:after="0"/>
        <w:tabs>
          <w:tab w:leader="none" w:pos="340" w:val="left"/>
        </w:tabs>
        <w:numPr>
          <w:ilvl w:val="0"/>
          <w:numId w:val="64"/>
        </w:numPr>
        <w:rPr>
          <w:rFonts w:ascii="Times New Roman" w:cs="Times New Roman" w:eastAsia="Times New Roman" w:hAnsi="Times New Roman"/>
          <w:sz w:val="21"/>
          <w:szCs w:val="21"/>
          <w:color w:val="111111"/>
        </w:rPr>
      </w:pPr>
      <w:r>
        <w:rPr>
          <w:rFonts w:ascii="Arial" w:cs="Arial" w:eastAsia="Arial" w:hAnsi="Arial"/>
          <w:sz w:val="18"/>
          <w:szCs w:val="18"/>
          <w:color w:val="auto"/>
        </w:rPr>
        <w:t>S.C. Johnson &amp; Sons, Inc.</w:t>
      </w:r>
    </w:p>
    <w:p>
      <w:pPr>
        <w:spacing w:after="0" w:line="3" w:lineRule="exact"/>
        <w:rPr>
          <w:rFonts w:ascii="Times New Roman" w:cs="Times New Roman" w:eastAsia="Times New Roman" w:hAnsi="Times New Roman"/>
          <w:sz w:val="21"/>
          <w:szCs w:val="21"/>
          <w:color w:val="111111"/>
        </w:rPr>
      </w:pPr>
    </w:p>
    <w:p>
      <w:pPr>
        <w:ind w:left="340" w:hanging="334"/>
        <w:spacing w:after="0" w:line="237" w:lineRule="auto"/>
        <w:tabs>
          <w:tab w:leader="none" w:pos="340" w:val="left"/>
        </w:tabs>
        <w:numPr>
          <w:ilvl w:val="0"/>
          <w:numId w:val="64"/>
        </w:numPr>
        <w:rPr>
          <w:rFonts w:ascii="Times New Roman" w:cs="Times New Roman" w:eastAsia="Times New Roman" w:hAnsi="Times New Roman"/>
          <w:sz w:val="21"/>
          <w:szCs w:val="21"/>
          <w:color w:val="111111"/>
        </w:rPr>
      </w:pPr>
      <w:r>
        <w:rPr>
          <w:rFonts w:ascii="Arial" w:cs="Arial" w:eastAsia="Arial" w:hAnsi="Arial"/>
          <w:sz w:val="18"/>
          <w:szCs w:val="18"/>
          <w:color w:val="auto"/>
        </w:rPr>
        <w:t>Trinidad Benham Corporation</w:t>
      </w:r>
    </w:p>
    <w:p>
      <w:pPr>
        <w:spacing w:after="0" w:line="4" w:lineRule="exact"/>
        <w:rPr>
          <w:rFonts w:ascii="Times New Roman" w:cs="Times New Roman" w:eastAsia="Times New Roman" w:hAnsi="Times New Roman"/>
          <w:sz w:val="21"/>
          <w:szCs w:val="21"/>
          <w:color w:val="111111"/>
        </w:rPr>
      </w:pPr>
    </w:p>
    <w:p>
      <w:pPr>
        <w:ind w:left="340" w:hanging="334"/>
        <w:spacing w:after="0" w:line="237" w:lineRule="auto"/>
        <w:tabs>
          <w:tab w:leader="none" w:pos="340" w:val="left"/>
        </w:tabs>
        <w:numPr>
          <w:ilvl w:val="0"/>
          <w:numId w:val="64"/>
        </w:numPr>
        <w:rPr>
          <w:rFonts w:ascii="Times New Roman" w:cs="Times New Roman" w:eastAsia="Times New Roman" w:hAnsi="Times New Roman"/>
          <w:sz w:val="21"/>
          <w:szCs w:val="21"/>
          <w:color w:val="111111"/>
        </w:rPr>
      </w:pPr>
      <w:r>
        <w:rPr>
          <w:rFonts w:ascii="Arial" w:cs="Arial" w:eastAsia="Arial" w:hAnsi="Arial"/>
          <w:sz w:val="18"/>
          <w:szCs w:val="18"/>
          <w:color w:val="auto"/>
        </w:rPr>
        <w:t>Dart Container Corporation</w:t>
      </w:r>
    </w:p>
    <w:p>
      <w:pPr>
        <w:spacing w:after="0" w:line="4" w:lineRule="exact"/>
        <w:rPr>
          <w:rFonts w:ascii="Times New Roman" w:cs="Times New Roman" w:eastAsia="Times New Roman" w:hAnsi="Times New Roman"/>
          <w:sz w:val="21"/>
          <w:szCs w:val="21"/>
          <w:color w:val="111111"/>
        </w:rPr>
      </w:pPr>
    </w:p>
    <w:p>
      <w:pPr>
        <w:ind w:left="340" w:hanging="334"/>
        <w:spacing w:after="0" w:line="237" w:lineRule="auto"/>
        <w:tabs>
          <w:tab w:leader="none" w:pos="340" w:val="left"/>
        </w:tabs>
        <w:numPr>
          <w:ilvl w:val="0"/>
          <w:numId w:val="64"/>
        </w:numPr>
        <w:rPr>
          <w:rFonts w:ascii="Times New Roman" w:cs="Times New Roman" w:eastAsia="Times New Roman" w:hAnsi="Times New Roman"/>
          <w:sz w:val="21"/>
          <w:szCs w:val="21"/>
          <w:color w:val="111111"/>
        </w:rPr>
      </w:pPr>
      <w:r>
        <w:rPr>
          <w:rFonts w:ascii="Arial" w:cs="Arial" w:eastAsia="Arial" w:hAnsi="Arial"/>
          <w:sz w:val="18"/>
          <w:szCs w:val="18"/>
          <w:color w:val="auto"/>
        </w:rPr>
        <w:t>Handi-foil Corporation</w:t>
      </w:r>
    </w:p>
    <w:p>
      <w:pPr>
        <w:spacing w:after="0" w:line="4" w:lineRule="exact"/>
        <w:rPr>
          <w:rFonts w:ascii="Times New Roman" w:cs="Times New Roman" w:eastAsia="Times New Roman" w:hAnsi="Times New Roman"/>
          <w:sz w:val="21"/>
          <w:szCs w:val="21"/>
          <w:color w:val="111111"/>
        </w:rPr>
      </w:pPr>
    </w:p>
    <w:p>
      <w:pPr>
        <w:ind w:left="340" w:hanging="334"/>
        <w:spacing w:after="0" w:line="237" w:lineRule="auto"/>
        <w:tabs>
          <w:tab w:leader="none" w:pos="340" w:val="left"/>
        </w:tabs>
        <w:numPr>
          <w:ilvl w:val="0"/>
          <w:numId w:val="64"/>
        </w:numPr>
        <w:rPr>
          <w:rFonts w:ascii="Times New Roman" w:cs="Times New Roman" w:eastAsia="Times New Roman" w:hAnsi="Times New Roman"/>
          <w:sz w:val="21"/>
          <w:szCs w:val="21"/>
          <w:color w:val="111111"/>
        </w:rPr>
      </w:pPr>
      <w:r>
        <w:rPr>
          <w:rFonts w:ascii="Arial" w:cs="Arial" w:eastAsia="Arial" w:hAnsi="Arial"/>
          <w:sz w:val="18"/>
          <w:szCs w:val="18"/>
          <w:color w:val="auto"/>
        </w:rPr>
        <w:t>Durable Packaging, International</w:t>
      </w:r>
    </w:p>
    <w:p>
      <w:pPr>
        <w:spacing w:after="0" w:line="4" w:lineRule="exact"/>
        <w:rPr>
          <w:rFonts w:ascii="Times New Roman" w:cs="Times New Roman" w:eastAsia="Times New Roman" w:hAnsi="Times New Roman"/>
          <w:sz w:val="21"/>
          <w:szCs w:val="21"/>
          <w:color w:val="111111"/>
        </w:rPr>
      </w:pPr>
    </w:p>
    <w:p>
      <w:pPr>
        <w:ind w:left="340" w:hanging="334"/>
        <w:spacing w:after="0" w:line="237" w:lineRule="auto"/>
        <w:tabs>
          <w:tab w:leader="none" w:pos="340" w:val="left"/>
        </w:tabs>
        <w:numPr>
          <w:ilvl w:val="0"/>
          <w:numId w:val="64"/>
        </w:numPr>
        <w:rPr>
          <w:rFonts w:ascii="Times New Roman" w:cs="Times New Roman" w:eastAsia="Times New Roman" w:hAnsi="Times New Roman"/>
          <w:sz w:val="21"/>
          <w:szCs w:val="21"/>
          <w:color w:val="111111"/>
        </w:rPr>
      </w:pPr>
      <w:r>
        <w:rPr>
          <w:rFonts w:ascii="Arial" w:cs="Arial" w:eastAsia="Arial" w:hAnsi="Arial"/>
          <w:sz w:val="18"/>
          <w:szCs w:val="18"/>
          <w:color w:val="auto"/>
        </w:rPr>
        <w:t>Solo Cup Company</w:t>
      </w:r>
    </w:p>
    <w:p>
      <w:pPr>
        <w:spacing w:after="0" w:line="15" w:lineRule="exact"/>
        <w:rPr>
          <w:rFonts w:ascii="Times New Roman" w:cs="Times New Roman" w:eastAsia="Times New Roman" w:hAnsi="Times New Roman"/>
          <w:sz w:val="21"/>
          <w:szCs w:val="21"/>
          <w:color w:val="111111"/>
        </w:rPr>
      </w:pPr>
    </w:p>
    <w:p>
      <w:pPr>
        <w:ind w:left="340" w:hanging="334"/>
        <w:spacing w:after="0"/>
        <w:tabs>
          <w:tab w:leader="none" w:pos="340" w:val="left"/>
        </w:tabs>
        <w:numPr>
          <w:ilvl w:val="0"/>
          <w:numId w:val="64"/>
        </w:numPr>
        <w:rPr>
          <w:rFonts w:ascii="Times New Roman" w:cs="Times New Roman" w:eastAsia="Times New Roman" w:hAnsi="Times New Roman"/>
          <w:sz w:val="21"/>
          <w:szCs w:val="21"/>
          <w:color w:val="111111"/>
        </w:rPr>
      </w:pPr>
      <w:r>
        <w:rPr>
          <w:rFonts w:ascii="Arial" w:cs="Arial" w:eastAsia="Arial" w:hAnsi="Arial"/>
          <w:sz w:val="18"/>
          <w:szCs w:val="18"/>
          <w:color w:val="auto"/>
        </w:rPr>
        <w:t>Novellis</w:t>
      </w:r>
    </w:p>
    <w:p>
      <w:pPr>
        <w:spacing w:after="0" w:line="3" w:lineRule="exact"/>
        <w:rPr>
          <w:rFonts w:ascii="Times New Roman" w:cs="Times New Roman" w:eastAsia="Times New Roman" w:hAnsi="Times New Roman"/>
          <w:sz w:val="21"/>
          <w:szCs w:val="21"/>
          <w:color w:val="111111"/>
        </w:rPr>
      </w:pPr>
    </w:p>
    <w:p>
      <w:pPr>
        <w:ind w:left="340" w:hanging="334"/>
        <w:spacing w:after="0" w:line="237" w:lineRule="auto"/>
        <w:tabs>
          <w:tab w:leader="none" w:pos="340" w:val="left"/>
        </w:tabs>
        <w:numPr>
          <w:ilvl w:val="0"/>
          <w:numId w:val="64"/>
        </w:numPr>
        <w:rPr>
          <w:rFonts w:ascii="Times New Roman" w:cs="Times New Roman" w:eastAsia="Times New Roman" w:hAnsi="Times New Roman"/>
          <w:sz w:val="21"/>
          <w:szCs w:val="21"/>
          <w:color w:val="111111"/>
        </w:rPr>
      </w:pPr>
      <w:r>
        <w:rPr>
          <w:rFonts w:ascii="Arial" w:cs="Arial" w:eastAsia="Arial" w:hAnsi="Arial"/>
          <w:sz w:val="18"/>
          <w:szCs w:val="18"/>
          <w:color w:val="auto"/>
        </w:rPr>
        <w:t>Georgia Pacific</w:t>
      </w:r>
    </w:p>
    <w:p>
      <w:pPr>
        <w:spacing w:after="0" w:line="4" w:lineRule="exact"/>
        <w:rPr>
          <w:rFonts w:ascii="Times New Roman" w:cs="Times New Roman" w:eastAsia="Times New Roman" w:hAnsi="Times New Roman"/>
          <w:sz w:val="21"/>
          <w:szCs w:val="21"/>
          <w:color w:val="111111"/>
        </w:rPr>
      </w:pPr>
    </w:p>
    <w:p>
      <w:pPr>
        <w:ind w:left="340" w:hanging="334"/>
        <w:spacing w:after="0" w:line="237" w:lineRule="auto"/>
        <w:tabs>
          <w:tab w:leader="none" w:pos="340" w:val="left"/>
        </w:tabs>
        <w:numPr>
          <w:ilvl w:val="0"/>
          <w:numId w:val="64"/>
        </w:numPr>
        <w:rPr>
          <w:rFonts w:ascii="Times New Roman" w:cs="Times New Roman" w:eastAsia="Times New Roman" w:hAnsi="Times New Roman"/>
          <w:sz w:val="21"/>
          <w:szCs w:val="21"/>
          <w:color w:val="111111"/>
        </w:rPr>
      </w:pPr>
      <w:r>
        <w:rPr>
          <w:rFonts w:ascii="Arial" w:cs="Arial" w:eastAsia="Arial" w:hAnsi="Arial"/>
          <w:sz w:val="18"/>
          <w:szCs w:val="18"/>
          <w:color w:val="auto"/>
        </w:rPr>
        <w:t>Huhtamaki</w:t>
      </w:r>
    </w:p>
    <w:p>
      <w:pPr>
        <w:spacing w:after="0" w:line="4" w:lineRule="exact"/>
        <w:rPr>
          <w:rFonts w:ascii="Times New Roman" w:cs="Times New Roman" w:eastAsia="Times New Roman" w:hAnsi="Times New Roman"/>
          <w:sz w:val="21"/>
          <w:szCs w:val="21"/>
          <w:color w:val="111111"/>
        </w:rPr>
      </w:pPr>
    </w:p>
    <w:p>
      <w:pPr>
        <w:ind w:left="340" w:hanging="334"/>
        <w:spacing w:after="0" w:line="237" w:lineRule="auto"/>
        <w:tabs>
          <w:tab w:leader="none" w:pos="340" w:val="left"/>
        </w:tabs>
        <w:numPr>
          <w:ilvl w:val="0"/>
          <w:numId w:val="64"/>
        </w:numPr>
        <w:rPr>
          <w:rFonts w:ascii="Times New Roman" w:cs="Times New Roman" w:eastAsia="Times New Roman" w:hAnsi="Times New Roman"/>
          <w:sz w:val="21"/>
          <w:szCs w:val="21"/>
          <w:color w:val="111111"/>
        </w:rPr>
      </w:pPr>
      <w:r>
        <w:rPr>
          <w:rFonts w:ascii="Arial" w:cs="Arial" w:eastAsia="Arial" w:hAnsi="Arial"/>
          <w:sz w:val="18"/>
          <w:szCs w:val="18"/>
          <w:color w:val="auto"/>
        </w:rPr>
        <w:t>Newell/Rubbermaid</w:t>
      </w:r>
    </w:p>
    <w:p>
      <w:pPr>
        <w:spacing w:after="0" w:line="4" w:lineRule="exact"/>
        <w:rPr>
          <w:rFonts w:ascii="Times New Roman" w:cs="Times New Roman" w:eastAsia="Times New Roman" w:hAnsi="Times New Roman"/>
          <w:sz w:val="21"/>
          <w:szCs w:val="21"/>
          <w:color w:val="111111"/>
        </w:rPr>
      </w:pPr>
    </w:p>
    <w:p>
      <w:pPr>
        <w:ind w:left="340" w:hanging="334"/>
        <w:spacing w:after="0" w:line="237" w:lineRule="auto"/>
        <w:tabs>
          <w:tab w:leader="none" w:pos="340" w:val="left"/>
        </w:tabs>
        <w:numPr>
          <w:ilvl w:val="0"/>
          <w:numId w:val="64"/>
        </w:numPr>
        <w:rPr>
          <w:rFonts w:ascii="Times New Roman" w:cs="Times New Roman" w:eastAsia="Times New Roman" w:hAnsi="Times New Roman"/>
          <w:sz w:val="21"/>
          <w:szCs w:val="21"/>
          <w:color w:val="111111"/>
        </w:rPr>
      </w:pPr>
      <w:r>
        <w:rPr>
          <w:rFonts w:ascii="Arial" w:cs="Arial" w:eastAsia="Arial" w:hAnsi="Arial"/>
          <w:sz w:val="18"/>
          <w:szCs w:val="18"/>
          <w:color w:val="auto"/>
        </w:rPr>
        <w:t>Jarden</w:t>
      </w:r>
    </w:p>
    <w:p>
      <w:pPr>
        <w:spacing w:after="0" w:line="4" w:lineRule="exact"/>
        <w:rPr>
          <w:rFonts w:ascii="Times New Roman" w:cs="Times New Roman" w:eastAsia="Times New Roman" w:hAnsi="Times New Roman"/>
          <w:sz w:val="21"/>
          <w:szCs w:val="21"/>
          <w:color w:val="111111"/>
        </w:rPr>
      </w:pPr>
    </w:p>
    <w:p>
      <w:pPr>
        <w:ind w:left="340" w:hanging="334"/>
        <w:spacing w:after="0" w:line="237" w:lineRule="auto"/>
        <w:tabs>
          <w:tab w:leader="none" w:pos="340" w:val="left"/>
        </w:tabs>
        <w:numPr>
          <w:ilvl w:val="0"/>
          <w:numId w:val="64"/>
        </w:numPr>
        <w:rPr>
          <w:rFonts w:ascii="Times New Roman" w:cs="Times New Roman" w:eastAsia="Times New Roman" w:hAnsi="Times New Roman"/>
          <w:sz w:val="21"/>
          <w:szCs w:val="21"/>
          <w:color w:val="111111"/>
        </w:rPr>
      </w:pPr>
      <w:r>
        <w:rPr>
          <w:rFonts w:ascii="Arial" w:cs="Arial" w:eastAsia="Arial" w:hAnsi="Arial"/>
          <w:sz w:val="18"/>
          <w:szCs w:val="18"/>
          <w:color w:val="auto"/>
        </w:rPr>
        <w:t>Waddington</w:t>
      </w:r>
    </w:p>
    <w:p>
      <w:pPr>
        <w:spacing w:after="0" w:line="4" w:lineRule="exact"/>
        <w:rPr>
          <w:rFonts w:ascii="Times New Roman" w:cs="Times New Roman" w:eastAsia="Times New Roman" w:hAnsi="Times New Roman"/>
          <w:sz w:val="21"/>
          <w:szCs w:val="21"/>
          <w:color w:val="111111"/>
        </w:rPr>
      </w:pPr>
    </w:p>
    <w:p>
      <w:pPr>
        <w:ind w:left="340" w:hanging="334"/>
        <w:spacing w:after="0" w:line="237" w:lineRule="auto"/>
        <w:tabs>
          <w:tab w:leader="none" w:pos="340" w:val="left"/>
        </w:tabs>
        <w:numPr>
          <w:ilvl w:val="0"/>
          <w:numId w:val="64"/>
        </w:numPr>
        <w:rPr>
          <w:rFonts w:ascii="Times New Roman" w:cs="Times New Roman" w:eastAsia="Times New Roman" w:hAnsi="Times New Roman"/>
          <w:sz w:val="21"/>
          <w:szCs w:val="21"/>
          <w:color w:val="111111"/>
        </w:rPr>
      </w:pPr>
      <w:r>
        <w:rPr>
          <w:rFonts w:ascii="Arial" w:cs="Arial" w:eastAsia="Arial" w:hAnsi="Arial"/>
          <w:sz w:val="18"/>
          <w:szCs w:val="18"/>
          <w:color w:val="auto"/>
        </w:rPr>
        <w:t>CuBe</w:t>
      </w:r>
    </w:p>
    <w:p>
      <w:pPr>
        <w:spacing w:after="0" w:line="15" w:lineRule="exact"/>
        <w:rPr>
          <w:rFonts w:ascii="Times New Roman" w:cs="Times New Roman" w:eastAsia="Times New Roman" w:hAnsi="Times New Roman"/>
          <w:sz w:val="21"/>
          <w:szCs w:val="21"/>
          <w:color w:val="111111"/>
        </w:rPr>
      </w:pPr>
    </w:p>
    <w:p>
      <w:pPr>
        <w:ind w:left="340" w:hanging="334"/>
        <w:spacing w:after="0"/>
        <w:tabs>
          <w:tab w:leader="none" w:pos="340" w:val="left"/>
        </w:tabs>
        <w:numPr>
          <w:ilvl w:val="0"/>
          <w:numId w:val="64"/>
        </w:numPr>
        <w:rPr>
          <w:rFonts w:ascii="Times New Roman" w:cs="Times New Roman" w:eastAsia="Times New Roman" w:hAnsi="Times New Roman"/>
          <w:sz w:val="21"/>
          <w:szCs w:val="21"/>
          <w:color w:val="111111"/>
        </w:rPr>
      </w:pPr>
      <w:r>
        <w:rPr>
          <w:rFonts w:ascii="Arial" w:cs="Arial" w:eastAsia="Arial" w:hAnsi="Arial"/>
          <w:sz w:val="18"/>
          <w:szCs w:val="18"/>
          <w:color w:val="auto"/>
        </w:rPr>
        <w:t>Poly-America, Inc.</w:t>
      </w:r>
    </w:p>
    <w:p>
      <w:pPr>
        <w:spacing w:after="0" w:line="3" w:lineRule="exact"/>
        <w:rPr>
          <w:rFonts w:ascii="Times New Roman" w:cs="Times New Roman" w:eastAsia="Times New Roman" w:hAnsi="Times New Roman"/>
          <w:sz w:val="21"/>
          <w:szCs w:val="21"/>
          <w:color w:val="111111"/>
        </w:rPr>
      </w:pPr>
    </w:p>
    <w:p>
      <w:pPr>
        <w:ind w:left="340" w:hanging="334"/>
        <w:spacing w:after="0" w:line="237" w:lineRule="auto"/>
        <w:tabs>
          <w:tab w:leader="none" w:pos="340" w:val="left"/>
        </w:tabs>
        <w:numPr>
          <w:ilvl w:val="0"/>
          <w:numId w:val="64"/>
        </w:numPr>
        <w:rPr>
          <w:rFonts w:ascii="Times New Roman" w:cs="Times New Roman" w:eastAsia="Times New Roman" w:hAnsi="Times New Roman"/>
          <w:sz w:val="21"/>
          <w:szCs w:val="21"/>
          <w:color w:val="111111"/>
        </w:rPr>
      </w:pPr>
      <w:r>
        <w:rPr>
          <w:rFonts w:ascii="Arial" w:cs="Arial" w:eastAsia="Arial" w:hAnsi="Arial"/>
          <w:sz w:val="18"/>
          <w:szCs w:val="18"/>
          <w:color w:val="auto"/>
        </w:rPr>
        <w:t>Inteplast Group, Ltd.</w:t>
      </w:r>
    </w:p>
    <w:p>
      <w:pPr>
        <w:spacing w:after="0" w:line="4" w:lineRule="exact"/>
        <w:rPr>
          <w:rFonts w:ascii="Times New Roman" w:cs="Times New Roman" w:eastAsia="Times New Roman" w:hAnsi="Times New Roman"/>
          <w:sz w:val="21"/>
          <w:szCs w:val="21"/>
          <w:color w:val="111111"/>
        </w:rPr>
      </w:pPr>
    </w:p>
    <w:p>
      <w:pPr>
        <w:ind w:left="340" w:hanging="334"/>
        <w:spacing w:after="0" w:line="237" w:lineRule="auto"/>
        <w:tabs>
          <w:tab w:leader="none" w:pos="340" w:val="left"/>
        </w:tabs>
        <w:numPr>
          <w:ilvl w:val="0"/>
          <w:numId w:val="64"/>
        </w:numPr>
        <w:rPr>
          <w:rFonts w:ascii="Times New Roman" w:cs="Times New Roman" w:eastAsia="Times New Roman" w:hAnsi="Times New Roman"/>
          <w:sz w:val="21"/>
          <w:szCs w:val="21"/>
          <w:color w:val="111111"/>
        </w:rPr>
      </w:pPr>
      <w:r>
        <w:rPr>
          <w:rFonts w:ascii="Arial" w:cs="Arial" w:eastAsia="Arial" w:hAnsi="Arial"/>
          <w:sz w:val="18"/>
          <w:szCs w:val="18"/>
          <w:color w:val="auto"/>
        </w:rPr>
        <w:t>Waste Zero</w:t>
      </w:r>
    </w:p>
    <w:p>
      <w:pPr>
        <w:spacing w:after="0" w:line="4" w:lineRule="exact"/>
        <w:rPr>
          <w:rFonts w:ascii="Times New Roman" w:cs="Times New Roman" w:eastAsia="Times New Roman" w:hAnsi="Times New Roman"/>
          <w:sz w:val="21"/>
          <w:szCs w:val="21"/>
          <w:color w:val="111111"/>
        </w:rPr>
      </w:pPr>
    </w:p>
    <w:p>
      <w:pPr>
        <w:ind w:left="340" w:hanging="334"/>
        <w:spacing w:after="0" w:line="237" w:lineRule="auto"/>
        <w:tabs>
          <w:tab w:leader="none" w:pos="340" w:val="left"/>
        </w:tabs>
        <w:numPr>
          <w:ilvl w:val="0"/>
          <w:numId w:val="64"/>
        </w:numPr>
        <w:rPr>
          <w:rFonts w:ascii="Times New Roman" w:cs="Times New Roman" w:eastAsia="Times New Roman" w:hAnsi="Times New Roman"/>
          <w:sz w:val="21"/>
          <w:szCs w:val="21"/>
          <w:color w:val="111111"/>
        </w:rPr>
      </w:pPr>
      <w:r>
        <w:rPr>
          <w:rFonts w:ascii="Arial" w:cs="Arial" w:eastAsia="Arial" w:hAnsi="Arial"/>
          <w:sz w:val="18"/>
          <w:szCs w:val="18"/>
          <w:color w:val="auto"/>
        </w:rPr>
        <w:t>Petoskey</w:t>
      </w:r>
    </w:p>
    <w:p>
      <w:pPr>
        <w:spacing w:after="0" w:line="4" w:lineRule="exact"/>
        <w:rPr>
          <w:rFonts w:ascii="Times New Roman" w:cs="Times New Roman" w:eastAsia="Times New Roman" w:hAnsi="Times New Roman"/>
          <w:sz w:val="21"/>
          <w:szCs w:val="21"/>
          <w:color w:val="111111"/>
        </w:rPr>
      </w:pPr>
    </w:p>
    <w:p>
      <w:pPr>
        <w:ind w:left="340" w:hanging="334"/>
        <w:spacing w:after="0" w:line="237" w:lineRule="auto"/>
        <w:tabs>
          <w:tab w:leader="none" w:pos="340" w:val="left"/>
        </w:tabs>
        <w:numPr>
          <w:ilvl w:val="0"/>
          <w:numId w:val="64"/>
        </w:numPr>
        <w:rPr>
          <w:rFonts w:ascii="Times New Roman" w:cs="Times New Roman" w:eastAsia="Times New Roman" w:hAnsi="Times New Roman"/>
          <w:sz w:val="21"/>
          <w:szCs w:val="21"/>
          <w:color w:val="111111"/>
        </w:rPr>
      </w:pPr>
      <w:r>
        <w:rPr>
          <w:rFonts w:ascii="Arial" w:cs="Arial" w:eastAsia="Arial" w:hAnsi="Arial"/>
          <w:sz w:val="18"/>
          <w:szCs w:val="18"/>
          <w:color w:val="auto"/>
        </w:rPr>
        <w:t>Multibax</w:t>
      </w:r>
    </w:p>
    <w:p>
      <w:pPr>
        <w:spacing w:after="0" w:line="4" w:lineRule="exact"/>
        <w:rPr>
          <w:rFonts w:ascii="Times New Roman" w:cs="Times New Roman" w:eastAsia="Times New Roman" w:hAnsi="Times New Roman"/>
          <w:sz w:val="21"/>
          <w:szCs w:val="21"/>
          <w:color w:val="111111"/>
        </w:rPr>
      </w:pPr>
    </w:p>
    <w:p>
      <w:pPr>
        <w:ind w:left="340" w:hanging="334"/>
        <w:spacing w:after="0" w:line="237" w:lineRule="auto"/>
        <w:tabs>
          <w:tab w:leader="none" w:pos="340" w:val="left"/>
        </w:tabs>
        <w:numPr>
          <w:ilvl w:val="0"/>
          <w:numId w:val="64"/>
        </w:numPr>
        <w:rPr>
          <w:rFonts w:ascii="Times New Roman" w:cs="Times New Roman" w:eastAsia="Times New Roman" w:hAnsi="Times New Roman"/>
          <w:sz w:val="21"/>
          <w:szCs w:val="21"/>
          <w:color w:val="111111"/>
        </w:rPr>
      </w:pPr>
      <w:r>
        <w:rPr>
          <w:rFonts w:ascii="Arial" w:cs="Arial" w:eastAsia="Arial" w:hAnsi="Arial"/>
          <w:sz w:val="18"/>
          <w:szCs w:val="18"/>
          <w:color w:val="auto"/>
        </w:rPr>
        <w:t>King Pac Industrial</w:t>
      </w:r>
    </w:p>
    <w:p>
      <w:pPr>
        <w:spacing w:after="0" w:line="4" w:lineRule="exact"/>
        <w:rPr>
          <w:rFonts w:ascii="Times New Roman" w:cs="Times New Roman" w:eastAsia="Times New Roman" w:hAnsi="Times New Roman"/>
          <w:sz w:val="21"/>
          <w:szCs w:val="21"/>
          <w:color w:val="111111"/>
        </w:rPr>
      </w:pPr>
    </w:p>
    <w:p>
      <w:pPr>
        <w:ind w:left="340" w:hanging="334"/>
        <w:spacing w:after="0" w:line="237" w:lineRule="auto"/>
        <w:tabs>
          <w:tab w:leader="none" w:pos="340" w:val="left"/>
        </w:tabs>
        <w:numPr>
          <w:ilvl w:val="0"/>
          <w:numId w:val="64"/>
        </w:numPr>
        <w:rPr>
          <w:rFonts w:ascii="Times New Roman" w:cs="Times New Roman" w:eastAsia="Times New Roman" w:hAnsi="Times New Roman"/>
          <w:sz w:val="21"/>
          <w:szCs w:val="21"/>
          <w:color w:val="111111"/>
        </w:rPr>
      </w:pPr>
      <w:r>
        <w:rPr>
          <w:rFonts w:ascii="Arial" w:cs="Arial" w:eastAsia="Arial" w:hAnsi="Arial"/>
          <w:sz w:val="18"/>
          <w:szCs w:val="18"/>
          <w:color w:val="auto"/>
        </w:rPr>
        <w:t>Sunkor</w:t>
      </w:r>
    </w:p>
    <w:p>
      <w:pPr>
        <w:spacing w:after="0" w:line="15" w:lineRule="exact"/>
        <w:rPr>
          <w:rFonts w:ascii="Times New Roman" w:cs="Times New Roman" w:eastAsia="Times New Roman" w:hAnsi="Times New Roman"/>
          <w:sz w:val="21"/>
          <w:szCs w:val="21"/>
          <w:color w:val="111111"/>
        </w:rPr>
      </w:pPr>
    </w:p>
    <w:p>
      <w:pPr>
        <w:ind w:left="340" w:hanging="334"/>
        <w:spacing w:after="0"/>
        <w:tabs>
          <w:tab w:leader="none" w:pos="340" w:val="left"/>
        </w:tabs>
        <w:numPr>
          <w:ilvl w:val="0"/>
          <w:numId w:val="64"/>
        </w:numPr>
        <w:rPr>
          <w:rFonts w:ascii="Times New Roman" w:cs="Times New Roman" w:eastAsia="Times New Roman" w:hAnsi="Times New Roman"/>
          <w:sz w:val="21"/>
          <w:szCs w:val="21"/>
          <w:color w:val="111111"/>
        </w:rPr>
      </w:pPr>
      <w:r>
        <w:rPr>
          <w:rFonts w:ascii="Arial" w:cs="Arial" w:eastAsia="Arial" w:hAnsi="Arial"/>
          <w:sz w:val="18"/>
          <w:szCs w:val="18"/>
          <w:color w:val="auto"/>
        </w:rPr>
        <w:t>Threestone Packing</w:t>
      </w:r>
    </w:p>
    <w:p>
      <w:pPr>
        <w:spacing w:after="0" w:line="4" w:lineRule="exact"/>
        <w:rPr>
          <w:rFonts w:ascii="Times New Roman" w:cs="Times New Roman" w:eastAsia="Times New Roman" w:hAnsi="Times New Roman"/>
          <w:sz w:val="21"/>
          <w:szCs w:val="21"/>
          <w:color w:val="111111"/>
        </w:rPr>
      </w:pPr>
    </w:p>
    <w:p>
      <w:pPr>
        <w:ind w:left="340" w:hanging="334"/>
        <w:spacing w:after="0" w:line="237" w:lineRule="auto"/>
        <w:tabs>
          <w:tab w:leader="none" w:pos="340" w:val="left"/>
        </w:tabs>
        <w:numPr>
          <w:ilvl w:val="0"/>
          <w:numId w:val="64"/>
        </w:numPr>
        <w:rPr>
          <w:rFonts w:ascii="Times New Roman" w:cs="Times New Roman" w:eastAsia="Times New Roman" w:hAnsi="Times New Roman"/>
          <w:sz w:val="21"/>
          <w:szCs w:val="21"/>
          <w:color w:val="111111"/>
        </w:rPr>
      </w:pPr>
      <w:r>
        <w:rPr>
          <w:rFonts w:ascii="Arial" w:cs="Arial" w:eastAsia="Arial" w:hAnsi="Arial"/>
          <w:sz w:val="18"/>
          <w:szCs w:val="18"/>
          <w:color w:val="auto"/>
        </w:rPr>
        <w:t>Bagmait Packaging</w:t>
      </w:r>
    </w:p>
    <w:p>
      <w:pPr>
        <w:spacing w:after="0" w:line="4" w:lineRule="exact"/>
        <w:rPr>
          <w:rFonts w:ascii="Times New Roman" w:cs="Times New Roman" w:eastAsia="Times New Roman" w:hAnsi="Times New Roman"/>
          <w:sz w:val="21"/>
          <w:szCs w:val="21"/>
          <w:color w:val="111111"/>
        </w:rPr>
      </w:pPr>
    </w:p>
    <w:p>
      <w:pPr>
        <w:ind w:left="340" w:hanging="334"/>
        <w:spacing w:after="0" w:line="237" w:lineRule="auto"/>
        <w:tabs>
          <w:tab w:leader="none" w:pos="340" w:val="left"/>
        </w:tabs>
        <w:numPr>
          <w:ilvl w:val="0"/>
          <w:numId w:val="64"/>
        </w:numPr>
        <w:rPr>
          <w:rFonts w:ascii="Times New Roman" w:cs="Times New Roman" w:eastAsia="Times New Roman" w:hAnsi="Times New Roman"/>
          <w:sz w:val="21"/>
          <w:szCs w:val="21"/>
          <w:color w:val="111111"/>
        </w:rPr>
      </w:pPr>
      <w:r>
        <w:rPr>
          <w:rFonts w:ascii="Arial" w:cs="Arial" w:eastAsia="Arial" w:hAnsi="Arial"/>
          <w:sz w:val="18"/>
          <w:szCs w:val="18"/>
          <w:color w:val="auto"/>
        </w:rPr>
        <w:t>Thantawan</w:t>
      </w:r>
    </w:p>
    <w:p>
      <w:pPr>
        <w:spacing w:after="0" w:line="4" w:lineRule="exact"/>
        <w:rPr>
          <w:rFonts w:ascii="Times New Roman" w:cs="Times New Roman" w:eastAsia="Times New Roman" w:hAnsi="Times New Roman"/>
          <w:sz w:val="21"/>
          <w:szCs w:val="21"/>
          <w:color w:val="111111"/>
        </w:rPr>
      </w:pPr>
    </w:p>
    <w:p>
      <w:pPr>
        <w:ind w:left="340" w:hanging="334"/>
        <w:spacing w:after="0" w:line="237" w:lineRule="auto"/>
        <w:tabs>
          <w:tab w:leader="none" w:pos="340" w:val="left"/>
        </w:tabs>
        <w:numPr>
          <w:ilvl w:val="0"/>
          <w:numId w:val="64"/>
        </w:numPr>
        <w:rPr>
          <w:rFonts w:ascii="Times New Roman" w:cs="Times New Roman" w:eastAsia="Times New Roman" w:hAnsi="Times New Roman"/>
          <w:sz w:val="21"/>
          <w:szCs w:val="21"/>
          <w:color w:val="111111"/>
        </w:rPr>
      </w:pPr>
      <w:r>
        <w:rPr>
          <w:rFonts w:ascii="Arial" w:cs="Arial" w:eastAsia="Arial" w:hAnsi="Arial"/>
          <w:sz w:val="18"/>
          <w:szCs w:val="18"/>
          <w:color w:val="auto"/>
        </w:rPr>
        <w:t>Pactiv Evergreen Inc.</w:t>
      </w:r>
    </w:p>
    <w:p>
      <w:pPr>
        <w:sectPr>
          <w:pgSz w:w="11900" w:h="16838" w:orient="portrait"/>
          <w:cols w:equalWidth="0" w:num="1">
            <w:col w:w="9819"/>
          </w:cols>
          <w:pgMar w:left="640" w:top="1440" w:right="1440" w:bottom="1440" w:gutter="0" w:footer="0" w:header="0"/>
        </w:sectPr>
      </w:pPr>
    </w:p>
    <w:bookmarkStart w:id="101" w:name="page102"/>
    <w:bookmarkEnd w:id="101"/>
    <w:p>
      <w:pPr>
        <w:ind w:left="4720"/>
        <w:spacing w:after="0"/>
        <w:rPr>
          <w:sz w:val="20"/>
          <w:szCs w:val="20"/>
          <w:color w:val="auto"/>
        </w:rPr>
      </w:pPr>
      <w:r>
        <w:rPr>
          <w:rFonts w:ascii="Arial" w:cs="Arial" w:eastAsia="Arial" w:hAnsi="Arial"/>
          <w:sz w:val="18"/>
          <w:szCs w:val="18"/>
          <w:b w:val="1"/>
          <w:bCs w:val="1"/>
          <w:color w:val="auto"/>
        </w:rPr>
        <w:t>Attachment B</w:t>
      </w:r>
    </w:p>
    <w:p>
      <w:pPr>
        <w:spacing w:after="0" w:line="200" w:lineRule="exact"/>
        <w:rPr>
          <w:sz w:val="20"/>
          <w:szCs w:val="20"/>
          <w:color w:val="auto"/>
        </w:rPr>
      </w:pPr>
    </w:p>
    <w:p>
      <w:pPr>
        <w:spacing w:after="0" w:line="255" w:lineRule="exact"/>
        <w:rPr>
          <w:sz w:val="20"/>
          <w:szCs w:val="20"/>
          <w:color w:val="auto"/>
        </w:rPr>
      </w:pPr>
    </w:p>
    <w:p>
      <w:pPr>
        <w:jc w:val="right"/>
        <w:ind w:right="1679"/>
        <w:spacing w:after="0"/>
        <w:rPr>
          <w:sz w:val="20"/>
          <w:szCs w:val="20"/>
          <w:color w:val="auto"/>
        </w:rPr>
      </w:pPr>
      <w:r>
        <w:rPr>
          <w:rFonts w:ascii="Arial" w:cs="Arial" w:eastAsia="Arial" w:hAnsi="Arial"/>
          <w:sz w:val="18"/>
          <w:szCs w:val="18"/>
          <w:b w:val="1"/>
          <w:bCs w:val="1"/>
          <w:u w:val="single" w:color="auto"/>
          <w:color w:val="auto"/>
        </w:rPr>
        <w:t>List of Confidential or Proprietary Information Belonging to Others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819"/>
          </w:cols>
          <w:pgMar w:left="640" w:top="1403" w:right="1440" w:bottom="1440" w:gutter="0" w:footer="0" w:header="0"/>
        </w:sectPr>
      </w:pPr>
    </w:p>
    <w:bookmarkStart w:id="102" w:name="page103"/>
    <w:bookmarkEnd w:id="102"/>
    <w:p>
      <w:pPr>
        <w:ind w:left="4720"/>
        <w:spacing w:after="0"/>
        <w:rPr>
          <w:sz w:val="20"/>
          <w:szCs w:val="20"/>
          <w:color w:val="auto"/>
        </w:rPr>
      </w:pPr>
      <w:r>
        <w:rPr>
          <w:rFonts w:ascii="Arial" w:cs="Arial" w:eastAsia="Arial" w:hAnsi="Arial"/>
          <w:sz w:val="18"/>
          <w:szCs w:val="18"/>
          <w:b w:val="1"/>
          <w:bCs w:val="1"/>
          <w:color w:val="auto"/>
        </w:rPr>
        <w:t>Attachment C</w:t>
      </w:r>
    </w:p>
    <w:p>
      <w:pPr>
        <w:spacing w:after="0" w:line="200" w:lineRule="exact"/>
        <w:rPr>
          <w:sz w:val="20"/>
          <w:szCs w:val="20"/>
          <w:color w:val="auto"/>
        </w:rPr>
      </w:pPr>
    </w:p>
    <w:p>
      <w:pPr>
        <w:spacing w:after="0" w:line="255" w:lineRule="exact"/>
        <w:rPr>
          <w:sz w:val="20"/>
          <w:szCs w:val="20"/>
          <w:color w:val="auto"/>
        </w:rPr>
      </w:pPr>
    </w:p>
    <w:p>
      <w:pPr>
        <w:jc w:val="right"/>
        <w:ind w:right="2779"/>
        <w:spacing w:after="0"/>
        <w:rPr>
          <w:sz w:val="20"/>
          <w:szCs w:val="20"/>
          <w:color w:val="auto"/>
        </w:rPr>
      </w:pPr>
      <w:r>
        <w:rPr>
          <w:rFonts w:ascii="Arial" w:cs="Arial" w:eastAsia="Arial" w:hAnsi="Arial"/>
          <w:sz w:val="18"/>
          <w:szCs w:val="18"/>
          <w:b w:val="1"/>
          <w:bCs w:val="1"/>
          <w:u w:val="single" w:color="auto"/>
          <w:color w:val="auto"/>
        </w:rPr>
        <w:t>List of Prior Inventions or Improvements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9819"/>
          </w:cols>
          <w:pgMar w:left="640" w:top="1403" w:right="1440"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AMENDMENT TO EMPLOYMENT AGREEMENT</w:t>
      </w:r>
    </w:p>
    <w:p>
      <w:pPr>
        <w:spacing w:after="0" w:line="24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This Second Amendment dated January 29, 2026 (“</w:t>
      </w:r>
      <w:r>
        <w:rPr>
          <w:rFonts w:ascii="Times New Roman" w:cs="Times New Roman" w:eastAsia="Times New Roman" w:hAnsi="Times New Roman"/>
          <w:sz w:val="22"/>
          <w:szCs w:val="22"/>
          <w:b w:val="1"/>
          <w:bCs w:val="1"/>
          <w:color w:val="auto"/>
        </w:rPr>
        <w:t>Second Amendment</w:t>
      </w:r>
      <w:r>
        <w:rPr>
          <w:rFonts w:ascii="Times New Roman" w:cs="Times New Roman" w:eastAsia="Times New Roman" w:hAnsi="Times New Roman"/>
          <w:sz w:val="22"/>
          <w:szCs w:val="22"/>
          <w:color w:val="auto"/>
        </w:rPr>
        <w:t>”) is to the Employment Agreement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July 8, 2019, between Reynolds Consumer Products Holdings LLC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Judi Buckner (“</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Company and the Employee desire to further amend the Agreement;</w:t>
      </w:r>
    </w:p>
    <w:p>
      <w:pPr>
        <w:spacing w:after="0" w:line="24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promises and agreements set forth herein, the Company and the Employee, each intending to be legally bound hereby, do promise and agree as follows:</w:t>
      </w:r>
    </w:p>
    <w:p>
      <w:pPr>
        <w:spacing w:after="0" w:line="90" w:lineRule="exact"/>
        <w:rPr>
          <w:sz w:val="20"/>
          <w:szCs w:val="20"/>
          <w:color w:val="auto"/>
        </w:rPr>
      </w:pPr>
    </w:p>
    <w:p>
      <w:pPr>
        <w:ind w:left="340" w:hanging="332"/>
        <w:spacing w:after="0" w:line="271" w:lineRule="auto"/>
        <w:tabs>
          <w:tab w:leader="none" w:pos="3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SCHEDULE A.</w:t>
      </w:r>
      <w:r>
        <w:rPr>
          <w:rFonts w:ascii="Times New Roman" w:cs="Times New Roman" w:eastAsia="Times New Roman" w:hAnsi="Times New Roman"/>
          <w:sz w:val="22"/>
          <w:szCs w:val="22"/>
          <w:color w:val="auto"/>
        </w:rPr>
        <w:t xml:space="preserve"> Schedule A of the Agreement is hereby deleted in its entirety and replaced with the Schedule A attached hereto, effective February 1, 2026.</w:t>
      </w:r>
    </w:p>
    <w:p>
      <w:pPr>
        <w:spacing w:after="0" w:line="184" w:lineRule="exact"/>
        <w:rPr>
          <w:rFonts w:ascii="Times New Roman" w:cs="Times New Roman" w:eastAsia="Times New Roman" w:hAnsi="Times New Roman"/>
          <w:sz w:val="22"/>
          <w:szCs w:val="22"/>
          <w:color w:val="auto"/>
        </w:rPr>
      </w:pPr>
    </w:p>
    <w:p>
      <w:pPr>
        <w:ind w:left="340" w:hanging="332"/>
        <w:spacing w:after="0" w:line="284" w:lineRule="auto"/>
        <w:tabs>
          <w:tab w:leader="none" w:pos="3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HEALTH CARE CONTINUATION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5 (b)(ii)</w:t>
      </w:r>
      <w:r>
        <w:rPr>
          <w:rFonts w:ascii="Times New Roman" w:cs="Times New Roman" w:eastAsia="Times New Roman" w:hAnsi="Times New Roman"/>
          <w:sz w:val="22"/>
          <w:szCs w:val="22"/>
          <w:color w:val="auto"/>
        </w:rPr>
        <w:t xml:space="preserve"> of the Agreement is revised to provide for Health Plan continuation for 18 months from Date of Termination.</w:t>
      </w:r>
    </w:p>
    <w:p>
      <w:pPr>
        <w:spacing w:after="0" w:line="170"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280G LIMITATIONS</w:t>
      </w:r>
      <w:r>
        <w:rPr>
          <w:rFonts w:ascii="Times New Roman" w:cs="Times New Roman" w:eastAsia="Times New Roman" w:hAnsi="Times New Roman"/>
          <w:sz w:val="22"/>
          <w:szCs w:val="22"/>
          <w:color w:val="auto"/>
        </w:rPr>
        <w:t>. The following provision shall be added to the Agreement:</w:t>
      </w:r>
    </w:p>
    <w:p>
      <w:pPr>
        <w:spacing w:after="0" w:line="247" w:lineRule="exact"/>
        <w:rPr>
          <w:sz w:val="20"/>
          <w:szCs w:val="20"/>
          <w:color w:val="auto"/>
        </w:rPr>
      </w:pPr>
    </w:p>
    <w:p>
      <w:pPr>
        <w:jc w:val="both"/>
        <w:ind w:left="660"/>
        <w:spacing w:after="0" w:line="247" w:lineRule="auto"/>
        <w:rPr>
          <w:sz w:val="20"/>
          <w:szCs w:val="20"/>
          <w:color w:val="auto"/>
        </w:rPr>
      </w:pPr>
      <w:r>
        <w:rPr>
          <w:rFonts w:ascii="Times New Roman" w:cs="Times New Roman" w:eastAsia="Times New Roman" w:hAnsi="Times New Roman"/>
          <w:sz w:val="22"/>
          <w:szCs w:val="22"/>
          <w:color w:val="auto"/>
        </w:rPr>
        <w:t>280G Limitations. Notwithstanding anything in this Agreement to the contrary, in the event that the severance and other benefits provided for in this Agreement or otherwise payable to Employee (a) constitute “parachute payments” within the meaning of Section 280G of the Code and (b) would be subject to the excise tax imposed by Section 4999 of the Code, then such benefits shall be either be: (i) delivered in full, or (ii) delivered as to such lesser extent which would result in no portion of such severance benefits being subject to excise tax under Section 4999 of the Code, whichever of the foregoing amounts, taking into account the applicable federal, state and local income and employment taxes and the excise tax imposed by Section 4999 of the Code, results in the receipt by Employee, on an after-tax basis, of the greatest amount of benefits, notwithstanding that all or some portion of such benefits may be subject to excise tax under Section 4999 of the Code. Any determination required under this section will be made in writing by an accounting firm selected by the Company or such other person or entity to which the parties mutually agree (the “</w:t>
      </w:r>
      <w:r>
        <w:rPr>
          <w:rFonts w:ascii="Times New Roman" w:cs="Times New Roman" w:eastAsia="Times New Roman" w:hAnsi="Times New Roman"/>
          <w:sz w:val="22"/>
          <w:szCs w:val="22"/>
          <w:b w:val="1"/>
          <w:bCs w:val="1"/>
          <w:color w:val="auto"/>
        </w:rPr>
        <w:t>Accountants”),</w:t>
      </w:r>
      <w:r>
        <w:rPr>
          <w:rFonts w:ascii="Times New Roman" w:cs="Times New Roman" w:eastAsia="Times New Roman" w:hAnsi="Times New Roman"/>
          <w:sz w:val="22"/>
          <w:szCs w:val="22"/>
          <w:color w:val="auto"/>
        </w:rPr>
        <w:t xml:space="preserve"> whose determination will be conclusive and binding upon Employee and the Company for all purposes. For purposes of making the calculations required by this section, the Accountants may make reasonable assumptions and approximations concerning applicable taxes and may rely on reasonable, good faith interpretations concerning the application of Sections 280G and 4999 of the Code. The Company and Employee shall furnish to the Accountants such information and documents as the Accountants may reasonably request in order to make a determination under this Section. The Company shall bear all costs the Accountants may reasonably incur in connection with any calculations contemplated by this section. Any reduction in payments and/or benefits required by this section shall occur in the following order: (A) cash payments shall be reduced first and in reverse chronological order such that the cash payment owed on the latest date following the occurrence of the event</w:t>
      </w:r>
    </w:p>
    <w:p>
      <w:pPr>
        <w:sectPr>
          <w:pgSz w:w="11900" w:h="16838" w:orient="portrait"/>
          <w:cols w:equalWidth="0" w:num="1">
            <w:col w:w="11240"/>
          </w:cols>
          <w:pgMar w:left="320" w:top="121" w:right="339" w:bottom="1440" w:gutter="0" w:footer="0" w:header="0"/>
        </w:sectPr>
      </w:pPr>
    </w:p>
    <w:bookmarkStart w:id="104" w:name="page105"/>
    <w:bookmarkEnd w:id="104"/>
    <w:p>
      <w:pPr>
        <w:jc w:val="both"/>
        <w:ind w:left="660"/>
        <w:spacing w:after="0" w:line="272" w:lineRule="auto"/>
        <w:rPr>
          <w:sz w:val="20"/>
          <w:szCs w:val="20"/>
          <w:color w:val="auto"/>
        </w:rPr>
      </w:pPr>
      <w:r>
        <w:rPr>
          <w:rFonts w:ascii="Times New Roman" w:cs="Times New Roman" w:eastAsia="Times New Roman" w:hAnsi="Times New Roman"/>
          <w:sz w:val="21"/>
          <w:szCs w:val="21"/>
          <w:color w:val="auto"/>
        </w:rPr>
        <w:t>triggering such excise tax will be the first cash payment to be reduced; (B) accelerated vesting of stock awards, if any, shall be cancelled/reduced next and in the reverse order of the date of grant for such stock awards (i.e., the vesting of the most recently granted stock awards will be reduced first), with full value awards reversed before any stock option or stock appreciation rights are reduced; and (C) deferred compensation amounts subject to Section 409A shall be reduced last.</w:t>
      </w:r>
    </w:p>
    <w:p>
      <w:pPr>
        <w:spacing w:after="0" w:line="188" w:lineRule="exact"/>
        <w:rPr>
          <w:sz w:val="20"/>
          <w:szCs w:val="20"/>
          <w:color w:val="auto"/>
        </w:rPr>
      </w:pPr>
    </w:p>
    <w:p>
      <w:pPr>
        <w:ind w:left="340" w:hanging="332"/>
        <w:spacing w:after="0"/>
        <w:tabs>
          <w:tab w:leader="none" w:pos="3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TERMS.</w:t>
      </w:r>
      <w:r>
        <w:rPr>
          <w:rFonts w:ascii="Times New Roman" w:cs="Times New Roman" w:eastAsia="Times New Roman" w:hAnsi="Times New Roman"/>
          <w:sz w:val="22"/>
          <w:szCs w:val="22"/>
          <w:color w:val="auto"/>
        </w:rPr>
        <w:t xml:space="preserve"> Except as provided herein, all terms and conditions of the Agreement remain in effect.</w:t>
      </w:r>
    </w:p>
    <w:p>
      <w:pPr>
        <w:spacing w:after="0" w:line="246" w:lineRule="exact"/>
        <w:rPr>
          <w:rFonts w:ascii="Times New Roman" w:cs="Times New Roman" w:eastAsia="Times New Roman" w:hAnsi="Times New Roman"/>
          <w:sz w:val="22"/>
          <w:szCs w:val="22"/>
          <w:color w:val="auto"/>
        </w:rPr>
      </w:pPr>
    </w:p>
    <w:p>
      <w:pPr>
        <w:jc w:val="both"/>
        <w:ind w:left="340" w:hanging="332"/>
        <w:spacing w:after="0" w:line="257" w:lineRule="auto"/>
        <w:tabs>
          <w:tab w:leader="none" w:pos="3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xml:space="preserve"> This Second Amendment may be executed in any number of counterparts, each of which when so executed and delivered shall be taken to be an original; but such counterparts shall together constitute one and the same document.</w:t>
      </w:r>
    </w:p>
    <w:p>
      <w:pPr>
        <w:spacing w:after="0" w:line="213"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Capitalized terms not defined herein shall have the meanings ascribed to them in the Agreement.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parties have executed this Second Amendment effective as of the date set forth above.</w:t>
      </w:r>
    </w:p>
    <w:p>
      <w:pPr>
        <w:spacing w:after="0" w:line="200" w:lineRule="exact"/>
        <w:rPr>
          <w:sz w:val="20"/>
          <w:szCs w:val="20"/>
          <w:color w:val="auto"/>
        </w:rPr>
      </w:pPr>
    </w:p>
    <w:p>
      <w:pPr>
        <w:spacing w:after="0" w:line="313" w:lineRule="exact"/>
        <w:rPr>
          <w:sz w:val="20"/>
          <w:szCs w:val="20"/>
          <w:color w:val="auto"/>
        </w:rPr>
      </w:pPr>
    </w:p>
    <w:p>
      <w:pPr>
        <w:spacing w:after="0"/>
        <w:tabs>
          <w:tab w:leader="none" w:pos="4320" w:val="left"/>
        </w:tabs>
        <w:rPr>
          <w:sz w:val="20"/>
          <w:szCs w:val="20"/>
          <w:color w:val="auto"/>
        </w:rPr>
      </w:pPr>
      <w:r>
        <w:rPr>
          <w:rFonts w:ascii="Times New Roman" w:cs="Times New Roman" w:eastAsia="Times New Roman" w:hAnsi="Times New Roman"/>
          <w:sz w:val="22"/>
          <w:szCs w:val="22"/>
          <w:b w:val="1"/>
          <w:bCs w:val="1"/>
          <w:color w:val="auto"/>
        </w:rPr>
        <w:t>Reynolds Consumer Products Holdings LLC</w:t>
      </w:r>
      <w:r>
        <w:rPr>
          <w:sz w:val="20"/>
          <w:szCs w:val="20"/>
          <w:color w:val="auto"/>
        </w:rPr>
        <w:tab/>
      </w:r>
      <w:r>
        <w:rPr>
          <w:rFonts w:ascii="Times New Roman" w:cs="Times New Roman" w:eastAsia="Times New Roman" w:hAnsi="Times New Roman"/>
          <w:sz w:val="21"/>
          <w:szCs w:val="21"/>
          <w:b w:val="1"/>
          <w:bCs w:val="1"/>
          <w:color w:val="auto"/>
        </w:rPr>
        <w:t>Employee: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Scott Huckins</w:t>
            </w:r>
          </w:p>
        </w:tc>
        <w:tc>
          <w:tcPr>
            <w:tcW w:w="33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By: /s/ Judith Buckner</w:t>
            </w: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65"/>
        </w:trPr>
        <w:tc>
          <w:tcPr>
            <w:tcW w:w="20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Name: Scott Huckins</w:t>
            </w:r>
          </w:p>
        </w:tc>
        <w:tc>
          <w:tcPr>
            <w:tcW w:w="420" w:type="dxa"/>
            <w:vAlign w:val="bottom"/>
          </w:tcPr>
          <w:p>
            <w:pPr>
              <w:spacing w:after="0"/>
              <w:rPr>
                <w:sz w:val="24"/>
                <w:szCs w:val="24"/>
                <w:color w:val="auto"/>
              </w:rPr>
            </w:pPr>
          </w:p>
        </w:tc>
        <w:tc>
          <w:tcPr>
            <w:tcW w:w="288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w w:val="97"/>
              </w:rPr>
              <w:t>Print Name: Judith Buckner</w:t>
            </w:r>
          </w:p>
        </w:tc>
      </w:tr>
      <w:tr>
        <w:trPr>
          <w:trHeight w:val="432"/>
        </w:trPr>
        <w:tc>
          <w:tcPr>
            <w:tcW w:w="206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Date: January 29, 2026</w:t>
            </w:r>
          </w:p>
        </w:tc>
        <w:tc>
          <w:tcPr>
            <w:tcW w:w="420" w:type="dxa"/>
            <w:vAlign w:val="bottom"/>
          </w:tcPr>
          <w:p>
            <w:pPr>
              <w:spacing w:after="0"/>
              <w:rPr>
                <w:sz w:val="24"/>
                <w:szCs w:val="24"/>
                <w:color w:val="auto"/>
              </w:rPr>
            </w:pPr>
          </w:p>
        </w:tc>
        <w:tc>
          <w:tcPr>
            <w:tcW w:w="2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Date: January 30, 2026</w:t>
            </w:r>
          </w:p>
        </w:tc>
      </w:tr>
    </w:tbl>
    <w:p>
      <w:pPr>
        <w:sectPr>
          <w:pgSz w:w="11900" w:h="16838" w:orient="portrait"/>
          <w:cols w:equalWidth="0" w:num="1">
            <w:col w:w="11240"/>
          </w:cols>
          <w:pgMar w:left="320" w:top="1422"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Key Terms of Employment</w:t>
      </w:r>
    </w:p>
    <w:p>
      <w:pPr>
        <w:spacing w:after="0" w:line="166" w:lineRule="exact"/>
        <w:rPr>
          <w:sz w:val="20"/>
          <w:szCs w:val="20"/>
          <w:color w:val="auto"/>
        </w:rPr>
      </w:pPr>
    </w:p>
    <w:p>
      <w:pPr>
        <w:ind w:left="340" w:hanging="332"/>
        <w:spacing w:after="0"/>
        <w:tabs>
          <w:tab w:leader="none" w:pos="34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Position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President Reynolds Cooking &amp; Baking</w:t>
      </w:r>
    </w:p>
    <w:p>
      <w:pPr>
        <w:spacing w:after="0" w:line="246" w:lineRule="exact"/>
        <w:rPr>
          <w:rFonts w:ascii="Times New Roman" w:cs="Times New Roman" w:eastAsia="Times New Roman" w:hAnsi="Times New Roman"/>
          <w:sz w:val="22"/>
          <w:szCs w:val="22"/>
          <w:b w:val="1"/>
          <w:bCs w:val="1"/>
          <w:color w:val="auto"/>
        </w:rPr>
      </w:pPr>
    </w:p>
    <w:p>
      <w:pPr>
        <w:ind w:left="340" w:hanging="332"/>
        <w:spacing w:after="0"/>
        <w:tabs>
          <w:tab w:leader="none" w:pos="34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Primary Location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Lake Forest, IL</w:t>
      </w:r>
    </w:p>
    <w:p>
      <w:pPr>
        <w:spacing w:after="0" w:line="260" w:lineRule="exact"/>
        <w:rPr>
          <w:rFonts w:ascii="Times New Roman" w:cs="Times New Roman" w:eastAsia="Times New Roman" w:hAnsi="Times New Roman"/>
          <w:sz w:val="22"/>
          <w:szCs w:val="22"/>
          <w:b w:val="1"/>
          <w:bCs w:val="1"/>
          <w:color w:val="auto"/>
        </w:rPr>
      </w:pPr>
    </w:p>
    <w:p>
      <w:pPr>
        <w:ind w:left="340" w:hanging="332"/>
        <w:spacing w:after="0" w:line="275" w:lineRule="auto"/>
        <w:tabs>
          <w:tab w:leader="none" w:pos="34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Base Salary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$577,000. The Company may adjust Employee’s base salary from time to time. For purposes of Sections 5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6 below, “Base Salary” shall be the Employee’s base salary at the time of separation.</w:t>
      </w:r>
    </w:p>
    <w:p>
      <w:pPr>
        <w:spacing w:after="0" w:line="176" w:lineRule="exact"/>
        <w:rPr>
          <w:rFonts w:ascii="Times New Roman" w:cs="Times New Roman" w:eastAsia="Times New Roman" w:hAnsi="Times New Roman"/>
          <w:sz w:val="22"/>
          <w:szCs w:val="22"/>
          <w:b w:val="1"/>
          <w:bCs w:val="1"/>
          <w:color w:val="auto"/>
        </w:rPr>
      </w:pPr>
    </w:p>
    <w:p>
      <w:pPr>
        <w:jc w:val="both"/>
        <w:ind w:left="340" w:hanging="332"/>
        <w:spacing w:after="0" w:line="299" w:lineRule="auto"/>
        <w:tabs>
          <w:tab w:leader="none" w:pos="340" w:val="left"/>
        </w:tabs>
        <w:numPr>
          <w:ilvl w:val="0"/>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Annual Bonus Target</w:t>
      </w:r>
      <w:r>
        <w:rPr>
          <w:rFonts w:ascii="Times New Roman" w:cs="Times New Roman" w:eastAsia="Times New Roman" w:hAnsi="Times New Roman"/>
          <w:sz w:val="21"/>
          <w:szCs w:val="21"/>
          <w:color w:val="auto"/>
        </w:rPr>
        <w:t>: 65% of Base Salary. The Company may adjust Employee’s annual bonus target from time to time.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purposes of Section 5 below, “Annual Bonus Target” shall be the annual bonus target percentage at the time of separation.</w:t>
      </w:r>
    </w:p>
    <w:p>
      <w:pPr>
        <w:spacing w:after="0" w:line="154" w:lineRule="exact"/>
        <w:rPr>
          <w:rFonts w:ascii="Times New Roman" w:cs="Times New Roman" w:eastAsia="Times New Roman" w:hAnsi="Times New Roman"/>
          <w:sz w:val="21"/>
          <w:szCs w:val="21"/>
          <w:b w:val="1"/>
          <w:bCs w:val="1"/>
          <w:color w:val="auto"/>
        </w:rPr>
      </w:pPr>
    </w:p>
    <w:p>
      <w:pPr>
        <w:jc w:val="both"/>
        <w:ind w:left="340" w:hanging="332"/>
        <w:spacing w:after="0" w:line="261" w:lineRule="auto"/>
        <w:tabs>
          <w:tab w:leader="none" w:pos="340" w:val="left"/>
        </w:tabs>
        <w:numPr>
          <w:ilvl w:val="0"/>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Severance Amount/Period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 Base Salary, plus an additional amount equal to the Employee’s Annual Bonus at Target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year including the Date of Termination, prorated through the Date of Termination, paid in equal installments over 12 months following the Date of Termination except that if (i) a Sale of Business (as defined below) occurs and (ii) within 12 months following the closing of such Sale of Business either (A) Employee is terminated without Cause, or (B) Employee’s position is materially reduced in remuneration or scope of duties and Employee terminates Employee’s employment, then the Severance Amount shall be (i) two times the sum of Base Salary plus Annual Bonus at Target, plus (ii) an additional amount equal to the Employee’s Annual Bonus at Target for the date including the Date of Termination prorated through Date of Termination, paid in equal installments over 24 months following the Date of Termination. All other terms of </w:t>
      </w:r>
      <w:r>
        <w:rPr>
          <w:rFonts w:ascii="Times New Roman" w:cs="Times New Roman" w:eastAsia="Times New Roman" w:hAnsi="Times New Roman"/>
          <w:sz w:val="21"/>
          <w:szCs w:val="21"/>
          <w:u w:val="single" w:color="auto"/>
          <w:color w:val="auto"/>
        </w:rPr>
        <w:t>Section 5(b)(i)</w:t>
      </w:r>
      <w:r>
        <w:rPr>
          <w:rFonts w:ascii="Times New Roman" w:cs="Times New Roman" w:eastAsia="Times New Roman" w:hAnsi="Times New Roman"/>
          <w:sz w:val="21"/>
          <w:szCs w:val="21"/>
          <w:color w:val="auto"/>
        </w:rPr>
        <w:t xml:space="preserve"> of the Agreement will apply. For purposes of this provision a “</w:t>
      </w:r>
      <w:r>
        <w:rPr>
          <w:rFonts w:ascii="Times New Roman" w:cs="Times New Roman" w:eastAsia="Times New Roman" w:hAnsi="Times New Roman"/>
          <w:sz w:val="21"/>
          <w:szCs w:val="21"/>
          <w:b w:val="1"/>
          <w:bCs w:val="1"/>
          <w:color w:val="auto"/>
        </w:rPr>
        <w:t>Sale of Business</w:t>
      </w:r>
      <w:r>
        <w:rPr>
          <w:rFonts w:ascii="Times New Roman" w:cs="Times New Roman" w:eastAsia="Times New Roman" w:hAnsi="Times New Roman"/>
          <w:sz w:val="21"/>
          <w:szCs w:val="21"/>
          <w:color w:val="auto"/>
        </w:rPr>
        <w:t>” shall mean the sale or other disposition of</w:t>
      </w:r>
    </w:p>
    <w:p>
      <w:pPr>
        <w:jc w:val="both"/>
        <w:ind w:left="340"/>
        <w:spacing w:after="0" w:line="260"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(x) more than 50% of the shares or other equity interests of the Company or the Company’s direct or indirect parent to a non-affiliated party (which shall not include a sale or an offering by Packaging Finance Limited or some or all of its shares in the Company, so long as the remainder of the shares continue to be owned by the public), or (y) more than 50% of the businesses or assets that, as of the most recent year end, generated more than 50% of the Company’s EBITDA (as determined in good faith by the Company’s Board of Directors, based on the Company’s regularly prepared financial statements), provided that a disposition as a result of lender foreclosure on assets or pursuant to a bankruptcy or judicially administered reorganization shall not constitute a Sale of Business. Employee’s position shall not be materially reduced by reason of the Company being smaller or having less operations as a result of the Sale of Business so long as Employee’s duties and responsibilities are generally consistent with Employee’s duties and responsibilities prior to the Sale of Business.</w:t>
      </w:r>
    </w:p>
    <w:p>
      <w:pPr>
        <w:spacing w:after="0" w:line="196" w:lineRule="exact"/>
        <w:rPr>
          <w:rFonts w:ascii="Times New Roman" w:cs="Times New Roman" w:eastAsia="Times New Roman" w:hAnsi="Times New Roman"/>
          <w:sz w:val="21"/>
          <w:szCs w:val="21"/>
          <w:b w:val="1"/>
          <w:bCs w:val="1"/>
          <w:color w:val="auto"/>
        </w:rPr>
      </w:pPr>
    </w:p>
    <w:p>
      <w:pPr>
        <w:ind w:left="340" w:hanging="332"/>
        <w:spacing w:after="0"/>
        <w:tabs>
          <w:tab w:leader="none" w:pos="34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Compensation Programs</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b w:val="1"/>
          <w:bCs w:val="1"/>
          <w:color w:val="auto"/>
        </w:rPr>
      </w:pPr>
    </w:p>
    <w:p>
      <w:pPr>
        <w:ind w:left="3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Long-Term Incentive Program Target: 160% of Base Salary</w:t>
      </w:r>
    </w:p>
    <w:p>
      <w:pPr>
        <w:sectPr>
          <w:pgSz w:w="11900" w:h="16838" w:orient="portrait"/>
          <w:cols w:equalWidth="0" w:num="1">
            <w:col w:w="11240"/>
          </w:cols>
          <w:pgMar w:left="320" w:top="1431"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2"/>
          <w:szCs w:val="22"/>
          <w:b w:val="1"/>
          <w:bCs w:val="1"/>
          <w:color w:val="auto"/>
        </w:rPr>
        <w:t>Exhibit 10.29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 EMPLOYMENT AGREEMENT</w:t>
      </w:r>
    </w:p>
    <w:p>
      <w:pPr>
        <w:spacing w:after="0" w:line="247"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21"/>
          <w:szCs w:val="21"/>
          <w:color w:val="auto"/>
        </w:rPr>
        <w:t>This First Amendment dated January 29, 2026 (“</w:t>
      </w:r>
      <w:r>
        <w:rPr>
          <w:rFonts w:ascii="Times New Roman" w:cs="Times New Roman" w:eastAsia="Times New Roman" w:hAnsi="Times New Roman"/>
          <w:sz w:val="21"/>
          <w:szCs w:val="21"/>
          <w:b w:val="1"/>
          <w:bCs w:val="1"/>
          <w:color w:val="auto"/>
        </w:rPr>
        <w:t>First Amendment</w:t>
      </w:r>
      <w:r>
        <w:rPr>
          <w:rFonts w:ascii="Times New Roman" w:cs="Times New Roman" w:eastAsia="Times New Roman" w:hAnsi="Times New Roman"/>
          <w:sz w:val="21"/>
          <w:szCs w:val="21"/>
          <w:color w:val="auto"/>
        </w:rPr>
        <w:t>”) is to the Employment Agreement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dated as of February 28, 2022, between Reynolds Consumer Products Holdings LLC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Lisa Smith (“</w:t>
      </w:r>
      <w:r>
        <w:rPr>
          <w:rFonts w:ascii="Times New Roman" w:cs="Times New Roman" w:eastAsia="Times New Roman" w:hAnsi="Times New Roman"/>
          <w:sz w:val="21"/>
          <w:szCs w:val="21"/>
          <w:b w:val="1"/>
          <w:bCs w:val="1"/>
          <w:color w:val="auto"/>
        </w:rPr>
        <w:t>Employee</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Company and the Employee desire to amend the Agreement;</w:t>
      </w:r>
    </w:p>
    <w:p>
      <w:pPr>
        <w:spacing w:after="0" w:line="24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promises and agreements set forth herein, the Company and the Employee, each intending to be legally bound hereby, do promise and agree as follows:</w:t>
      </w:r>
    </w:p>
    <w:p>
      <w:pPr>
        <w:spacing w:after="0" w:line="90" w:lineRule="exact"/>
        <w:rPr>
          <w:sz w:val="20"/>
          <w:szCs w:val="20"/>
          <w:color w:val="auto"/>
        </w:rPr>
      </w:pPr>
    </w:p>
    <w:p>
      <w:pPr>
        <w:ind w:left="340" w:hanging="332"/>
        <w:spacing w:after="0" w:line="271" w:lineRule="auto"/>
        <w:tabs>
          <w:tab w:leader="none" w:pos="34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SCHEDULE A.</w:t>
      </w:r>
      <w:r>
        <w:rPr>
          <w:rFonts w:ascii="Times New Roman" w:cs="Times New Roman" w:eastAsia="Times New Roman" w:hAnsi="Times New Roman"/>
          <w:sz w:val="22"/>
          <w:szCs w:val="22"/>
          <w:color w:val="auto"/>
        </w:rPr>
        <w:t xml:space="preserve"> Schedule A of the Agreement is hereby deleted in its entirety and replaced with the Schedule A attached hereto, effective February 1, 2026.</w:t>
      </w:r>
    </w:p>
    <w:p>
      <w:pPr>
        <w:spacing w:after="0" w:line="184"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TERMS.</w:t>
      </w:r>
      <w:r>
        <w:rPr>
          <w:rFonts w:ascii="Times New Roman" w:cs="Times New Roman" w:eastAsia="Times New Roman" w:hAnsi="Times New Roman"/>
          <w:sz w:val="22"/>
          <w:szCs w:val="22"/>
          <w:color w:val="auto"/>
        </w:rPr>
        <w:t xml:space="preserve"> Except as provided herein, all terms and conditions of the Agreement remain in effect.</w:t>
      </w:r>
    </w:p>
    <w:p>
      <w:pPr>
        <w:spacing w:after="0" w:line="246" w:lineRule="exact"/>
        <w:rPr>
          <w:rFonts w:ascii="Times New Roman" w:cs="Times New Roman" w:eastAsia="Times New Roman" w:hAnsi="Times New Roman"/>
          <w:sz w:val="22"/>
          <w:szCs w:val="22"/>
          <w:color w:val="auto"/>
        </w:rPr>
      </w:pPr>
    </w:p>
    <w:p>
      <w:pPr>
        <w:ind w:left="340" w:hanging="332"/>
        <w:spacing w:after="0" w:line="309" w:lineRule="auto"/>
        <w:tabs>
          <w:tab w:leader="none" w:pos="34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xml:space="preserve"> This First Amendment may be executed in any number of counterparts, each of which when so executed and delivered shall be taken to be an original; but such counterparts shall together constitute one and the same document.</w:t>
      </w:r>
    </w:p>
    <w:p>
      <w:pPr>
        <w:spacing w:after="0" w:line="147" w:lineRule="exact"/>
        <w:rPr>
          <w:rFonts w:ascii="Times New Roman" w:cs="Times New Roman" w:eastAsia="Times New Roman" w:hAnsi="Times New Roman"/>
          <w:sz w:val="21"/>
          <w:szCs w:val="21"/>
          <w:color w:val="auto"/>
        </w:rPr>
      </w:pPr>
    </w:p>
    <w:p>
      <w:pPr>
        <w:ind w:left="340" w:hanging="332"/>
        <w:spacing w:after="0"/>
        <w:tabs>
          <w:tab w:leader="none" w:pos="34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Capitalized terms not defined herein shall have the meanings ascribed to them in the Agreement.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parties have executed this First Amendment effective as of the date set forth above.</w:t>
      </w:r>
    </w:p>
    <w:p>
      <w:pPr>
        <w:spacing w:after="0" w:line="200" w:lineRule="exact"/>
        <w:rPr>
          <w:sz w:val="20"/>
          <w:szCs w:val="20"/>
          <w:color w:val="auto"/>
        </w:rPr>
      </w:pPr>
    </w:p>
    <w:p>
      <w:pPr>
        <w:spacing w:after="0" w:line="313" w:lineRule="exact"/>
        <w:rPr>
          <w:sz w:val="20"/>
          <w:szCs w:val="20"/>
          <w:color w:val="auto"/>
        </w:rPr>
      </w:pPr>
    </w:p>
    <w:p>
      <w:pPr>
        <w:spacing w:after="0"/>
        <w:tabs>
          <w:tab w:leader="none" w:pos="4320" w:val="left"/>
        </w:tabs>
        <w:rPr>
          <w:sz w:val="20"/>
          <w:szCs w:val="20"/>
          <w:color w:val="auto"/>
        </w:rPr>
      </w:pPr>
      <w:r>
        <w:rPr>
          <w:rFonts w:ascii="Times New Roman" w:cs="Times New Roman" w:eastAsia="Times New Roman" w:hAnsi="Times New Roman"/>
          <w:sz w:val="22"/>
          <w:szCs w:val="22"/>
          <w:b w:val="1"/>
          <w:bCs w:val="1"/>
          <w:color w:val="auto"/>
        </w:rPr>
        <w:t>Reynolds Consumer Products Holdings LLC</w:t>
      </w:r>
      <w:r>
        <w:rPr>
          <w:sz w:val="20"/>
          <w:szCs w:val="20"/>
          <w:color w:val="auto"/>
        </w:rPr>
        <w:tab/>
      </w:r>
      <w:r>
        <w:rPr>
          <w:rFonts w:ascii="Times New Roman" w:cs="Times New Roman" w:eastAsia="Times New Roman" w:hAnsi="Times New Roman"/>
          <w:sz w:val="21"/>
          <w:szCs w:val="21"/>
          <w:b w:val="1"/>
          <w:bCs w:val="1"/>
          <w:color w:val="auto"/>
        </w:rPr>
        <w:t>Employee: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Scott Huckins</w:t>
            </w:r>
          </w:p>
        </w:tc>
        <w:tc>
          <w:tcPr>
            <w:tcW w:w="322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By: /s/ Lisa M. Smith</w:t>
            </w: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64"/>
        </w:trPr>
        <w:tc>
          <w:tcPr>
            <w:tcW w:w="20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Name: Scott Huckins</w:t>
            </w:r>
          </w:p>
        </w:tc>
        <w:tc>
          <w:tcPr>
            <w:tcW w:w="420" w:type="dxa"/>
            <w:vAlign w:val="bottom"/>
          </w:tcPr>
          <w:p>
            <w:pPr>
              <w:spacing w:after="0"/>
              <w:rPr>
                <w:sz w:val="24"/>
                <w:szCs w:val="24"/>
                <w:color w:val="auto"/>
              </w:rPr>
            </w:pPr>
          </w:p>
        </w:tc>
        <w:tc>
          <w:tcPr>
            <w:tcW w:w="280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w w:val="97"/>
              </w:rPr>
              <w:t>Print Name: Lisa M. Smith</w:t>
            </w:r>
          </w:p>
        </w:tc>
      </w:tr>
      <w:tr>
        <w:trPr>
          <w:trHeight w:val="432"/>
        </w:trPr>
        <w:tc>
          <w:tcPr>
            <w:tcW w:w="206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Date: January 29, 2026</w:t>
            </w:r>
          </w:p>
        </w:tc>
        <w:tc>
          <w:tcPr>
            <w:tcW w:w="420" w:type="dxa"/>
            <w:vAlign w:val="bottom"/>
          </w:tcPr>
          <w:p>
            <w:pPr>
              <w:spacing w:after="0"/>
              <w:rPr>
                <w:sz w:val="24"/>
                <w:szCs w:val="24"/>
                <w:color w:val="auto"/>
              </w:rPr>
            </w:pPr>
          </w:p>
        </w:tc>
        <w:tc>
          <w:tcPr>
            <w:tcW w:w="280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Date: January 30, 2026</w:t>
            </w:r>
          </w:p>
        </w:tc>
      </w:tr>
    </w:tbl>
    <w:p>
      <w:pPr>
        <w:sectPr>
          <w:pgSz w:w="11900" w:h="16838" w:orient="portrait"/>
          <w:cols w:equalWidth="0" w:num="1">
            <w:col w:w="11240"/>
          </w:cols>
          <w:pgMar w:left="320" w:top="122"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Key Terms of Employment</w:t>
      </w:r>
    </w:p>
    <w:p>
      <w:pPr>
        <w:spacing w:after="0" w:line="166"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Position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President Hefty Waste &amp; Storage</w:t>
      </w:r>
    </w:p>
    <w:p>
      <w:pPr>
        <w:spacing w:after="0" w:line="246" w:lineRule="exact"/>
        <w:rPr>
          <w:rFonts w:ascii="Times New Roman" w:cs="Times New Roman" w:eastAsia="Times New Roman" w:hAnsi="Times New Roman"/>
          <w:sz w:val="22"/>
          <w:szCs w:val="22"/>
          <w:b w:val="1"/>
          <w:bCs w:val="1"/>
          <w:color w:val="auto"/>
        </w:rPr>
      </w:pPr>
    </w:p>
    <w:p>
      <w:pPr>
        <w:ind w:left="340" w:hanging="332"/>
        <w:spacing w:after="0"/>
        <w:tabs>
          <w:tab w:leader="none" w:pos="34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Primary Location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Lake Forest, IL</w:t>
      </w:r>
    </w:p>
    <w:p>
      <w:pPr>
        <w:spacing w:after="0" w:line="260" w:lineRule="exact"/>
        <w:rPr>
          <w:rFonts w:ascii="Times New Roman" w:cs="Times New Roman" w:eastAsia="Times New Roman" w:hAnsi="Times New Roman"/>
          <w:sz w:val="22"/>
          <w:szCs w:val="22"/>
          <w:b w:val="1"/>
          <w:bCs w:val="1"/>
          <w:color w:val="auto"/>
        </w:rPr>
      </w:pPr>
    </w:p>
    <w:p>
      <w:pPr>
        <w:ind w:left="340" w:hanging="332"/>
        <w:spacing w:after="0" w:line="275" w:lineRule="auto"/>
        <w:tabs>
          <w:tab w:leader="none" w:pos="34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Base Salary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$577,000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may adjust Employee’s base salary from time to time. For purposes of Sections 5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6 below, “Base Salary” shall be the Employee’s base salary at the time of separation.</w:t>
      </w:r>
    </w:p>
    <w:p>
      <w:pPr>
        <w:spacing w:after="0" w:line="176" w:lineRule="exact"/>
        <w:rPr>
          <w:rFonts w:ascii="Times New Roman" w:cs="Times New Roman" w:eastAsia="Times New Roman" w:hAnsi="Times New Roman"/>
          <w:sz w:val="22"/>
          <w:szCs w:val="22"/>
          <w:b w:val="1"/>
          <w:bCs w:val="1"/>
          <w:color w:val="auto"/>
        </w:rPr>
      </w:pPr>
    </w:p>
    <w:p>
      <w:pPr>
        <w:jc w:val="both"/>
        <w:ind w:left="340" w:hanging="332"/>
        <w:spacing w:after="0" w:line="299" w:lineRule="auto"/>
        <w:tabs>
          <w:tab w:leader="none" w:pos="340" w:val="left"/>
        </w:tabs>
        <w:numPr>
          <w:ilvl w:val="0"/>
          <w:numId w:val="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Annual Bonus Target</w:t>
      </w:r>
      <w:r>
        <w:rPr>
          <w:rFonts w:ascii="Times New Roman" w:cs="Times New Roman" w:eastAsia="Times New Roman" w:hAnsi="Times New Roman"/>
          <w:sz w:val="21"/>
          <w:szCs w:val="21"/>
          <w:color w:val="auto"/>
        </w:rPr>
        <w:t>: 65% of Base Salary. The Company may adjust Employee’s annual bonus target from time to time.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purposes of Section 5 below, “Annual Bonus Target” shall be the annual bonus target percentage at the time of separation.</w:t>
      </w:r>
    </w:p>
    <w:p>
      <w:pPr>
        <w:spacing w:after="0" w:line="154" w:lineRule="exact"/>
        <w:rPr>
          <w:rFonts w:ascii="Times New Roman" w:cs="Times New Roman" w:eastAsia="Times New Roman" w:hAnsi="Times New Roman"/>
          <w:sz w:val="21"/>
          <w:szCs w:val="21"/>
          <w:b w:val="1"/>
          <w:bCs w:val="1"/>
          <w:color w:val="auto"/>
        </w:rPr>
      </w:pPr>
    </w:p>
    <w:p>
      <w:pPr>
        <w:jc w:val="both"/>
        <w:ind w:left="340" w:hanging="332"/>
        <w:spacing w:after="0" w:line="261" w:lineRule="auto"/>
        <w:tabs>
          <w:tab w:leader="none" w:pos="340" w:val="left"/>
        </w:tabs>
        <w:numPr>
          <w:ilvl w:val="0"/>
          <w:numId w:val="6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Severance Amount/Period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 Base Salary, plus an additional amount equal to the Employee’s Annual Bonus at Target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year including the Date of Termination, prorated through the Date of Termination, paid in equal installments over 12 months following the Date of Termination except that if (i) a Sale of Business (as defined below) occurs and (ii) within 12 months following the closing of such Sale of Business either (A) Employee is terminated without Cause, or (B) Employee’s position is materially reduced in remuneration or scope of duties and Employee terminates Employee’s employment, then the Severance Amount shall be (i) two times the sum of Base Salary plus Annual Bonus at Target, plus (ii) an additional amount equal to the Employee’s Annual Bonus at Target for the date including the Date of Termination prorated through Date of Termination, paid in equal installments over 24 months following the Date of Termination. All other terms of </w:t>
      </w:r>
      <w:r>
        <w:rPr>
          <w:rFonts w:ascii="Times New Roman" w:cs="Times New Roman" w:eastAsia="Times New Roman" w:hAnsi="Times New Roman"/>
          <w:sz w:val="21"/>
          <w:szCs w:val="21"/>
          <w:u w:val="single" w:color="auto"/>
          <w:color w:val="auto"/>
        </w:rPr>
        <w:t>Section 5(b)(i)</w:t>
      </w:r>
      <w:r>
        <w:rPr>
          <w:rFonts w:ascii="Times New Roman" w:cs="Times New Roman" w:eastAsia="Times New Roman" w:hAnsi="Times New Roman"/>
          <w:sz w:val="21"/>
          <w:szCs w:val="21"/>
          <w:color w:val="auto"/>
        </w:rPr>
        <w:t xml:space="preserve"> of the Agreement will apply. For purposes of this provision a “</w:t>
      </w:r>
      <w:r>
        <w:rPr>
          <w:rFonts w:ascii="Times New Roman" w:cs="Times New Roman" w:eastAsia="Times New Roman" w:hAnsi="Times New Roman"/>
          <w:sz w:val="21"/>
          <w:szCs w:val="21"/>
          <w:b w:val="1"/>
          <w:bCs w:val="1"/>
          <w:color w:val="auto"/>
        </w:rPr>
        <w:t>Sale of Business</w:t>
      </w:r>
      <w:r>
        <w:rPr>
          <w:rFonts w:ascii="Times New Roman" w:cs="Times New Roman" w:eastAsia="Times New Roman" w:hAnsi="Times New Roman"/>
          <w:sz w:val="21"/>
          <w:szCs w:val="21"/>
          <w:color w:val="auto"/>
        </w:rPr>
        <w:t>” shall mean the sale or other disposition of</w:t>
      </w:r>
    </w:p>
    <w:p>
      <w:pPr>
        <w:jc w:val="both"/>
        <w:ind w:left="340"/>
        <w:spacing w:after="0" w:line="260"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(x) more than 50% of the shares or other equity interests of the Company or the Company’s direct or indirect parent to a non-affiliated party (which shall not include a sale or an offering by Packaging Finance Limited or some or all of its shares in the Company, so long as the remainder of the shares continue to be owned by the public), or (y) more than 50% of the businesses or assets that, as of the most recent year end, generated more than 50% of the Company’s EBITDA (as determined in good faith by the Company’s Board of Directors, based on the Company’s regularly prepared financial statements), provided that a disposition as a result of lender foreclosure on assets or pursuant to a bankruptcy or judicially administered reorganization shall not constitute a Sale of Business. Employee’s position shall not be materially reduced by reason of the Company being smaller or having less operations as a result of the Sale of Business so long as Employee’s duties and responsibilities are generally consistent with Employee’s duties and responsibilities prior to the Sale of Business.</w:t>
      </w:r>
    </w:p>
    <w:p>
      <w:pPr>
        <w:spacing w:after="0" w:line="196" w:lineRule="exact"/>
        <w:rPr>
          <w:rFonts w:ascii="Times New Roman" w:cs="Times New Roman" w:eastAsia="Times New Roman" w:hAnsi="Times New Roman"/>
          <w:sz w:val="21"/>
          <w:szCs w:val="21"/>
          <w:b w:val="1"/>
          <w:bCs w:val="1"/>
          <w:color w:val="auto"/>
        </w:rPr>
      </w:pPr>
    </w:p>
    <w:p>
      <w:pPr>
        <w:ind w:left="340" w:hanging="332"/>
        <w:spacing w:after="0"/>
        <w:tabs>
          <w:tab w:leader="none" w:pos="34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Compensation Programs</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b w:val="1"/>
          <w:bCs w:val="1"/>
          <w:color w:val="auto"/>
        </w:rPr>
      </w:pPr>
    </w:p>
    <w:p>
      <w:pPr>
        <w:ind w:left="3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Long-Term Incentive Program Target: 160% of Base Salary</w:t>
      </w:r>
    </w:p>
    <w:p>
      <w:pPr>
        <w:sectPr>
          <w:pgSz w:w="11900" w:h="16838" w:orient="portrait"/>
          <w:cols w:equalWidth="0" w:num="1">
            <w:col w:w="11240"/>
          </w:cols>
          <w:pgMar w:left="320" w:top="1431"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2"/>
          <w:szCs w:val="22"/>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 EMPLOYMENT AGREEMENT</w:t>
      </w:r>
    </w:p>
    <w:p>
      <w:pPr>
        <w:spacing w:after="0" w:line="24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color w:val="auto"/>
        </w:rPr>
        <w:t>This First Amendment dated January 29, 2026 (“</w:t>
      </w:r>
      <w:r>
        <w:rPr>
          <w:rFonts w:ascii="Times New Roman" w:cs="Times New Roman" w:eastAsia="Times New Roman" w:hAnsi="Times New Roman"/>
          <w:sz w:val="22"/>
          <w:szCs w:val="22"/>
          <w:b w:val="1"/>
          <w:bCs w:val="1"/>
          <w:color w:val="auto"/>
        </w:rPr>
        <w:t>First Amendment</w:t>
      </w:r>
      <w:r>
        <w:rPr>
          <w:rFonts w:ascii="Times New Roman" w:cs="Times New Roman" w:eastAsia="Times New Roman" w:hAnsi="Times New Roman"/>
          <w:sz w:val="22"/>
          <w:szCs w:val="22"/>
          <w:color w:val="auto"/>
        </w:rPr>
        <w:t>”) is to the Employment Agreement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February 1, 2022, Reynolds Consumer Products Holdings LLC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Steve Estes (“</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Company and the Employee desire to amend the Agreement;</w:t>
      </w:r>
    </w:p>
    <w:p>
      <w:pPr>
        <w:spacing w:after="0" w:line="24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promises and agreements set forth herein, the Company and the Employee, each intending to be legally bound hereby, do promise and agree as follows:</w:t>
      </w:r>
    </w:p>
    <w:p>
      <w:pPr>
        <w:spacing w:after="0" w:line="90" w:lineRule="exact"/>
        <w:rPr>
          <w:sz w:val="20"/>
          <w:szCs w:val="20"/>
          <w:color w:val="auto"/>
        </w:rPr>
      </w:pPr>
    </w:p>
    <w:p>
      <w:pPr>
        <w:ind w:left="340" w:hanging="332"/>
        <w:spacing w:after="0" w:line="271" w:lineRule="auto"/>
        <w:tabs>
          <w:tab w:leader="none" w:pos="3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NEW SCHEDULE A.</w:t>
      </w:r>
      <w:r>
        <w:rPr>
          <w:rFonts w:ascii="Times New Roman" w:cs="Times New Roman" w:eastAsia="Times New Roman" w:hAnsi="Times New Roman"/>
          <w:sz w:val="22"/>
          <w:szCs w:val="22"/>
          <w:color w:val="auto"/>
        </w:rPr>
        <w:t xml:space="preserve"> Schedule A of the Agreement is hereby deleted in its entirety and replaced with the Schedule A attached hereto, effective February 1, 2026.</w:t>
      </w:r>
    </w:p>
    <w:p>
      <w:pPr>
        <w:spacing w:after="0" w:line="184"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TERMS.</w:t>
      </w:r>
      <w:r>
        <w:rPr>
          <w:rFonts w:ascii="Times New Roman" w:cs="Times New Roman" w:eastAsia="Times New Roman" w:hAnsi="Times New Roman"/>
          <w:sz w:val="22"/>
          <w:szCs w:val="22"/>
          <w:color w:val="auto"/>
        </w:rPr>
        <w:t xml:space="preserve"> Except as provided herein, all terms and conditions of the Agreement remain in effect.</w:t>
      </w:r>
    </w:p>
    <w:p>
      <w:pPr>
        <w:spacing w:after="0" w:line="246" w:lineRule="exact"/>
        <w:rPr>
          <w:rFonts w:ascii="Times New Roman" w:cs="Times New Roman" w:eastAsia="Times New Roman" w:hAnsi="Times New Roman"/>
          <w:sz w:val="22"/>
          <w:szCs w:val="22"/>
          <w:color w:val="auto"/>
        </w:rPr>
      </w:pPr>
    </w:p>
    <w:p>
      <w:pPr>
        <w:ind w:left="340" w:hanging="332"/>
        <w:spacing w:after="0" w:line="309" w:lineRule="auto"/>
        <w:tabs>
          <w:tab w:leader="none" w:pos="34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xml:space="preserve"> This First Amendment may be executed in any number of counterparts, each of which when so executed and delivered shall be taken to be an original; but such counterparts shall together constitute one and the same document.</w:t>
      </w:r>
    </w:p>
    <w:p>
      <w:pPr>
        <w:spacing w:after="0" w:line="147" w:lineRule="exact"/>
        <w:rPr>
          <w:rFonts w:ascii="Times New Roman" w:cs="Times New Roman" w:eastAsia="Times New Roman" w:hAnsi="Times New Roman"/>
          <w:sz w:val="21"/>
          <w:szCs w:val="21"/>
          <w:color w:val="auto"/>
        </w:rPr>
      </w:pPr>
    </w:p>
    <w:p>
      <w:pPr>
        <w:ind w:left="340" w:hanging="332"/>
        <w:spacing w:after="0"/>
        <w:tabs>
          <w:tab w:leader="none" w:pos="34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Capitalized terms not defined herein shall have the meanings ascribed to them in the Agreement.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parties have executed this First Amendment effective as of the date set forth above.</w:t>
      </w:r>
    </w:p>
    <w:p>
      <w:pPr>
        <w:spacing w:after="0" w:line="200" w:lineRule="exact"/>
        <w:rPr>
          <w:sz w:val="20"/>
          <w:szCs w:val="20"/>
          <w:color w:val="auto"/>
        </w:rPr>
      </w:pPr>
    </w:p>
    <w:p>
      <w:pPr>
        <w:spacing w:after="0" w:line="313" w:lineRule="exact"/>
        <w:rPr>
          <w:sz w:val="20"/>
          <w:szCs w:val="20"/>
          <w:color w:val="auto"/>
        </w:rPr>
      </w:pPr>
    </w:p>
    <w:p>
      <w:pPr>
        <w:spacing w:after="0"/>
        <w:tabs>
          <w:tab w:leader="none" w:pos="4320" w:val="left"/>
        </w:tabs>
        <w:rPr>
          <w:sz w:val="20"/>
          <w:szCs w:val="20"/>
          <w:color w:val="auto"/>
        </w:rPr>
      </w:pPr>
      <w:r>
        <w:rPr>
          <w:rFonts w:ascii="Times New Roman" w:cs="Times New Roman" w:eastAsia="Times New Roman" w:hAnsi="Times New Roman"/>
          <w:sz w:val="22"/>
          <w:szCs w:val="22"/>
          <w:b w:val="1"/>
          <w:bCs w:val="1"/>
          <w:color w:val="auto"/>
        </w:rPr>
        <w:t>Reynolds Consumer Products Holdings LLC</w:t>
      </w:r>
      <w:r>
        <w:rPr>
          <w:sz w:val="20"/>
          <w:szCs w:val="20"/>
          <w:color w:val="auto"/>
        </w:rPr>
        <w:tab/>
      </w:r>
      <w:r>
        <w:rPr>
          <w:rFonts w:ascii="Times New Roman" w:cs="Times New Roman" w:eastAsia="Times New Roman" w:hAnsi="Times New Roman"/>
          <w:sz w:val="21"/>
          <w:szCs w:val="21"/>
          <w:b w:val="1"/>
          <w:bCs w:val="1"/>
          <w:color w:val="auto"/>
        </w:rPr>
        <w:t>Employee: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Scott Huckins</w:t>
            </w:r>
          </w:p>
        </w:tc>
        <w:tc>
          <w:tcPr>
            <w:tcW w:w="296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By: /s/ Steve Estes</w:t>
            </w: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64"/>
        </w:trPr>
        <w:tc>
          <w:tcPr>
            <w:tcW w:w="20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Name: Scott Huckins</w:t>
            </w:r>
          </w:p>
        </w:tc>
        <w:tc>
          <w:tcPr>
            <w:tcW w:w="420" w:type="dxa"/>
            <w:vAlign w:val="bottom"/>
          </w:tcPr>
          <w:p>
            <w:pPr>
              <w:spacing w:after="0"/>
              <w:rPr>
                <w:sz w:val="24"/>
                <w:szCs w:val="24"/>
                <w:color w:val="auto"/>
              </w:rPr>
            </w:pPr>
          </w:p>
        </w:tc>
        <w:tc>
          <w:tcPr>
            <w:tcW w:w="254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w w:val="96"/>
              </w:rPr>
              <w:t>Print Name: Steve Estes</w:t>
            </w:r>
          </w:p>
        </w:tc>
      </w:tr>
      <w:tr>
        <w:trPr>
          <w:trHeight w:val="432"/>
        </w:trPr>
        <w:tc>
          <w:tcPr>
            <w:tcW w:w="206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Date: January 29, 2026</w:t>
            </w:r>
          </w:p>
        </w:tc>
        <w:tc>
          <w:tcPr>
            <w:tcW w:w="420" w:type="dxa"/>
            <w:vAlign w:val="bottom"/>
          </w:tcPr>
          <w:p>
            <w:pPr>
              <w:spacing w:after="0"/>
              <w:rPr>
                <w:sz w:val="24"/>
                <w:szCs w:val="24"/>
                <w:color w:val="auto"/>
              </w:rPr>
            </w:pPr>
          </w:p>
        </w:tc>
        <w:tc>
          <w:tcPr>
            <w:tcW w:w="254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Date: January 30, 2026</w:t>
            </w:r>
          </w:p>
        </w:tc>
      </w:tr>
    </w:tbl>
    <w:p>
      <w:pPr>
        <w:sectPr>
          <w:pgSz w:w="11900" w:h="16838" w:orient="portrait"/>
          <w:cols w:equalWidth="0" w:num="1">
            <w:col w:w="11240"/>
          </w:cols>
          <w:pgMar w:left="320" w:top="122"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Key Terms of Employment</w:t>
      </w:r>
    </w:p>
    <w:p>
      <w:pPr>
        <w:spacing w:after="0" w:line="166" w:lineRule="exact"/>
        <w:rPr>
          <w:sz w:val="20"/>
          <w:szCs w:val="20"/>
          <w:color w:val="auto"/>
        </w:rPr>
      </w:pPr>
    </w:p>
    <w:p>
      <w:pPr>
        <w:ind w:left="340" w:hanging="332"/>
        <w:spacing w:after="0"/>
        <w:tabs>
          <w:tab w:leader="none" w:pos="34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Position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Chief Administrative Officer</w:t>
      </w:r>
    </w:p>
    <w:p>
      <w:pPr>
        <w:spacing w:after="0" w:line="246" w:lineRule="exact"/>
        <w:rPr>
          <w:rFonts w:ascii="Times New Roman" w:cs="Times New Roman" w:eastAsia="Times New Roman" w:hAnsi="Times New Roman"/>
          <w:sz w:val="22"/>
          <w:szCs w:val="22"/>
          <w:b w:val="1"/>
          <w:bCs w:val="1"/>
          <w:color w:val="auto"/>
        </w:rPr>
      </w:pPr>
    </w:p>
    <w:p>
      <w:pPr>
        <w:ind w:left="340" w:hanging="332"/>
        <w:spacing w:after="0"/>
        <w:tabs>
          <w:tab w:leader="none" w:pos="34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Primary Location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Lake Forest, IL</w:t>
      </w:r>
    </w:p>
    <w:p>
      <w:pPr>
        <w:spacing w:after="0" w:line="260" w:lineRule="exact"/>
        <w:rPr>
          <w:rFonts w:ascii="Times New Roman" w:cs="Times New Roman" w:eastAsia="Times New Roman" w:hAnsi="Times New Roman"/>
          <w:sz w:val="22"/>
          <w:szCs w:val="22"/>
          <w:b w:val="1"/>
          <w:bCs w:val="1"/>
          <w:color w:val="auto"/>
        </w:rPr>
      </w:pPr>
    </w:p>
    <w:p>
      <w:pPr>
        <w:ind w:left="340" w:hanging="332"/>
        <w:spacing w:after="0" w:line="275" w:lineRule="auto"/>
        <w:tabs>
          <w:tab w:leader="none" w:pos="34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Base Salary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$577,000. The Company may adjust Employee’s base salary from time to time. For purposes of Sections 5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6 below, “Base Salary” shall be the Employee’s base salary at the time of separation.</w:t>
      </w:r>
    </w:p>
    <w:p>
      <w:pPr>
        <w:spacing w:after="0" w:line="176" w:lineRule="exact"/>
        <w:rPr>
          <w:rFonts w:ascii="Times New Roman" w:cs="Times New Roman" w:eastAsia="Times New Roman" w:hAnsi="Times New Roman"/>
          <w:sz w:val="22"/>
          <w:szCs w:val="22"/>
          <w:b w:val="1"/>
          <w:bCs w:val="1"/>
          <w:color w:val="auto"/>
        </w:rPr>
      </w:pPr>
    </w:p>
    <w:p>
      <w:pPr>
        <w:jc w:val="both"/>
        <w:ind w:left="340" w:hanging="332"/>
        <w:spacing w:after="0" w:line="299" w:lineRule="auto"/>
        <w:tabs>
          <w:tab w:leader="none" w:pos="340"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Annual Bonus Target</w:t>
      </w:r>
      <w:r>
        <w:rPr>
          <w:rFonts w:ascii="Times New Roman" w:cs="Times New Roman" w:eastAsia="Times New Roman" w:hAnsi="Times New Roman"/>
          <w:sz w:val="21"/>
          <w:szCs w:val="21"/>
          <w:color w:val="auto"/>
        </w:rPr>
        <w:t>: 65% of Base Salary. The Company may adjust Employee’s annual bonus target from time to time.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purposes of Section 5 below, “Annual Bonus Target” shall be the annual bonus target percentage at the time of separation.</w:t>
      </w:r>
    </w:p>
    <w:p>
      <w:pPr>
        <w:spacing w:after="0" w:line="154" w:lineRule="exact"/>
        <w:rPr>
          <w:rFonts w:ascii="Times New Roman" w:cs="Times New Roman" w:eastAsia="Times New Roman" w:hAnsi="Times New Roman"/>
          <w:sz w:val="21"/>
          <w:szCs w:val="21"/>
          <w:b w:val="1"/>
          <w:bCs w:val="1"/>
          <w:color w:val="auto"/>
        </w:rPr>
      </w:pPr>
    </w:p>
    <w:p>
      <w:pPr>
        <w:jc w:val="both"/>
        <w:ind w:left="340" w:hanging="332"/>
        <w:spacing w:after="0" w:line="260" w:lineRule="auto"/>
        <w:tabs>
          <w:tab w:leader="none" w:pos="340"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Severance Amount/Period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 Base Salary, plus an additional amount equal to the Employee’s Annual Bonus at Target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the year including the Date of Termination, prorated through the Date of Termination, paid in equal installments over 12 months following the Date of Termination except that if (i) a Sale of Business (as defined below) occurs and (ii) within 12 months following the closing of such Sale of Business either (A) Employee is terminated without Cause, or (B) Employee’s position is materially reduced in remuneration or scope of duties and Employee terminates Employee’s employment, then the Severance Amount shall be (i) two times the sum of Base Salary plus Annual Bonus at Target, plus (ii) an additional amount equal to the Employee’s Annual Bonus at Target for the date including the Date of Termination prorated through Date of Termination, paid in equal installments over 24 months following the Date of Termination. All other terms of </w:t>
      </w:r>
      <w:r>
        <w:rPr>
          <w:rFonts w:ascii="Times New Roman" w:cs="Times New Roman" w:eastAsia="Times New Roman" w:hAnsi="Times New Roman"/>
          <w:sz w:val="21"/>
          <w:szCs w:val="21"/>
          <w:u w:val="single" w:color="auto"/>
          <w:color w:val="auto"/>
        </w:rPr>
        <w:t>Section 5(b)(i)</w:t>
      </w:r>
      <w:r>
        <w:rPr>
          <w:rFonts w:ascii="Times New Roman" w:cs="Times New Roman" w:eastAsia="Times New Roman" w:hAnsi="Times New Roman"/>
          <w:sz w:val="21"/>
          <w:szCs w:val="21"/>
          <w:color w:val="auto"/>
        </w:rPr>
        <w:t xml:space="preserve"> of the Agreement will apply. For purposes of this provision a “</w:t>
      </w:r>
      <w:r>
        <w:rPr>
          <w:rFonts w:ascii="Times New Roman" w:cs="Times New Roman" w:eastAsia="Times New Roman" w:hAnsi="Times New Roman"/>
          <w:sz w:val="21"/>
          <w:szCs w:val="21"/>
          <w:b w:val="1"/>
          <w:bCs w:val="1"/>
          <w:color w:val="auto"/>
        </w:rPr>
        <w:t>Sale of Business</w:t>
      </w:r>
      <w:r>
        <w:rPr>
          <w:rFonts w:ascii="Times New Roman" w:cs="Times New Roman" w:eastAsia="Times New Roman" w:hAnsi="Times New Roman"/>
          <w:sz w:val="21"/>
          <w:szCs w:val="21"/>
          <w:color w:val="auto"/>
        </w:rPr>
        <w:t>” shall mean the sale or other disposition of</w:t>
      </w:r>
    </w:p>
    <w:p>
      <w:pPr>
        <w:spacing w:after="0" w:line="9" w:lineRule="exact"/>
        <w:rPr>
          <w:rFonts w:ascii="Times New Roman" w:cs="Times New Roman" w:eastAsia="Times New Roman" w:hAnsi="Times New Roman"/>
          <w:sz w:val="21"/>
          <w:szCs w:val="21"/>
          <w:b w:val="1"/>
          <w:bCs w:val="1"/>
          <w:color w:val="auto"/>
        </w:rPr>
      </w:pPr>
    </w:p>
    <w:p>
      <w:pPr>
        <w:jc w:val="both"/>
        <w:ind w:left="340"/>
        <w:spacing w:after="0" w:line="260"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(x) more than 50% of the shares or other equity interests of the Company or the Company’s direct or indirect parent to a non-affiliated party (which shall not include a sale or an offering by Packaging Finance Limited or some or all of its shares in the Company, so long as the remainder of the shares continue to be owned by the public), or (y) more than 50% of the businesses or assets that, as of the most recent year end, generated more than 50% of the Company’s EBITDA (as determined in good faith by the Company’s Board of Directors, based on the Company’s regularly prepared financial statements), provided that a disposition as a result of lender foreclosure on assets or pursuant to a bankruptcy or judicially administered reorganization shall not constitute a Sale of Business. Employee’s position shall not be materially reduced by reason of the Company being smaller or having less operations as a result of the Sale of Business so long as Employee’s duties and responsibilities are generally consistent with Employee’s duties and responsibilities prior to the Sale of Business.</w:t>
      </w:r>
    </w:p>
    <w:p>
      <w:pPr>
        <w:spacing w:after="0" w:line="196" w:lineRule="exact"/>
        <w:rPr>
          <w:rFonts w:ascii="Times New Roman" w:cs="Times New Roman" w:eastAsia="Times New Roman" w:hAnsi="Times New Roman"/>
          <w:sz w:val="21"/>
          <w:szCs w:val="21"/>
          <w:b w:val="1"/>
          <w:bCs w:val="1"/>
          <w:color w:val="auto"/>
        </w:rPr>
      </w:pPr>
    </w:p>
    <w:p>
      <w:pPr>
        <w:ind w:left="340" w:hanging="332"/>
        <w:spacing w:after="0"/>
        <w:tabs>
          <w:tab w:leader="none" w:pos="34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Compensation programs</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b w:val="1"/>
          <w:bCs w:val="1"/>
          <w:color w:val="auto"/>
        </w:rPr>
      </w:pPr>
    </w:p>
    <w:p>
      <w:pPr>
        <w:ind w:left="3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Long-Term Incentive Program Target: 150% of Base Salary</w:t>
      </w:r>
    </w:p>
    <w:p>
      <w:pPr>
        <w:sectPr>
          <w:pgSz w:w="11900" w:h="16838" w:orient="portrait"/>
          <w:cols w:equalWidth="0" w:num="1">
            <w:col w:w="11240"/>
          </w:cols>
          <w:pgMar w:left="320" w:top="1431"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440" w:type="dxa"/>
            <w:vAlign w:val="bottom"/>
          </w:tcPr>
          <w:p>
            <w:pPr>
              <w:spacing w:after="0"/>
              <w:rPr>
                <w:sz w:val="22"/>
                <w:szCs w:val="22"/>
                <w:color w:val="auto"/>
              </w:rPr>
            </w:pPr>
          </w:p>
        </w:tc>
        <w:tc>
          <w:tcPr>
            <w:tcW w:w="780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Subsidiaries of Reynolds Consumer Products Inc.</w:t>
            </w:r>
          </w:p>
        </w:tc>
      </w:tr>
      <w:tr>
        <w:trPr>
          <w:trHeight w:val="457"/>
        </w:trPr>
        <w:tc>
          <w:tcPr>
            <w:tcW w:w="34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23"/>
        </w:trPr>
        <w:tc>
          <w:tcPr>
            <w:tcW w:w="344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1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Legal name of subsidiary</w:t>
            </w:r>
          </w:p>
        </w:tc>
        <w:tc>
          <w:tcPr>
            <w:tcW w:w="50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29"/>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Atacama Manufacturing Inc.</w:t>
            </w:r>
          </w:p>
        </w:tc>
        <w:tc>
          <w:tcPr>
            <w:tcW w:w="500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RB Risk Management Inc.</w:t>
            </w:r>
          </w:p>
        </w:tc>
        <w:tc>
          <w:tcPr>
            <w:tcW w:w="5000" w:type="dxa"/>
            <w:vAlign w:val="bottom"/>
            <w:shd w:val="clear" w:color="auto" w:fill="CCEEFF"/>
          </w:tcPr>
          <w:p>
            <w:pPr>
              <w:spacing w:after="0"/>
              <w:rPr>
                <w:sz w:val="19"/>
                <w:szCs w:val="19"/>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r>
      <w:tr>
        <w:trPr>
          <w:trHeight w:val="230"/>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Reynolds Consumer Products Canada Inc.</w:t>
            </w:r>
          </w:p>
        </w:tc>
        <w:tc>
          <w:tcPr>
            <w:tcW w:w="500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Ontario, Canada</w:t>
            </w:r>
          </w:p>
        </w:tc>
      </w:tr>
      <w:tr>
        <w:trPr>
          <w:trHeight w:val="229"/>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Reynolds Consumer Products Holdings LLC</w:t>
            </w:r>
          </w:p>
        </w:tc>
        <w:tc>
          <w:tcPr>
            <w:tcW w:w="5000" w:type="dxa"/>
            <w:vAlign w:val="bottom"/>
            <w:shd w:val="clear" w:color="auto" w:fill="CCEEFF"/>
          </w:tcPr>
          <w:p>
            <w:pPr>
              <w:spacing w:after="0"/>
              <w:rPr>
                <w:sz w:val="19"/>
                <w:szCs w:val="19"/>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Reynolds Consumer Products LLC</w:t>
            </w:r>
          </w:p>
        </w:tc>
        <w:tc>
          <w:tcPr>
            <w:tcW w:w="500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Reynolds International Services LLC</w:t>
            </w:r>
          </w:p>
        </w:tc>
        <w:tc>
          <w:tcPr>
            <w:tcW w:w="5000" w:type="dxa"/>
            <w:vAlign w:val="bottom"/>
            <w:shd w:val="clear" w:color="auto" w:fill="CCEEFF"/>
          </w:tcPr>
          <w:p>
            <w:pPr>
              <w:spacing w:after="0"/>
              <w:rPr>
                <w:sz w:val="19"/>
                <w:szCs w:val="19"/>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Reynolds Manufacturing, Inc.</w:t>
            </w:r>
          </w:p>
        </w:tc>
        <w:tc>
          <w:tcPr>
            <w:tcW w:w="500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Reynolds Presto Products Inc.</w:t>
            </w:r>
          </w:p>
        </w:tc>
        <w:tc>
          <w:tcPr>
            <w:tcW w:w="5000" w:type="dxa"/>
            <w:vAlign w:val="bottom"/>
            <w:shd w:val="clear" w:color="auto" w:fill="CCEEFF"/>
          </w:tcPr>
          <w:p>
            <w:pPr>
              <w:spacing w:after="0"/>
              <w:rPr>
                <w:sz w:val="19"/>
                <w:szCs w:val="19"/>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4"/>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 Western Polymers, Inc.</w:t>
            </w:r>
          </w:p>
        </w:tc>
        <w:tc>
          <w:tcPr>
            <w:tcW w:w="500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r>
    </w:tbl>
    <w:p>
      <w:pPr>
        <w:sectPr>
          <w:pgSz w:w="11900" w:h="16838" w:orient="portrait"/>
          <w:cols w:equalWidth="0" w:num="1">
            <w:col w:w="11240"/>
          </w:cols>
          <w:pgMar w:left="320" w:top="114"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4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333-236204) and in the Registration Statement on Form S-3 (No. 333-279197) of Reynolds Consumer Products Inc. of our report dated February 4, 2026 relating to the financial statements and the effectiveness of internal control over financial reporting, which appears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4, 2026</w:t>
      </w:r>
    </w:p>
    <w:p>
      <w:pPr>
        <w:sectPr>
          <w:pgSz w:w="11900" w:h="16838" w:orient="portrait"/>
          <w:cols w:equalWidth="0" w:num="1">
            <w:col w:w="11240"/>
          </w:cols>
          <w:pgMar w:left="320" w:top="1413"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Huckins, certify that:</w:t>
      </w:r>
    </w:p>
    <w:p>
      <w:pPr>
        <w:spacing w:after="0" w:line="225" w:lineRule="exact"/>
        <w:rPr>
          <w:sz w:val="20"/>
          <w:szCs w:val="20"/>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Reynolds Consumer Products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60" w:val="left"/>
          <w:tab w:leader="none" w:pos="8040" w:val="left"/>
        </w:tabs>
        <w:rPr>
          <w:sz w:val="20"/>
          <w:szCs w:val="20"/>
          <w:color w:val="auto"/>
        </w:rPr>
      </w:pPr>
      <w:r>
        <w:rPr>
          <w:rFonts w:ascii="Times New Roman" w:cs="Times New Roman" w:eastAsia="Times New Roman" w:hAnsi="Times New Roman"/>
          <w:sz w:val="18"/>
          <w:szCs w:val="18"/>
          <w:color w:val="auto"/>
        </w:rPr>
        <w:t>Date: February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Huckins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34290</wp:posOffset>
            </wp:positionV>
            <wp:extent cx="32486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1">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Scott Huckins</w:t>
      </w:r>
    </w:p>
    <w:p>
      <w:pPr>
        <w:spacing w:after="0" w:line="6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1143"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Nathan Lowe, certify that:</w:t>
      </w:r>
    </w:p>
    <w:p>
      <w:pPr>
        <w:spacing w:after="0" w:line="225" w:lineRule="exact"/>
        <w:rPr>
          <w:sz w:val="20"/>
          <w:szCs w:val="20"/>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Reynolds Consumer Products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60" w:val="left"/>
          <w:tab w:leader="none" w:pos="8060" w:val="left"/>
        </w:tabs>
        <w:rPr>
          <w:sz w:val="20"/>
          <w:szCs w:val="20"/>
          <w:color w:val="auto"/>
        </w:rPr>
      </w:pPr>
      <w:r>
        <w:rPr>
          <w:rFonts w:ascii="Times New Roman" w:cs="Times New Roman" w:eastAsia="Times New Roman" w:hAnsi="Times New Roman"/>
          <w:sz w:val="18"/>
          <w:szCs w:val="18"/>
          <w:color w:val="auto"/>
        </w:rPr>
        <w:t>Date: February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Nathan 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34290</wp:posOffset>
            </wp:positionV>
            <wp:extent cx="32486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Nathan Lowe</w:t>
      </w:r>
    </w:p>
    <w:p>
      <w:pPr>
        <w:spacing w:after="0" w:line="6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43"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Reynolds Consumer Products Inc. (the “Company”) on Form 10-K for the period ended December 31, 2025 as filed with the Securities and Exchange Commission on the date hereof (the “Report”), I, Scott Huckins, President and Chief Executive Officer,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660" w:val="left"/>
          <w:tab w:leader="none" w:pos="8040" w:val="left"/>
        </w:tabs>
        <w:rPr>
          <w:sz w:val="20"/>
          <w:szCs w:val="20"/>
          <w:color w:val="auto"/>
        </w:rPr>
      </w:pPr>
      <w:r>
        <w:rPr>
          <w:rFonts w:ascii="Times New Roman" w:cs="Times New Roman" w:eastAsia="Times New Roman" w:hAnsi="Times New Roman"/>
          <w:sz w:val="18"/>
          <w:szCs w:val="18"/>
          <w:color w:val="auto"/>
        </w:rPr>
        <w:t>Date: February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Huckins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34290</wp:posOffset>
            </wp:positionV>
            <wp:extent cx="32486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3">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Scott Huckins</w:t>
      </w:r>
    </w:p>
    <w:p>
      <w:pPr>
        <w:spacing w:after="0" w:line="6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1143"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Reynolds Consumer Products Inc. (the “Company”) on Form 10-K for the period ended December 31, 2025 as filed with the Securities and Exchange Commission on the date hereof (the “Report”), I, Nathan Lowe, Chief Financial Officer,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660" w:val="left"/>
          <w:tab w:leader="none" w:pos="8060" w:val="left"/>
        </w:tabs>
        <w:rPr>
          <w:sz w:val="20"/>
          <w:szCs w:val="20"/>
          <w:color w:val="auto"/>
        </w:rPr>
      </w:pPr>
      <w:r>
        <w:rPr>
          <w:rFonts w:ascii="Times New Roman" w:cs="Times New Roman" w:eastAsia="Times New Roman" w:hAnsi="Times New Roman"/>
          <w:sz w:val="18"/>
          <w:szCs w:val="18"/>
          <w:color w:val="auto"/>
        </w:rPr>
        <w:t>Date: February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Nathan 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34290</wp:posOffset>
            </wp:positionV>
            <wp:extent cx="32486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Nathan Lowe</w:t>
      </w:r>
    </w:p>
    <w:p>
      <w:pPr>
        <w:spacing w:after="0" w:line="6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R"/>
      <w:numFmt w:val="bullet"/>
      <w:start w:val="1"/>
    </w:lvl>
  </w:abstractNum>
  <w:abstractNum w:abstractNumId="1">
    <w:nsid w:val="2463B9EA"/>
    <w:multiLevelType w:val="hybridMultilevel"/>
    <w:lvl w:ilvl="0">
      <w:lvlJc w:val="left"/>
      <w:lvlText w:val="o"/>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1)"/>
      <w:numFmt w:val="decimal"/>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1)"/>
      <w:numFmt w:val="decimal"/>
      <w:start w:val="1"/>
    </w:lvl>
  </w:abstractNum>
  <w:abstractNum w:abstractNumId="16">
    <w:nsid w:val="4B588F54"/>
    <w:multiLevelType w:val="hybridMultilevel"/>
    <w:lvl w:ilvl="0">
      <w:lvlJc w:val="left"/>
      <w:lvlText w:val="(%1)"/>
      <w:numFmt w:val="decimal"/>
      <w:start w:val="1"/>
    </w:lvl>
  </w:abstractNum>
  <w:abstractNum w:abstractNumId="17">
    <w:nsid w:val="542289EC"/>
    <w:multiLevelType w:val="hybridMultilevel"/>
    <w:lvl w:ilvl="0">
      <w:lvlJc w:val="left"/>
      <w:lvlText w:val="(%1)"/>
      <w:numFmt w:val="decimal"/>
      <w:start w:val="1"/>
    </w:lvl>
  </w:abstractNum>
  <w:abstractNum w:abstractNumId="18">
    <w:nsid w:val="6DE91B18"/>
    <w:multiLevelType w:val="hybridMultilevel"/>
    <w:lvl w:ilvl="0">
      <w:lvlJc w:val="left"/>
      <w:lvlText w:val="(%1)"/>
      <w:numFmt w:val="decimal"/>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1)"/>
      <w:numFmt w:val="decimal"/>
      <w:start w:val="1"/>
    </w:lvl>
  </w:abstractNum>
  <w:abstractNum w:abstractNumId="21">
    <w:nsid w:val="32FFF902"/>
    <w:multiLevelType w:val="hybridMultilevel"/>
    <w:lvl w:ilvl="0">
      <w:lvlJc w:val="left"/>
      <w:lvlText w:val="(%1)"/>
      <w:numFmt w:val="lowerRoman"/>
      <w:start w:val="1"/>
    </w:lvl>
  </w:abstractNum>
  <w:abstractNum w:abstractNumId="22">
    <w:nsid w:val="684A481A"/>
    <w:multiLevelType w:val="hybridMultilevel"/>
    <w:lvl w:ilvl="0">
      <w:lvlJc w:val="left"/>
      <w:lvlText w:val="(%1)"/>
      <w:numFmt w:val="decimal"/>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1)"/>
      <w:numFmt w:val="decimal"/>
      <w:start w:val="1"/>
    </w:lvl>
  </w:abstractNum>
  <w:abstractNum w:abstractNumId="25">
    <w:nsid w:val="3DC240FB"/>
    <w:multiLevelType w:val="hybridMultilevel"/>
    <w:lvl w:ilvl="0">
      <w:lvlJc w:val="left"/>
      <w:lvlText w:val="(%1)"/>
      <w:numFmt w:val="decimal"/>
      <w:start w:val="1"/>
    </w:lvl>
  </w:abstractNum>
  <w:abstractNum w:abstractNumId="26">
    <w:nsid w:val="1BA026FA"/>
    <w:multiLevelType w:val="hybridMultilevel"/>
    <w:lvl w:ilvl="0">
      <w:lvlJc w:val="left"/>
      <w:lvlText w:val="(%1)"/>
      <w:numFmt w:val="decimal"/>
      <w:start w:val="1"/>
    </w:lvl>
  </w:abstractNum>
  <w:abstractNum w:abstractNumId="27">
    <w:nsid w:val="79A1DEAA"/>
    <w:multiLevelType w:val="hybridMultilevel"/>
    <w:lvl w:ilvl="0">
      <w:lvlJc w:val="left"/>
      <w:lvlText w:val="(%1)"/>
      <w:numFmt w:val="decimal"/>
      <w:start w:val="1"/>
    </w:lvl>
  </w:abstractNum>
  <w:abstractNum w:abstractNumId="28">
    <w:nsid w:val="75C6C33A"/>
    <w:multiLevelType w:val="hybridMultilevel"/>
    <w:lvl w:ilvl="0">
      <w:lvlJc w:val="left"/>
      <w:lvlText w:val="(%1)"/>
      <w:numFmt w:val="decimal"/>
      <w:start w:val="1"/>
    </w:lvl>
  </w:abstractNum>
  <w:abstractNum w:abstractNumId="29">
    <w:nsid w:val="12E685FB"/>
    <w:multiLevelType w:val="hybridMultilevel"/>
    <w:lvl w:ilvl="0">
      <w:lvlJc w:val="left"/>
      <w:lvlText w:val="(%1)"/>
      <w:numFmt w:val="decimal"/>
      <w:start w:val="1"/>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1."/>
      <w:numFmt w:val="decimal"/>
      <w:start w:val="2"/>
    </w:lvl>
  </w:abstractNum>
  <w:abstractNum w:abstractNumId="33">
    <w:nsid w:val="4F4EF005"/>
    <w:multiLevelType w:val="hybridMultilevel"/>
    <w:lvl w:ilvl="0">
      <w:lvlJc w:val="left"/>
      <w:lvlText w:val="%1"/>
      <w:numFmt w:val="decimal"/>
      <w:start w:val="97"/>
    </w:lvl>
  </w:abstractNum>
  <w:abstractNum w:abstractNumId="34">
    <w:nsid w:val="23F9C13C"/>
    <w:multiLevelType w:val="hybridMultilevel"/>
    <w:lvl w:ilvl="0">
      <w:lvlJc w:val="left"/>
      <w:lvlText w:val="*"/>
      <w:numFmt w:val="bullet"/>
      <w:start w:val="1"/>
    </w:lvl>
    <w:lvl w:ilvl="1">
      <w:lvlJc w:val="left"/>
      <w:lvlText w:val="%2"/>
      <w:numFmt w:val="decimal"/>
      <w:start w:val="104"/>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1."/>
      <w:numFmt w:val="upperLetter"/>
      <w:start w:val="1"/>
    </w:lvl>
  </w:abstractNum>
  <w:abstractNum w:abstractNumId="37">
    <w:nsid w:val="39386575"/>
    <w:multiLevelType w:val="hybridMultilevel"/>
    <w:lvl w:ilvl="0">
      <w:lvlJc w:val="left"/>
      <w:lvlText w:val="%1."/>
      <w:numFmt w:val="decimal"/>
      <w:start w:val="1"/>
    </w:lvl>
    <w:lvl w:ilvl="1">
      <w:lvlJc w:val="left"/>
      <w:lvlText w:val="(%2)"/>
      <w:numFmt w:val="lowerLetter"/>
      <w:start w:val="1"/>
    </w:lvl>
  </w:abstractNum>
  <w:abstractNum w:abstractNumId="38">
    <w:nsid w:val="1CF10FD8"/>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9">
    <w:nsid w:val="180115BE"/>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40">
    <w:nsid w:val="235BA86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1">
    <w:nsid w:val="47398C8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2">
    <w:nsid w:val="354FE9F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3">
    <w:nsid w:val="15B5AF5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4">
    <w:nsid w:val="741226B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5">
    <w:nsid w:val="D34B6A8"/>
    <w:multiLevelType w:val="hybridMultilevel"/>
    <w:lvl w:ilvl="0">
      <w:lvlJc w:val="left"/>
      <w:lvlText w:val="%1"/>
      <w:numFmt w:val="decimal"/>
      <w:start w:val="1"/>
    </w:lvl>
    <w:lvl w:ilvl="1">
      <w:lvlJc w:val="left"/>
      <w:lvlText w:val="(%2)"/>
      <w:numFmt w:val="lowerLetter"/>
      <w:start w:val="3"/>
    </w:lvl>
  </w:abstractNum>
  <w:abstractNum w:abstractNumId="46">
    <w:nsid w:val="10233C99"/>
    <w:multiLevelType w:val="hybridMultilevel"/>
    <w:lvl w:ilvl="0">
      <w:lvlJc w:val="left"/>
      <w:lvlText w:val="%1."/>
      <w:numFmt w:val="decimal"/>
      <w:start w:val="7"/>
    </w:lvl>
    <w:lvl w:ilvl="1">
      <w:lvlJc w:val="left"/>
      <w:lvlText w:val="%2"/>
      <w:numFmt w:val="lowerLetter"/>
      <w:start w:val="1"/>
    </w:lvl>
  </w:abstractNum>
  <w:abstractNum w:abstractNumId="47">
    <w:nsid w:val="3F6AB60F"/>
    <w:multiLevelType w:val="hybridMultilevel"/>
    <w:lvl w:ilvl="0">
      <w:lvlJc w:val="left"/>
      <w:lvlText w:val="%1."/>
      <w:numFmt w:val="decimal"/>
      <w:start w:val="12"/>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1."/>
      <w:numFmt w:val="upperLetter"/>
      <w:start w:val="1"/>
    </w:lvl>
  </w:abstractNum>
  <w:abstractNum w:abstractNumId="50">
    <w:nsid w:val="77AE35E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51">
    <w:nsid w:val="579BE4F1"/>
    <w:multiLevelType w:val="hybridMultilevel"/>
    <w:lvl w:ilvl="0">
      <w:lvlJc w:val="left"/>
      <w:lvlText w:val="%1"/>
      <w:numFmt w:val="decimal"/>
      <w:start w:val="1"/>
    </w:lvl>
    <w:lvl w:ilvl="1">
      <w:lvlJc w:val="left"/>
      <w:lvlText w:val="(%2)"/>
      <w:numFmt w:val="lowerLetter"/>
      <w:start w:val="6"/>
    </w:lvl>
  </w:abstractNum>
  <w:abstractNum w:abstractNumId="52">
    <w:nsid w:val="310C50B3"/>
    <w:multiLevelType w:val="hybridMultilevel"/>
    <w:lvl w:ilvl="0">
      <w:lvlJc w:val="left"/>
      <w:lvlText w:val="%1."/>
      <w:numFmt w:val="decimal"/>
      <w:start w:val="2"/>
    </w:lvl>
    <w:lvl w:ilvl="1">
      <w:lvlJc w:val="left"/>
      <w:lvlText w:val="(%2)"/>
      <w:numFmt w:val="lowerLetter"/>
      <w:start w:val="1"/>
    </w:lvl>
  </w:abstractNum>
  <w:abstractNum w:abstractNumId="53">
    <w:nsid w:val="5FF87E05"/>
    <w:multiLevelType w:val="hybridMultilevel"/>
    <w:lvl w:ilvl="0">
      <w:lvlJc w:val="left"/>
      <w:lvlText w:val="%1"/>
      <w:numFmt w:val="decimal"/>
      <w:start w:val="1"/>
    </w:lvl>
    <w:lvl w:ilvl="1">
      <w:lvlJc w:val="left"/>
      <w:lvlText w:val="(%2)"/>
      <w:numFmt w:val="lowerLetter"/>
      <w:start w:val="2"/>
    </w:lvl>
  </w:abstractNum>
  <w:abstractNum w:abstractNumId="54">
    <w:nsid w:val="2F305DEF"/>
    <w:multiLevelType w:val="hybridMultilevel"/>
    <w:lvl w:ilvl="0">
      <w:lvlJc w:val="left"/>
      <w:lvlText w:val="%1."/>
      <w:numFmt w:val="decimal"/>
      <w:start w:val="4"/>
    </w:lvl>
    <w:lvl w:ilvl="1">
      <w:lvlJc w:val="left"/>
      <w:lvlText w:val="(%2)"/>
      <w:numFmt w:val="lowerLetter"/>
      <w:start w:val="1"/>
    </w:lvl>
  </w:abstractNum>
  <w:abstractNum w:abstractNumId="55">
    <w:nsid w:val="25A70BF7"/>
    <w:multiLevelType w:val="hybridMultilevel"/>
    <w:lvl w:ilvl="0">
      <w:lvlJc w:val="left"/>
      <w:lvlText w:val="(%1)"/>
      <w:numFmt w:val="lowerLetter"/>
      <w:start w:val="9"/>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56">
    <w:nsid w:val="1DBABF00"/>
    <w:multiLevelType w:val="hybridMultilevel"/>
    <w:lvl w:ilvl="0">
      <w:lvlJc w:val="left"/>
      <w:lvlText w:val="%1"/>
      <w:numFmt w:val="lowerLetter"/>
      <w:start w:val="1"/>
    </w:lvl>
    <w:lvl w:ilvl="1">
      <w:lvlJc w:val="left"/>
      <w:lvlText w:val="(%2)"/>
      <w:numFmt w:val="lowerRoman"/>
      <w:start w:val="4"/>
    </w:lvl>
  </w:abstractNum>
  <w:abstractNum w:abstractNumId="57">
    <w:nsid w:val="4AD084E9"/>
    <w:multiLevelType w:val="hybridMultilevel"/>
    <w:lvl w:ilvl="0">
      <w:lvlJc w:val="left"/>
      <w:lvlText w:val="(%1)"/>
      <w:numFmt w:val="lowerLetter"/>
      <w:start w:val="6"/>
    </w:lvl>
    <w:lvl w:ilvl="1">
      <w:lvlJc w:val="left"/>
      <w:lvlText w:val="%2"/>
      <w:numFmt w:val="lowerRoman"/>
      <w:start w:val="1"/>
    </w:lvl>
  </w:abstractNum>
  <w:abstractNum w:abstractNumId="58">
    <w:nsid w:val="1F48EAA1"/>
    <w:multiLevelType w:val="hybridMultilevel"/>
    <w:lvl w:ilvl="0">
      <w:lvlJc w:val="left"/>
      <w:lvlText w:val="%1."/>
      <w:numFmt w:val="decimal"/>
      <w:start w:val="6"/>
    </w:lvl>
    <w:lvl w:ilvl="1">
      <w:lvlJc w:val="left"/>
      <w:lvlText w:val="(%2)"/>
      <w:numFmt w:val="lowerLetter"/>
      <w:start w:val="1"/>
    </w:lvl>
  </w:abstractNum>
  <w:abstractNum w:abstractNumId="59">
    <w:nsid w:val="1381823A"/>
    <w:multiLevelType w:val="hybridMultilevel"/>
    <w:lvl w:ilvl="0">
      <w:lvlJc w:val="left"/>
      <w:lvlText w:val="%1"/>
      <w:numFmt w:val="lowerLetter"/>
      <w:start w:val="1"/>
    </w:lvl>
    <w:lvl w:ilvl="1">
      <w:lvlJc w:val="left"/>
      <w:lvlText w:val="%2."/>
      <w:numFmt w:val="decimal"/>
      <w:start w:val="13"/>
    </w:lvl>
  </w:abstractNum>
  <w:abstractNum w:abstractNumId="60">
    <w:nsid w:val="5DB70AE5"/>
    <w:multiLevelType w:val="hybridMultilevel"/>
    <w:lvl w:ilvl="0">
      <w:lvlJc w:val="left"/>
      <w:lvlText w:val="(%1)"/>
      <w:numFmt w:val="lowerLetter"/>
      <w:start w:val="1"/>
    </w:lvl>
    <w:lvl w:ilvl="1">
      <w:lvlJc w:val="left"/>
      <w:lvlText w:val="%2"/>
      <w:numFmt w:val="decimal"/>
      <w:start w:val="1"/>
    </w:lvl>
  </w:abstractNum>
  <w:abstractNum w:abstractNumId="61">
    <w:nsid w:val="100F8FCA"/>
    <w:multiLevelType w:val="hybridMultilevel"/>
    <w:lvl w:ilvl="0">
      <w:lvlJc w:val="left"/>
      <w:lvlText w:val="(%1)"/>
      <w:numFmt w:val="lowerLetter"/>
      <w:start w:val="3"/>
    </w:lvl>
    <w:lvl w:ilvl="1">
      <w:lvlJc w:val="left"/>
      <w:lvlText w:val="%2."/>
      <w:numFmt w:val="decimal"/>
      <w:start w:val="17"/>
    </w:lvl>
  </w:abstractNum>
  <w:abstractNum w:abstractNumId="62">
    <w:nsid w:val="6590700B"/>
    <w:multiLevelType w:val="hybridMultilevel"/>
    <w:lvl w:ilvl="0">
      <w:lvlJc w:val="left"/>
      <w:lvlText w:val="%1."/>
      <w:numFmt w:val="decimal"/>
      <w:start w:val="19"/>
    </w:lvl>
  </w:abstractNum>
  <w:abstractNum w:abstractNumId="63">
    <w:nsid w:val="15014ACB"/>
    <w:multiLevelType w:val="hybridMultilevel"/>
    <w:lvl w:ilvl="0">
      <w:lvlJc w:val="left"/>
      <w:lvlText w:val="•"/>
      <w:numFmt w:val="bullet"/>
      <w:start w:val="1"/>
    </w:lvl>
  </w:abstractNum>
  <w:abstractNum w:abstractNumId="64">
    <w:nsid w:val="5F5E7FD0"/>
    <w:multiLevelType w:val="hybridMultilevel"/>
    <w:lvl w:ilvl="0">
      <w:lvlJc w:val="left"/>
      <w:lvlText w:val="%1."/>
      <w:numFmt w:val="decimal"/>
      <w:start w:val="1"/>
    </w:lvl>
  </w:abstractNum>
  <w:abstractNum w:abstractNumId="65">
    <w:nsid w:val="98A3148"/>
    <w:multiLevelType w:val="hybridMultilevel"/>
    <w:lvl w:ilvl="0">
      <w:lvlJc w:val="left"/>
      <w:lvlText w:val="%1."/>
      <w:numFmt w:val="decimal"/>
      <w:start w:val="4"/>
    </w:lvl>
  </w:abstractNum>
  <w:abstractNum w:abstractNumId="66">
    <w:nsid w:val="799D0247"/>
    <w:multiLevelType w:val="hybridMultilevel"/>
    <w:lvl w:ilvl="0">
      <w:lvlJc w:val="left"/>
      <w:lvlText w:val="%1."/>
      <w:numFmt w:val="decimal"/>
      <w:start w:val="1"/>
    </w:lvl>
  </w:abstractNum>
  <w:abstractNum w:abstractNumId="67">
    <w:nsid w:val="6B94764"/>
    <w:multiLevelType w:val="hybridMultilevel"/>
    <w:lvl w:ilvl="0">
      <w:lvlJc w:val="left"/>
      <w:lvlText w:val="%1."/>
      <w:numFmt w:val="decimal"/>
      <w:start w:val="1"/>
    </w:lvl>
  </w:abstractNum>
  <w:abstractNum w:abstractNumId="68">
    <w:nsid w:val="42C296BD"/>
    <w:multiLevelType w:val="hybridMultilevel"/>
    <w:lvl w:ilvl="0">
      <w:lvlJc w:val="left"/>
      <w:lvlText w:val="%1."/>
      <w:numFmt w:val="decimal"/>
      <w:start w:val="1"/>
    </w:lvl>
  </w:abstractNum>
  <w:abstractNum w:abstractNumId="69">
    <w:nsid w:val="168E121F"/>
    <w:multiLevelType w:val="hybridMultilevel"/>
    <w:lvl w:ilvl="0">
      <w:lvlJc w:val="left"/>
      <w:lvlText w:val="%1."/>
      <w:numFmt w:val="decimal"/>
      <w:start w:val="1"/>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63" Type="http://schemas.openxmlformats.org/officeDocument/2006/relationships/image" Target="media/image122.png"/><Relationship Id="rId164" Type="http://schemas.openxmlformats.org/officeDocument/2006/relationships/image" Target="media/image123.png"/><Relationship Id="rId181" Type="http://schemas.openxmlformats.org/officeDocument/2006/relationships/image" Target="media/image124.png"/><Relationship Id="rId182" Type="http://schemas.openxmlformats.org/officeDocument/2006/relationships/image" Target="media/image125.png"/><Relationship Id="rId184" Type="http://schemas.openxmlformats.org/officeDocument/2006/relationships/image" Target="media/image126.png"/><Relationship Id="rId185" Type="http://schemas.openxmlformats.org/officeDocument/2006/relationships/image" Target="media/image127.png"/><Relationship Id="rId186" Type="http://schemas.openxmlformats.org/officeDocument/2006/relationships/image" Target="media/image128.png"/><Relationship Id="rId187" Type="http://schemas.openxmlformats.org/officeDocument/2006/relationships/image" Target="media/image129.png"/><Relationship Id="rId188" Type="http://schemas.openxmlformats.org/officeDocument/2006/relationships/image" Target="media/image130.png"/><Relationship Id="rId189" Type="http://schemas.openxmlformats.org/officeDocument/2006/relationships/image" Target="media/image131.png"/><Relationship Id="rId190" Type="http://schemas.openxmlformats.org/officeDocument/2006/relationships/image" Target="media/image132.png"/><Relationship Id="rId191" Type="http://schemas.openxmlformats.org/officeDocument/2006/relationships/image" Target="media/image133.png"/><Relationship Id="rId192" Type="http://schemas.openxmlformats.org/officeDocument/2006/relationships/image" Target="media/image134.png"/><Relationship Id="rId193" Type="http://schemas.openxmlformats.org/officeDocument/2006/relationships/image" Target="media/image135.png"/><Relationship Id="rId194" Type="http://schemas.openxmlformats.org/officeDocument/2006/relationships/image" Target="media/image136.png"/><Relationship Id="rId195" Type="http://schemas.openxmlformats.org/officeDocument/2006/relationships/image" Target="media/image137.png"/><Relationship Id="rId196" Type="http://schemas.openxmlformats.org/officeDocument/2006/relationships/image" Target="media/image138.png"/><Relationship Id="rId197" Type="http://schemas.openxmlformats.org/officeDocument/2006/relationships/image" Target="media/image139.png"/><Relationship Id="rId198" Type="http://schemas.openxmlformats.org/officeDocument/2006/relationships/image" Target="media/image140.png"/><Relationship Id="rId199" Type="http://schemas.openxmlformats.org/officeDocument/2006/relationships/image" Target="media/image141.png"/><Relationship Id="rId200" Type="http://schemas.openxmlformats.org/officeDocument/2006/relationships/image" Target="media/image142.png"/><Relationship Id="rId201" Type="http://schemas.openxmlformats.org/officeDocument/2006/relationships/image" Target="media/image143.png"/><Relationship Id="rId202" Type="http://schemas.openxmlformats.org/officeDocument/2006/relationships/image" Target="media/image144.png"/><Relationship Id="rId203" Type="http://schemas.openxmlformats.org/officeDocument/2006/relationships/image" Target="media/image145.png"/><Relationship Id="rId204" Type="http://schemas.openxmlformats.org/officeDocument/2006/relationships/image" Target="media/image146.png"/><Relationship Id="rId127" Type="http://schemas.openxmlformats.org/officeDocument/2006/relationships/hyperlink" Target="https://www.sec.gov/Archives/edgar/data/1786431/000162828024035405/reyn-2024630x10qxexx33.htm" TargetMode="External"/><Relationship Id="rId128" Type="http://schemas.openxmlformats.org/officeDocument/2006/relationships/hyperlink" Target="https://www.sec.gov/Archives/edgar/data/0001786431/000119312520024304/d874780dex32.htm" TargetMode="External"/><Relationship Id="rId129" Type="http://schemas.openxmlformats.org/officeDocument/2006/relationships/hyperlink" Target="https://www.sec.gov/Archives/edgar/data/1786431/000156459021005649/reyn-ex41_1158.htm" TargetMode="External"/><Relationship Id="rId130" Type="http://schemas.openxmlformats.org/officeDocument/2006/relationships/hyperlink" Target="https://www.sec.gov/Archives/edgar/data/1531476/000119312524133840/d816015dex41.htm" TargetMode="External"/><Relationship Id="rId131" Type="http://schemas.openxmlformats.org/officeDocument/2006/relationships/hyperlink" Target="https://www.sec.gov/Archives/edgar/data/0001786431/000119312519293392/d769843dex101.htm" TargetMode="External"/><Relationship Id="rId132" Type="http://schemas.openxmlformats.org/officeDocument/2006/relationships/hyperlink" Target="https://www.sec.gov/Archives/edgar/data/0001786431/000095010320001611/dp119867_ex99.htm" TargetMode="External"/><Relationship Id="rId133" Type="http://schemas.openxmlformats.org/officeDocument/2006/relationships/hyperlink" Target="https://www.sec.gov/Archives/edgar/data/1786431/000156459022004307/reyn-ex103_553.htm" TargetMode="External"/><Relationship Id="rId134" Type="http://schemas.openxmlformats.org/officeDocument/2006/relationships/hyperlink" Target="https://www.sec.gov/Archives/edgar/data/1786431/000156459022004307/reyn-ex106_62.htm" TargetMode="External"/><Relationship Id="rId135" Type="http://schemas.openxmlformats.org/officeDocument/2006/relationships/hyperlink" Target="https://www.sec.gov/Archives/edgar/data/1786431/000156459022004307/reyn-ex107_61.htm" TargetMode="External"/><Relationship Id="rId136" Type="http://schemas.openxmlformats.org/officeDocument/2006/relationships/hyperlink" Target="https://www.sec.gov/Archives/edgar/data/1786431/000162828025003936/exhibit106-formofrestricte.htm" TargetMode="External"/><Relationship Id="rId137" Type="http://schemas.openxmlformats.org/officeDocument/2006/relationships/hyperlink" Target="https://www.sec.gov/Archives/edgar/data/1786431/000162828025003936/exhibit107-formofperforman.htm" TargetMode="External"/><Relationship Id="rId138" Type="http://schemas.openxmlformats.org/officeDocument/2006/relationships/hyperlink" Target="https://www.sec.gov/Archives/edgar/data/1786431/000162828025003936/exhibit108-formofrestricte.htm" TargetMode="External"/><Relationship Id="rId139" Type="http://schemas.openxmlformats.org/officeDocument/2006/relationships/hyperlink" Target="https://www.sec.gov/Archives/edgar/data/1786431/000162828025003936/exhibit109-formofrestricte.htm" TargetMode="External"/><Relationship Id="rId140" Type="http://schemas.openxmlformats.org/officeDocument/2006/relationships/hyperlink" Target="https://www.sec.gov/Archives/edgar/data/1786431/000162828025003936/exhibit1010-formofperforma.htm" TargetMode="External"/><Relationship Id="rId141" Type="http://schemas.openxmlformats.org/officeDocument/2006/relationships/hyperlink" Target="https://www.sec.gov/Archives/edgar/data/1786431/000162828025003936/exhibit1011-formofrestrict.htm" TargetMode="External"/><Relationship Id="rId142" Type="http://schemas.openxmlformats.org/officeDocument/2006/relationships/hyperlink" Target="https://www.sec.gov/Archives/edgar/data/1786431/000162828025003936/exhibit1012-formofperforma.htm" TargetMode="External"/><Relationship Id="rId143" Type="http://schemas.openxmlformats.org/officeDocument/2006/relationships/hyperlink" Target="https://www.sec.gov/Archives/edgar/data/1786431/000162828025020839/reyn-2025331x10qxexx102.htm" TargetMode="External"/><Relationship Id="rId144" Type="http://schemas.openxmlformats.org/officeDocument/2006/relationships/hyperlink" Target="https://www.sec.gov/Archives/edgar/data/1786431/000162828025020839/reyn-2025331x10qxexx103.htm" TargetMode="External"/><Relationship Id="rId145" Type="http://schemas.openxmlformats.org/officeDocument/2006/relationships/hyperlink" Target="https://www.sec.gov/Archives/edgar/data/0001786431/000119312519293392/d769843dex106.htm" TargetMode="External"/><Relationship Id="rId148" Type="http://schemas.openxmlformats.org/officeDocument/2006/relationships/hyperlink" Target="https://www.sec.gov/Archives/edgar/data/1786431/000119312524246994/d889270dex101.htm" TargetMode="External"/><Relationship Id="rId149" Type="http://schemas.openxmlformats.org/officeDocument/2006/relationships/hyperlink" Target="https://www.sec.gov/Archives/edgar/data/1786431/000119312523254985/d529276dex101.htm" TargetMode="External"/><Relationship Id="rId150" Type="http://schemas.openxmlformats.org/officeDocument/2006/relationships/hyperlink" Target="https://www.sec.gov/Archives/edgar/data/1786431/000119312523254985/d529276dex102.htm" TargetMode="External"/><Relationship Id="rId151" Type="http://schemas.openxmlformats.org/officeDocument/2006/relationships/hyperlink" Target="https://www.sec.gov/Archives/edgar/data/1786431/000119312524246994/d889270dex102.htm" TargetMode="External"/><Relationship Id="rId152" Type="http://schemas.openxmlformats.org/officeDocument/2006/relationships/hyperlink" Target="https://www.sec.gov/Archives/edgar/data/1786431/000119312524246994/d889270dex103.htm" TargetMode="External"/><Relationship Id="rId153" Type="http://schemas.openxmlformats.org/officeDocument/2006/relationships/hyperlink" Target="https://www.sec.gov/Archives/edgar/data/1786431/000119312524246994/d889270dex104.htm" TargetMode="External"/><Relationship Id="rId154" Type="http://schemas.openxmlformats.org/officeDocument/2006/relationships/hyperlink" Target="https://www.sec.gov/Archives/edgar/data/0001786431/000119312520016457/d769843dex1029.htm" TargetMode="External"/><Relationship Id="rId155" Type="http://schemas.openxmlformats.org/officeDocument/2006/relationships/hyperlink" Target="https://www.sec.gov/Archives/edgar/data/1786431/000162828023002692/reyn-20221231xex1017.htm" TargetMode="External"/><Relationship Id="rId156" Type="http://schemas.openxmlformats.org/officeDocument/2006/relationships/hyperlink" Target="https://www.sec.gov/Archives/edgar/data/1786431/000156459022004307/reyn-ex1014_352.htm" TargetMode="External"/><Relationship Id="rId157" Type="http://schemas.openxmlformats.org/officeDocument/2006/relationships/hyperlink" Target="https://www.sec.gov/Archives/edgar/data/1786431/000162828023002692/reyn-20221231xex1018.htm" TargetMode="External"/><Relationship Id="rId158" Type="http://schemas.openxmlformats.org/officeDocument/2006/relationships/hyperlink" Target="https://www.sec.gov/Archives/edgar/data/1786431/000162828023002692/reyn-20221231xex1014.htm" TargetMode="External"/><Relationship Id="rId159" Type="http://schemas.openxmlformats.org/officeDocument/2006/relationships/hyperlink" Target="https://www.sec.gov/Archives/edgar/data/1786431/000162828025003936/exhibit1026-employmentagre.htm" TargetMode="External"/><Relationship Id="rId160" Type="http://schemas.openxmlformats.org/officeDocument/2006/relationships/hyperlink" Target="https://www.sec.gov/Archives/edgar/data/1786431/000162828025025325/exhibit10151425.htm" TargetMode="External"/><Relationship Id="rId161" Type="http://schemas.openxmlformats.org/officeDocument/2006/relationships/hyperlink" Target="https://www.sec.gov/Archives/edgar/data/1786431/000162828024021395/reyn-2024331x10qxexx101.htm" TargetMode="External"/><Relationship Id="rId162" Type="http://schemas.openxmlformats.org/officeDocument/2006/relationships/hyperlink" Target="https://www.sec.gov/Archives/edgar/data/0001786431/000119312519293392/d769843dex1018.htm" TargetMode="External"/><Relationship Id="rId165" Type="http://schemas.openxmlformats.org/officeDocument/2006/relationships/hyperlink" Target="https://www.sec.gov/Archives/edgar/data/1786431/000162828023017042/reyn-2023331x10qxexx102.htm" TargetMode="External"/><Relationship Id="rId166" Type="http://schemas.openxmlformats.org/officeDocument/2006/relationships/hyperlink" Target="https://www.sec.gov/Archives/edgar/data/0001786431/000119312519293392/d769843dex1019.htm" TargetMode="External"/><Relationship Id="rId167" Type="http://schemas.openxmlformats.org/officeDocument/2006/relationships/hyperlink" Target="https://www.sec.gov/Archives/edgar/data/1786431/000162828023017042/reyn-2023331x10qxexx103.htm" TargetMode="External"/><Relationship Id="rId168" Type="http://schemas.openxmlformats.org/officeDocument/2006/relationships/hyperlink" Target="https://www.sec.gov/Archives/edgar/data/1786431/000162828025003936/exhibit1032-amendmentno3da.htm" TargetMode="External"/><Relationship Id="rId169" Type="http://schemas.openxmlformats.org/officeDocument/2006/relationships/hyperlink" Target="https://www.sec.gov/Archives/edgar/data/0001786431/000119312519293392/d769843dex1020.htm" TargetMode="External"/><Relationship Id="rId170" Type="http://schemas.openxmlformats.org/officeDocument/2006/relationships/hyperlink" Target="https://www.sec.gov/Archives/edgar/data/1786431/000162828024035405/reyn-2024630x10qxexx101.htm" TargetMode="External"/><Relationship Id="rId171" Type="http://schemas.openxmlformats.org/officeDocument/2006/relationships/hyperlink" Target="https://www.sec.gov/Archives/edgar/data/0001786431/000119312520010446/d769843dex1023.htm" TargetMode="External"/><Relationship Id="rId172" Type="http://schemas.openxmlformats.org/officeDocument/2006/relationships/hyperlink" Target="https://www.sec.gov/Archives/edgar/data/0001786431/000119312520024304/d874780dex103.htm" TargetMode="External"/><Relationship Id="rId173" Type="http://schemas.openxmlformats.org/officeDocument/2006/relationships/hyperlink" Target="https://www.sec.gov/Archives/edgar/data/0001786431/000119312520024304/d874780dex101.htm" TargetMode="External"/><Relationship Id="rId174" Type="http://schemas.openxmlformats.org/officeDocument/2006/relationships/hyperlink" Target="https://www.sec.gov/Archives/edgar/data/0001786431/000119312520024304/d874780dex102.htm" TargetMode="External"/><Relationship Id="rId175" Type="http://schemas.openxmlformats.org/officeDocument/2006/relationships/hyperlink" Target="https://www.sec.gov/Archives/edgar/data/0001786431/000119312520024304/d874780dex104.htm" TargetMode="External"/><Relationship Id="rId176" Type="http://schemas.openxmlformats.org/officeDocument/2006/relationships/hyperlink" Target="https://www.sec.gov/Archives/edgar/data/1786431/000162828023017042/reyn-2023331x10qxexx101.htm" TargetMode="External"/><Relationship Id="rId177" Type="http://schemas.openxmlformats.org/officeDocument/2006/relationships/hyperlink" Target="https://www.sec.gov/Archives/edgar/data/1786431/000119312523281588/d565717dex101.htm" TargetMode="External"/><Relationship Id="rId178" Type="http://schemas.openxmlformats.org/officeDocument/2006/relationships/hyperlink" Target="https://www.sec.gov/Archives/edgar/data/1786431/000162828024043021/exhibit101.htm" TargetMode="External"/><Relationship Id="rId179" Type="http://schemas.openxmlformats.org/officeDocument/2006/relationships/hyperlink" Target="https://www.sec.gov/Archives/edgar/data/1786431/000162828025009801/exhibit101.htm" TargetMode="External"/><Relationship Id="rId180" Type="http://schemas.openxmlformats.org/officeDocument/2006/relationships/hyperlink" Target="https://www.sec.gov/Archives/edgar/data/1786431/000162828025003936/exhibit191-reynoldsconsume.htm" TargetMode="External"/><Relationship Id="rId183" Type="http://schemas.openxmlformats.org/officeDocument/2006/relationships/hyperlink" Target="https://www.sec.gov/Archives/edgar/data/1786431/000162828024003623/exhibit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2026-02-04T08:24:17Z</dcterms:created>
  <dcterms:modified xsi:type="dcterms:W3CDTF">2026-02-04T08:24:17Z</dcterms:modified>
</cp:coreProperties>
</file>