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4440"/>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0"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w:t>
      </w:r>
    </w:p>
    <w:p>
      <w:pPr>
        <w:spacing w:after="0" w:line="10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1" w:lineRule="exact"/>
        <w:rPr>
          <w:sz w:val="24"/>
          <w:szCs w:val="24"/>
          <w:color w:val="auto"/>
        </w:rPr>
      </w:pPr>
    </w:p>
    <w:p>
      <w:pPr>
        <w:ind w:left="460" w:hanging="434"/>
        <w:spacing w:after="0"/>
        <w:tabs>
          <w:tab w:leader="none" w:pos="46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ind w:left="460" w:hanging="434"/>
        <w:spacing w:after="0"/>
        <w:tabs>
          <w:tab w:leader="none" w:pos="46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85"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 to __________</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001-39205</w:t>
      </w:r>
    </w:p>
    <w:p>
      <w:pPr>
        <w:spacing w:after="0" w:line="72"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REYNOLDS CONSUMER PRODUCTS INC.</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48"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w:t>
      </w:r>
    </w:p>
    <w:p>
      <w:pPr>
        <w:sectPr>
          <w:pgSz w:w="11900" w:h="16838" w:orient="portrait"/>
          <w:cols w:equalWidth="0" w:num="1">
            <w:col w:w="11240"/>
          </w:cols>
          <w:pgMar w:left="320" w:top="229" w:right="339" w:bottom="1440" w:gutter="0" w:footer="0" w:header="0"/>
        </w:sectPr>
      </w:pPr>
    </w:p>
    <w:p>
      <w:pPr>
        <w:spacing w:after="0" w:line="55"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45-3464426</w:t>
      </w:r>
    </w:p>
    <w:p>
      <w:pPr>
        <w:spacing w:after="0" w:line="63" w:lineRule="exact"/>
        <w:rPr>
          <w:sz w:val="24"/>
          <w:szCs w:val="24"/>
          <w:color w:val="auto"/>
        </w:rPr>
      </w:pPr>
    </w:p>
    <w:p>
      <w:pPr>
        <w:sectPr>
          <w:pgSz w:w="11900" w:h="16838" w:orient="portrait"/>
          <w:cols w:equalWidth="0" w:num="2">
            <w:col w:w="7280" w:space="720"/>
            <w:col w:w="3240"/>
          </w:cols>
          <w:pgMar w:left="320" w:top="229" w:right="339" w:bottom="1440" w:gutter="0" w:footer="0" w:header="0"/>
          <w:type w:val="continuous"/>
        </w:sectPr>
      </w:pPr>
    </w:p>
    <w:p>
      <w:pPr>
        <w:ind w:left="200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spacing w:after="0" w:line="27"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18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15"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2"/>
          <w:szCs w:val="12"/>
          <w:b w:val="1"/>
          <w:bCs w:val="1"/>
          <w:color w:val="auto"/>
        </w:rPr>
        <w:t>Identification Number)</w:t>
      </w:r>
    </w:p>
    <w:p>
      <w:pPr>
        <w:spacing w:after="0" w:line="100" w:lineRule="exact"/>
        <w:rPr>
          <w:sz w:val="24"/>
          <w:szCs w:val="24"/>
          <w:color w:val="auto"/>
        </w:rPr>
      </w:pPr>
    </w:p>
    <w:p>
      <w:pPr>
        <w:sectPr>
          <w:pgSz w:w="11900" w:h="16838" w:orient="portrait"/>
          <w:cols w:equalWidth="0" w:num="2">
            <w:col w:w="7080" w:space="720"/>
            <w:col w:w="3440"/>
          </w:cols>
          <w:pgMar w:left="320" w:top="229"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1900 W. Field Court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Lake Forest, Illinois 60045</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Telephone: (800) 879-5067</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61"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w:t>
      </w:r>
    </w:p>
    <w:p>
      <w:pPr>
        <w:sectPr>
          <w:pgSz w:w="11900" w:h="16838" w:orient="portrait"/>
          <w:cols w:equalWidth="0" w:num="1">
            <w:col w:w="11240"/>
          </w:cols>
          <w:pgMar w:left="320" w:top="229" w:right="339" w:bottom="1440" w:gutter="0" w:footer="0" w:header="0"/>
          <w:type w:val="continuous"/>
        </w:sectPr>
      </w:pPr>
    </w:p>
    <w:p>
      <w:pPr>
        <w:spacing w:after="0" w:line="6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91"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3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700" w:type="dxa"/>
            <w:vAlign w:val="bottom"/>
          </w:tcPr>
          <w:p>
            <w:pPr>
              <w:spacing w:after="0"/>
              <w:rPr>
                <w:sz w:val="15"/>
                <w:szCs w:val="15"/>
                <w:color w:val="auto"/>
              </w:rPr>
            </w:pPr>
          </w:p>
        </w:tc>
      </w:tr>
      <w:tr>
        <w:trPr>
          <w:trHeight w:val="204"/>
        </w:trPr>
        <w:tc>
          <w:tcPr>
            <w:tcW w:w="4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4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04"/>
        </w:trPr>
        <w:tc>
          <w:tcPr>
            <w:tcW w:w="3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$0.001 par value</w:t>
            </w:r>
          </w:p>
        </w:tc>
        <w:tc>
          <w:tcPr>
            <w:tcW w:w="160" w:type="dxa"/>
            <w:vAlign w:val="bottom"/>
          </w:tcPr>
          <w:p>
            <w:pPr>
              <w:spacing w:after="0"/>
              <w:rPr>
                <w:sz w:val="17"/>
                <w:szCs w:val="17"/>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REYN</w:t>
            </w:r>
          </w:p>
        </w:tc>
        <w:tc>
          <w:tcPr>
            <w:tcW w:w="140" w:type="dxa"/>
            <w:vAlign w:val="bottom"/>
          </w:tcPr>
          <w:p>
            <w:pPr>
              <w:spacing w:after="0"/>
              <w:rPr>
                <w:sz w:val="17"/>
                <w:szCs w:val="17"/>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13"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9"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7" w:lineRule="exact"/>
        <w:rPr>
          <w:sz w:val="24"/>
          <w:szCs w:val="24"/>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2"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Accelerated filer</w:t>
            </w:r>
          </w:p>
        </w:tc>
        <w:tc>
          <w:tcPr>
            <w:tcW w:w="300" w:type="dxa"/>
            <w:vAlign w:val="bottom"/>
          </w:tcPr>
          <w:p>
            <w:pPr>
              <w:ind w:left="160"/>
              <w:spacing w:after="0"/>
              <w:rPr>
                <w:sz w:val="20"/>
                <w:szCs w:val="20"/>
                <w:color w:val="auto"/>
              </w:rPr>
            </w:pPr>
            <w:r>
              <w:rPr>
                <w:rFonts w:ascii="Wingdings" w:cs="Wingdings" w:eastAsia="Wingdings" w:hAnsi="Wingdings"/>
                <w:sz w:val="16"/>
                <w:szCs w:val="16"/>
                <w:b w:val="1"/>
                <w:bCs w:val="1"/>
                <w:color w:val="auto"/>
                <w:w w:val="83"/>
              </w:rPr>
              <w:t>o</w:t>
            </w:r>
          </w:p>
        </w:tc>
      </w:tr>
      <w:tr>
        <w:trPr>
          <w:trHeight w:val="271"/>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80" w:type="dxa"/>
            <w:vAlign w:val="bottom"/>
          </w:tcPr>
          <w:p>
            <w:pPr>
              <w:ind w:left="340"/>
              <w:spacing w:after="0"/>
              <w:rPr>
                <w:sz w:val="20"/>
                <w:szCs w:val="20"/>
                <w:color w:val="auto"/>
              </w:rPr>
            </w:pPr>
            <w:r>
              <w:rPr>
                <w:rFonts w:ascii="Wingdings" w:cs="Wingdings" w:eastAsia="Wingdings" w:hAnsi="Wingdings"/>
                <w:sz w:val="16"/>
                <w:szCs w:val="16"/>
                <w:b w:val="1"/>
                <w:bCs w:val="1"/>
                <w:color w:val="auto"/>
              </w:rPr>
              <w:t>o</w:t>
            </w:r>
          </w:p>
        </w:tc>
        <w:tc>
          <w:tcPr>
            <w:tcW w:w="5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00" w:type="dxa"/>
            <w:vAlign w:val="bottom"/>
          </w:tcPr>
          <w:p>
            <w:pPr>
              <w:ind w:left="160"/>
              <w:spacing w:after="0"/>
              <w:rPr>
                <w:sz w:val="20"/>
                <w:szCs w:val="20"/>
                <w:color w:val="auto"/>
              </w:rPr>
            </w:pPr>
            <w:r>
              <w:rPr>
                <w:rFonts w:ascii="Wingdings" w:cs="Wingdings" w:eastAsia="Wingdings" w:hAnsi="Wingdings"/>
                <w:sz w:val="16"/>
                <w:szCs w:val="16"/>
                <w:b w:val="1"/>
                <w:bCs w:val="1"/>
                <w:color w:val="auto"/>
                <w:w w:val="83"/>
              </w:rPr>
              <w:t>o</w:t>
            </w:r>
          </w:p>
        </w:tc>
      </w:tr>
      <w:tr>
        <w:trPr>
          <w:trHeight w:val="297"/>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680" w:type="dxa"/>
            <w:vAlign w:val="bottom"/>
          </w:tcPr>
          <w:p>
            <w:pPr>
              <w:ind w:left="340"/>
              <w:spacing w:after="0"/>
              <w:rPr>
                <w:sz w:val="20"/>
                <w:szCs w:val="20"/>
                <w:color w:val="auto"/>
              </w:rPr>
            </w:pPr>
            <w:r>
              <w:rPr>
                <w:rFonts w:ascii="Wingdings" w:cs="Wingdings" w:eastAsia="Wingdings" w:hAnsi="Wingdings"/>
                <w:sz w:val="16"/>
                <w:szCs w:val="16"/>
                <w:b w:val="1"/>
                <w:bCs w:val="1"/>
                <w:color w:val="auto"/>
              </w:rPr>
              <w:t>o</w:t>
            </w:r>
          </w:p>
        </w:tc>
        <w:tc>
          <w:tcPr>
            <w:tcW w:w="512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pacing w:after="0" w:line="114" w:lineRule="exact"/>
        <w:rPr>
          <w:sz w:val="24"/>
          <w:szCs w:val="24"/>
          <w:color w:val="auto"/>
        </w:rPr>
      </w:pPr>
    </w:p>
    <w:p>
      <w:pPr>
        <w:ind w:right="580"/>
        <w:spacing w:after="0" w:line="267"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ind w:right="2980"/>
        <w:spacing w:after="0" w:line="24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April 30, 2024, the registrant had 210,137,805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685800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040" w:type="dxa"/>
            <w:vAlign w:val="bottom"/>
            <w:vMerge w:val="continue"/>
          </w:tcPr>
          <w:p>
            <w:pPr>
              <w:spacing w:after="0"/>
              <w:rPr>
                <w:sz w:val="17"/>
                <w:szCs w:val="17"/>
                <w:color w:val="auto"/>
              </w:rPr>
            </w:pPr>
          </w:p>
        </w:tc>
        <w:tc>
          <w:tcPr>
            <w:tcW w:w="95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FINANCIAL INFORMATION</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7120" w:type="dxa"/>
            <w:vAlign w:val="bottom"/>
            <w:gridSpan w:val="10"/>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72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 for the three months ended March 31, 2024 and 2023</w:t>
            </w:r>
          </w:p>
        </w:tc>
        <w:tc>
          <w:tcPr>
            <w:tcW w:w="2260" w:type="dxa"/>
            <w:vAlign w:val="bottom"/>
            <w:gridSpan w:val="4"/>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months ended March 31, 2024 and 2023</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844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2024 and December 31, 2023</w:t>
            </w:r>
          </w:p>
        </w:tc>
        <w:tc>
          <w:tcPr>
            <w:tcW w:w="1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82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for the three months ended March 31, 2024 and 2023</w:t>
            </w:r>
          </w:p>
        </w:tc>
        <w:tc>
          <w:tcPr>
            <w:tcW w:w="1280" w:type="dxa"/>
            <w:vAlign w:val="bottom"/>
            <w:gridSpan w:val="2"/>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75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three months ended March 31, 2024 and 2023</w:t>
            </w:r>
          </w:p>
        </w:tc>
        <w:tc>
          <w:tcPr>
            <w:tcW w:w="1960" w:type="dxa"/>
            <w:vAlign w:val="bottom"/>
            <w:gridSpan w:val="3"/>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47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4760" w:type="dxa"/>
            <w:vAlign w:val="bottom"/>
            <w:gridSpan w:val="7"/>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3"/>
          </w:tcPr>
          <w:p>
            <w:pPr>
              <w:spacing w:after="0"/>
              <w:rPr>
                <w:sz w:val="21"/>
                <w:szCs w:val="21"/>
                <w:color w:val="auto"/>
              </w:rPr>
            </w:pPr>
          </w:p>
        </w:tc>
        <w:tc>
          <w:tcPr>
            <w:tcW w:w="3100" w:type="dxa"/>
            <w:vAlign w:val="bottom"/>
            <w:gridSpan w:val="5"/>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00" w:type="dxa"/>
            <w:vAlign w:val="bottom"/>
            <w:gridSpan w:val="9"/>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vMerge w:val="continue"/>
          </w:tcPr>
          <w:p>
            <w:pPr>
              <w:spacing w:after="0"/>
              <w:rPr>
                <w:sz w:val="21"/>
                <w:szCs w:val="21"/>
                <w:color w:val="auto"/>
              </w:rPr>
            </w:pPr>
          </w:p>
        </w:tc>
        <w:tc>
          <w:tcPr>
            <w:tcW w:w="1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7660" w:type="dxa"/>
            <w:vAlign w:val="bottom"/>
            <w:gridSpan w:val="13"/>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2"/>
          </w:tcPr>
          <w:p>
            <w:pPr>
              <w:spacing w:after="0"/>
              <w:rPr>
                <w:sz w:val="21"/>
                <w:szCs w:val="21"/>
                <w:color w:val="auto"/>
              </w:rPr>
            </w:pPr>
          </w:p>
        </w:tc>
        <w:tc>
          <w:tcPr>
            <w:tcW w:w="8220" w:type="dxa"/>
            <w:vAlign w:val="bottom"/>
            <w:gridSpan w:val="15"/>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200" w:type="dxa"/>
            <w:vAlign w:val="bottom"/>
            <w:gridSpan w:val="9"/>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7220" w:type="dxa"/>
            <w:vAlign w:val="bottom"/>
            <w:gridSpan w:val="11"/>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780" w:type="dxa"/>
            <w:vAlign w:val="bottom"/>
            <w:gridSpan w:val="14"/>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tcBorders>
              <w:top w:val="single" w:sz="8" w:color="0000FF"/>
            </w:tcBorders>
            <w:gridSpan w:val="3"/>
          </w:tcPr>
          <w:p>
            <w:pPr>
              <w:spacing w:after="0"/>
              <w:rPr>
                <w:sz w:val="21"/>
                <w:szCs w:val="21"/>
                <w:color w:val="auto"/>
              </w:rPr>
            </w:pPr>
          </w:p>
        </w:tc>
        <w:tc>
          <w:tcPr>
            <w:tcW w:w="8240" w:type="dxa"/>
            <w:vAlign w:val="bottom"/>
            <w:gridSpan w:val="16"/>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7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8780" w:type="dxa"/>
            <w:vAlign w:val="bottom"/>
            <w:gridSpan w:val="18"/>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certain statements that constitute “forward-looking statements” within the meaning of the Private Securities Litigation Reform Act of 1995. In some cases, you can identify these statements by forward-looking words such as “may,” “might,” “will,” “should,” “expects,” “intends,” “outlook,” “forecast,” “position,” “committed,” “plans,” “anticipates,” “believes,” “estimates,” “predicts,” “model,” “assumes,” “confident,” “look forward,” “potential” “on track”, or “continue,” or the negative of these terms and other comparable terminology. These forward-looking statements, which are subject to risks, uncertainties and assumptions about us, may include projections of our future financial performance, our anticipated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those risks and uncertainties discussed in Item 1A. “Risk Factors.” in our Annual Report on Form 10-K for the fiscal year ended December 31, 2023 and as updated in our Quarterly Reports on Form 10-Q. You should specifically consider the numerous risks outlined in the “Risk Factors” sections. These risks and uncertainties include factors related to:</w:t>
      </w:r>
    </w:p>
    <w:p>
      <w:pPr>
        <w:spacing w:after="0" w:line="84" w:lineRule="exact"/>
        <w:rPr>
          <w:sz w:val="20"/>
          <w:szCs w:val="20"/>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preferences, lifestyle, economic circumstances and environmental concerns;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relationships with our major customers, consolidation of our customer bases and loss of a significant customer;</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pricing pressures;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disruption at, any of our key manufacturing facilities;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suppliers of raw materials and any interruption in our supply of raw materials;</w:t>
      </w:r>
    </w:p>
    <w:p>
      <w:pPr>
        <w:spacing w:after="0" w:line="117" w:lineRule="exact"/>
        <w:rPr>
          <w:rFonts w:ascii="Times New Roman" w:cs="Times New Roman" w:eastAsia="Times New Roman" w:hAnsi="Times New Roman"/>
          <w:sz w:val="18"/>
          <w:szCs w:val="18"/>
          <w:color w:val="auto"/>
        </w:rPr>
      </w:pPr>
    </w:p>
    <w:p>
      <w:pPr>
        <w:ind w:left="880" w:right="540" w:hanging="431"/>
        <w:spacing w:after="0" w:line="282" w:lineRule="auto"/>
        <w:tabs>
          <w:tab w:leader="none" w:pos="86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due to an accident, labor issues, weather conditions, natural disaster, or disease outbreak, including epidemics, pandemics or similar widespread public health concerns;</w:t>
      </w:r>
    </w:p>
    <w:p>
      <w:pPr>
        <w:spacing w:after="0" w:line="53" w:lineRule="exact"/>
        <w:rPr>
          <w:rFonts w:ascii="Times New Roman" w:cs="Times New Roman" w:eastAsia="Times New Roman" w:hAnsi="Times New Roman"/>
          <w:sz w:val="18"/>
          <w:szCs w:val="18"/>
          <w:color w:val="auto"/>
        </w:rPr>
      </w:pPr>
    </w:p>
    <w:p>
      <w:pPr>
        <w:ind w:left="880" w:right="60" w:hanging="431"/>
        <w:spacing w:after="0" w:line="282" w:lineRule="auto"/>
        <w:tabs>
          <w:tab w:leader="none" w:pos="86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raw materials, energy, labor and freight, including the impact of tariffs, trade sanctions and similar matters affecting our importation of certain raw materials;</w:t>
      </w:r>
    </w:p>
    <w:p>
      <w:pPr>
        <w:spacing w:after="0" w:line="53"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shortages and increased labor costs;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brands that are critical to our success;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downturns in our target markets;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businesses;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inflationary trends;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meeting our sales growth objectives and innovation goals; and</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interest rates and the availability of capital.</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Investors are cautioned not to place undue reliance on any such forward-looking statements, which speak only as of the date they are made. We are under no duty to update any of these forward-looking statements after the date of this Quarterly Report on Form 10-Q to conform our prior statements to actual results or revised expectations.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 information about these factors and about the material factors or assumptions underlying such forward-looking statements is included in our Annual Report on Form 10-K for the fiscal year ended December 31, 2023, which was filed on February 7, 2024, under Part I, Item 1A. “Risk Factors” and as updated in our Quarterly Reports on Form 10-Q.</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for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9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440" w:type="dxa"/>
            <w:vAlign w:val="bottom"/>
          </w:tcPr>
          <w:p>
            <w:pPr>
              <w:spacing w:after="0"/>
              <w:rPr>
                <w:sz w:val="16"/>
                <w:szCs w:val="16"/>
                <w:color w:val="auto"/>
              </w:rPr>
            </w:pPr>
          </w:p>
        </w:tc>
      </w:tr>
      <w:tr>
        <w:trPr>
          <w:trHeight w:val="37"/>
        </w:trPr>
        <w:tc>
          <w:tcPr>
            <w:tcW w:w="786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r>
      <w:tr>
        <w:trPr>
          <w:trHeight w:val="186"/>
        </w:trPr>
        <w:tc>
          <w:tcPr>
            <w:tcW w:w="7860" w:type="dxa"/>
            <w:vAlign w:val="bottom"/>
          </w:tcPr>
          <w:p>
            <w:pPr>
              <w:spacing w:after="0"/>
              <w:rPr>
                <w:sz w:val="16"/>
                <w:szCs w:val="16"/>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6"/>
                <w:szCs w:val="16"/>
                <w:color w:val="auto"/>
              </w:rPr>
            </w:pPr>
          </w:p>
        </w:tc>
      </w:tr>
      <w:tr>
        <w:trPr>
          <w:trHeight w:val="37"/>
        </w:trPr>
        <w:tc>
          <w:tcPr>
            <w:tcW w:w="786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r>
      <w:tr>
        <w:trPr>
          <w:trHeight w:val="243"/>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party net revenues</w:t>
            </w:r>
          </w:p>
        </w:tc>
        <w:tc>
          <w:tcPr>
            <w:tcW w:w="10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78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3"/>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833</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874</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0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7"/>
        </w:trPr>
        <w:tc>
          <w:tcPr>
            <w:tcW w:w="78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3"/>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7"/>
        </w:trPr>
        <w:tc>
          <w:tcPr>
            <w:tcW w:w="7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0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7"/>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0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24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r>
      <w:tr>
        <w:trPr>
          <w:trHeight w:val="27"/>
        </w:trPr>
        <w:tc>
          <w:tcPr>
            <w:tcW w:w="7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0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7"/>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0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24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r>
      <w:tr>
        <w:trPr>
          <w:trHeight w:val="27"/>
        </w:trPr>
        <w:tc>
          <w:tcPr>
            <w:tcW w:w="7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7"/>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40" w:type="dxa"/>
            <w:vAlign w:val="bottom"/>
            <w:tcBorders>
              <w:top w:val="single" w:sz="8" w:color="auto"/>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240" w:type="dxa"/>
            <w:vAlign w:val="bottom"/>
            <w:tcBorders>
              <w:bottom w:val="single" w:sz="8" w:color="CCEEFF"/>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93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r>
      <w:tr>
        <w:trPr>
          <w:trHeight w:val="250"/>
        </w:trPr>
        <w:tc>
          <w:tcPr>
            <w:tcW w:w="78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1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43"/>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04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40" w:type="dxa"/>
            <w:vAlign w:val="bottom"/>
          </w:tcPr>
          <w:p>
            <w:pPr>
              <w:spacing w:after="0"/>
              <w:rPr>
                <w:sz w:val="21"/>
                <w:szCs w:val="21"/>
                <w:color w:val="auto"/>
              </w:rPr>
            </w:pPr>
          </w:p>
        </w:tc>
        <w:tc>
          <w:tcPr>
            <w:tcW w:w="1120" w:type="dxa"/>
            <w:vAlign w:val="bottom"/>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7"/>
        </w:trPr>
        <w:tc>
          <w:tcPr>
            <w:tcW w:w="7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78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209.9</w:t>
            </w:r>
          </w:p>
        </w:tc>
      </w:tr>
      <w:tr>
        <w:trPr>
          <w:trHeight w:val="243"/>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040" w:type="dxa"/>
            <w:vAlign w:val="bottom"/>
          </w:tcPr>
          <w:p>
            <w:pPr>
              <w:spacing w:after="0"/>
              <w:rPr>
                <w:sz w:val="21"/>
                <w:szCs w:val="21"/>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8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04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209.9</w:t>
            </w: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9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400" w:type="dxa"/>
            <w:vAlign w:val="bottom"/>
          </w:tcPr>
          <w:p>
            <w:pPr>
              <w:spacing w:after="0"/>
              <w:rPr>
                <w:sz w:val="16"/>
                <w:szCs w:val="16"/>
                <w:color w:val="auto"/>
              </w:rPr>
            </w:pPr>
          </w:p>
        </w:tc>
      </w:tr>
      <w:tr>
        <w:trPr>
          <w:trHeight w:val="37"/>
        </w:trPr>
        <w:tc>
          <w:tcPr>
            <w:tcW w:w="786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r>
      <w:tr>
        <w:trPr>
          <w:trHeight w:val="186"/>
        </w:trPr>
        <w:tc>
          <w:tcPr>
            <w:tcW w:w="7860" w:type="dxa"/>
            <w:vAlign w:val="bottom"/>
          </w:tcPr>
          <w:p>
            <w:pPr>
              <w:spacing w:after="0"/>
              <w:rPr>
                <w:sz w:val="16"/>
                <w:szCs w:val="16"/>
                <w:color w:val="auto"/>
              </w:rPr>
            </w:pPr>
          </w:p>
        </w:tc>
        <w:tc>
          <w:tcPr>
            <w:tcW w:w="112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6"/>
                <w:szCs w:val="16"/>
                <w:color w:val="auto"/>
              </w:rPr>
            </w:pPr>
          </w:p>
        </w:tc>
      </w:tr>
      <w:tr>
        <w:trPr>
          <w:trHeight w:val="37"/>
        </w:trPr>
        <w:tc>
          <w:tcPr>
            <w:tcW w:w="786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r>
      <w:tr>
        <w:trPr>
          <w:trHeight w:val="243"/>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income taxes:</w:t>
            </w: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benefit plans</w:t>
            </w:r>
          </w:p>
        </w:tc>
        <w:tc>
          <w:tcPr>
            <w:tcW w:w="11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7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1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7"/>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income taxes</w:t>
            </w:r>
          </w:p>
        </w:tc>
        <w:tc>
          <w:tcPr>
            <w:tcW w:w="11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78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71"/>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12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for per share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5"/>
                <w:szCs w:val="15"/>
                <w:color w:val="auto"/>
              </w:rPr>
            </w:pPr>
          </w:p>
        </w:tc>
        <w:tc>
          <w:tcPr>
            <w:tcW w:w="158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62"/>
        </w:trPr>
        <w:tc>
          <w:tcPr>
            <w:tcW w:w="7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8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7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$1 and $1)</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7"/>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1,091</w:t>
            </w:r>
          </w:p>
        </w:tc>
        <w:tc>
          <w:tcPr>
            <w:tcW w:w="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 of $918 and $897)</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7"/>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4,858</w:t>
            </w:r>
          </w:p>
        </w:tc>
        <w:tc>
          <w:tcPr>
            <w:tcW w:w="2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4,780</w:t>
            </w:r>
          </w:p>
        </w:tc>
        <w:tc>
          <w:tcPr>
            <w:tcW w:w="0" w:type="dxa"/>
            <w:vAlign w:val="bottom"/>
          </w:tcPr>
          <w:p>
            <w:pPr>
              <w:spacing w:after="0"/>
              <w:rPr>
                <w:sz w:val="1"/>
                <w:szCs w:val="1"/>
                <w:color w:val="auto"/>
              </w:rPr>
            </w:pPr>
          </w:p>
        </w:tc>
      </w:tr>
      <w:tr>
        <w:trPr>
          <w:trHeight w:val="34"/>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 payables</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517</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478</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postretirement benefit obligation</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2,869</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2,797</w:t>
            </w:r>
          </w:p>
        </w:tc>
        <w:tc>
          <w:tcPr>
            <w:tcW w:w="0" w:type="dxa"/>
            <w:vAlign w:val="bottom"/>
          </w:tcPr>
          <w:p>
            <w:pPr>
              <w:spacing w:after="0"/>
              <w:rPr>
                <w:sz w:val="1"/>
                <w:szCs w:val="1"/>
                <w:color w:val="auto"/>
              </w:rPr>
            </w:pPr>
          </w:p>
        </w:tc>
      </w:tr>
      <w:tr>
        <w:trPr>
          <w:trHeight w:val="243"/>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$0.001 par value; 2,000 shares authorized; 210.1 shares issued and outstanding</w:t>
            </w:r>
          </w:p>
        </w:tc>
        <w:tc>
          <w:tcPr>
            <w:tcW w:w="200" w:type="dxa"/>
            <w:vAlign w:val="bottom"/>
          </w:tcPr>
          <w:p>
            <w:pPr>
              <w:spacing w:after="0"/>
              <w:rPr>
                <w:sz w:val="21"/>
                <w:szCs w:val="21"/>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1,989</w:t>
            </w:r>
          </w:p>
        </w:tc>
        <w:tc>
          <w:tcPr>
            <w:tcW w:w="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1,983</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4,858</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4,780</w:t>
            </w:r>
          </w:p>
        </w:tc>
        <w:tc>
          <w:tcPr>
            <w:tcW w:w="0" w:type="dxa"/>
            <w:vAlign w:val="bottom"/>
          </w:tcPr>
          <w:p>
            <w:pPr>
              <w:spacing w:after="0"/>
              <w:rPr>
                <w:sz w:val="1"/>
                <w:szCs w:val="1"/>
                <w:color w:val="auto"/>
              </w:rPr>
            </w:pPr>
          </w:p>
        </w:tc>
      </w:tr>
      <w:tr>
        <w:trPr>
          <w:trHeight w:val="27"/>
        </w:trPr>
        <w:tc>
          <w:tcPr>
            <w:tcW w:w="76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for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5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5"/>
                <w:szCs w:val="15"/>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5"/>
                <w:szCs w:val="15"/>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5"/>
                <w:szCs w:val="15"/>
                <w:color w:val="auto"/>
              </w:rPr>
            </w:pPr>
          </w:p>
        </w:tc>
        <w:tc>
          <w:tcPr>
            <w:tcW w:w="82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7"/>
                <w:szCs w:val="17"/>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20" w:type="dxa"/>
            <w:vAlign w:val="bottom"/>
          </w:tcPr>
          <w:p>
            <w:pPr>
              <w:spacing w:after="0"/>
              <w:rPr>
                <w:sz w:val="17"/>
                <w:szCs w:val="17"/>
                <w:color w:val="auto"/>
              </w:rPr>
            </w:pPr>
          </w:p>
        </w:tc>
        <w:tc>
          <w:tcPr>
            <w:tcW w:w="8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5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1,385</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431</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1,868</w:t>
            </w:r>
          </w:p>
        </w:tc>
        <w:tc>
          <w:tcPr>
            <w:tcW w:w="0" w:type="dxa"/>
            <w:vAlign w:val="bottom"/>
          </w:tcPr>
          <w:p>
            <w:pPr>
              <w:spacing w:after="0"/>
              <w:rPr>
                <w:sz w:val="1"/>
                <w:szCs w:val="1"/>
                <w:color w:val="auto"/>
              </w:rPr>
            </w:pPr>
          </w:p>
        </w:tc>
      </w:tr>
      <w:tr>
        <w:trPr>
          <w:trHeight w:val="243"/>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loss, net of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($0.23 per share declared and paid)</w:t>
            </w:r>
          </w:p>
        </w:tc>
        <w:tc>
          <w:tcPr>
            <w:tcW w:w="18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7"/>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2023</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1,386</w:t>
            </w:r>
          </w:p>
        </w:tc>
        <w:tc>
          <w:tcPr>
            <w:tcW w:w="1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400</w:t>
            </w:r>
          </w:p>
        </w:tc>
        <w:tc>
          <w:tcPr>
            <w:tcW w:w="1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1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1,825</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1,396</w:t>
            </w:r>
          </w:p>
        </w:tc>
        <w:tc>
          <w:tcPr>
            <w:tcW w:w="1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537</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4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1,983</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43"/>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net of income taxes</w:t>
            </w:r>
          </w:p>
        </w:tc>
        <w:tc>
          <w:tcPr>
            <w:tcW w:w="18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($0.23 per share declared and paid)</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43"/>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1,399</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537</w:t>
            </w: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p>
      <w:pPr>
        <w:jc w:val="center"/>
        <w:ind w:left="78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78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33020</wp:posOffset>
            </wp:positionV>
            <wp:extent cx="21431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108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786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3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provided by operating activities</w:t>
            </w:r>
          </w:p>
        </w:tc>
        <w:tc>
          <w:tcPr>
            <w:tcW w:w="10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7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operating cash flows:</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7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0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7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7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1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1080" w:type="dxa"/>
            <w:vAlign w:val="bottom"/>
          </w:tcPr>
          <w:p>
            <w:pPr>
              <w:spacing w:after="0"/>
              <w:rPr>
                <w:sz w:val="21"/>
                <w:szCs w:val="21"/>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7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7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 payables</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payable / receivable</w:t>
            </w:r>
          </w:p>
        </w:tc>
        <w:tc>
          <w:tcPr>
            <w:tcW w:w="10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7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1080" w:type="dxa"/>
            <w:vAlign w:val="bottom"/>
          </w:tcPr>
          <w:p>
            <w:pPr>
              <w:spacing w:after="0"/>
              <w:rPr>
                <w:sz w:val="21"/>
                <w:szCs w:val="21"/>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78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0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2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used in investing activities</w:t>
            </w:r>
          </w:p>
        </w:tc>
        <w:tc>
          <w:tcPr>
            <w:tcW w:w="10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7"/>
        </w:trPr>
        <w:tc>
          <w:tcPr>
            <w:tcW w:w="7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of property, plant and equipment</w:t>
            </w:r>
          </w:p>
        </w:tc>
        <w:tc>
          <w:tcPr>
            <w:tcW w:w="10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7"/>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2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r>
      <w:tr>
        <w:trPr>
          <w:trHeight w:val="27"/>
        </w:trPr>
        <w:tc>
          <w:tcPr>
            <w:tcW w:w="78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used in financing activities</w:t>
            </w:r>
          </w:p>
        </w:tc>
        <w:tc>
          <w:tcPr>
            <w:tcW w:w="10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1080" w:type="dxa"/>
            <w:vAlign w:val="bottom"/>
          </w:tcPr>
          <w:p>
            <w:pPr>
              <w:spacing w:after="0"/>
              <w:rPr>
                <w:sz w:val="21"/>
                <w:szCs w:val="21"/>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7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10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8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0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2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r>
      <w:tr>
        <w:trPr>
          <w:trHeight w:val="237"/>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0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7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77"/>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1080" w:type="dxa"/>
            <w:vAlign w:val="bottom"/>
            <w:tcBorders>
              <w:top w:val="single" w:sz="8" w:color="auto"/>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w:t>
            </w:r>
          </w:p>
        </w:tc>
        <w:tc>
          <w:tcPr>
            <w:tcW w:w="24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r>
      <w:tr>
        <w:trPr>
          <w:trHeight w:val="250"/>
        </w:trPr>
        <w:tc>
          <w:tcPr>
            <w:tcW w:w="78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 long-term debt, net of interest rate swaps</w:t>
            </w:r>
          </w:p>
        </w:tc>
        <w:tc>
          <w:tcPr>
            <w:tcW w:w="10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78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 and Basis of Presentation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Business: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Reynolds Consumer Products Inc. and its subsidiaries (“we”, “us” or “our”) produce and sell products across three broad categories: cooking products, waste and storage products and tableware. We sell our products under brands such as Reynolds and Hefty, and also under store brands. Our product portfolio includes aluminum foil, wraps, disposable bakeware, trash bags, food storage bags and disposable tableware. We report four business segments: Reynolds Cooking &amp; Baking; Hefty Waste &amp; Storage; Hefty Tableware; and Presto Products.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prepared the accompanying unaudited condensed consolidated financial statements in accordance with United States generally accepted accounting principles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GAAP”) for interim financial information and the instructions to the Quarterly Report on Form 10-Q and Article 10 of Regulation S-X issued by the U.S. Securities and Exchange Commission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SEC”). Accordingly, they do not include all of the information and notes required by GAAP for comprehensive annual financial statements.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policies described in our Annual Report on Form 10-K for the year ended December 31, 2023, and should be read in conjunction with the disclosures therein. In our opinion, these interim condensed consolidated financial statements reflect all adjustments, consisting of normal recurring adjustments, necessary to state fairly the financial condition, results of operations and cash flows for the periods presented. Operating results for interim periods are not necessarily indicative of annual operating results.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Non-Cash Lease Transactions: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We recorded $32 million in operating lease right-of-use assets obtained in exchange for lease liabilities during the three months ended March 31, 2024. Operating lease right-of-use assets obtained in exchange for lease liabilities during the three months ended March 31, 2023, as well as finance lease right-of-use assets obtained in exchange for lease liabilities during the three months ended March 31, 2024 and 2023, were not material.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Supply Chain Financing: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March 2023, we initiated a voluntary Supply Chain Finance program (the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SCF”) with a global financial institution (the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SCF Bank”). Under the SCF, qualifying suppliers may elect to sell their receivables from us to the SCF Bank. These participating suppliers negotiate their receivables sales arrangements directly with the SCF Bank. We are not party to those agreements, nor do we provide any security or other forms of guarantees to the SCF Bank. The participation in the program is at the sole discretion of the supplier, we have no economic interest in a supplier’s decision to enter into the agreement and have no direct financial relationship with the SCF Bank, as it relates to the SCF. Once a qualifying supplier elects to participate in the SCF and reaches an agreement with the SCF Bank, they elect which individual invoices they sell to the SCF Bank.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our payment obligations are not impacted by a supplier’s participation in the SCF and as such, the SCF has no impact on our balance sheets, cash flows, or liquidity. Our payment terms with our suppliers for similar services and materials within individual markets are consistent between suppliers that elect to participate in the SCF and those that do not participate.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All outstanding amounts related to suppliers participating in the SCF are recorded within accounts payable in our condensed consolidated balance sheet and associated payments are included as an operating cash flow in the condensed consolidated statement of cash flows. </w:t>
      </w:r>
      <w:r>
        <w:rPr>
          <w:rFonts w:ascii="Times New Roman" w:cs="Times New Roman" w:eastAsia="Times New Roman" w:hAnsi="Times New Roman"/>
          <w:sz w:val="18"/>
          <w:szCs w:val="18"/>
          <w:color w:val="212529"/>
        </w:rPr>
        <w:t>As of</w:t>
      </w:r>
      <w:r>
        <w:rPr>
          <w:rFonts w:ascii="Times New Roman" w:cs="Times New Roman" w:eastAsia="Times New Roman" w:hAnsi="Times New Roman"/>
          <w:sz w:val="18"/>
          <w:szCs w:val="18"/>
          <w:color w:val="auto"/>
        </w:rPr>
        <w:t xml:space="preserve"> March 31, 2024</w:t>
      </w:r>
      <w:r>
        <w:rPr>
          <w:rFonts w:ascii="Times New Roman" w:cs="Times New Roman" w:eastAsia="Times New Roman" w:hAnsi="Times New Roman"/>
          <w:sz w:val="18"/>
          <w:szCs w:val="18"/>
          <w:color w:val="212529"/>
        </w:rPr>
        <w:t>, the amount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obligations outstanding that we have confirmed as valid under the SCF was $9 million. As of March 31, 2023, there were no obligations outstanding that we had confirmed as valid under the SCF.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 2 – New Accounting Standards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Guidance: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2022, the Financial Accounting Standards Board (“FASB”) issued Accounting Standards Update (“ASU”) 2022-04, </w:t>
      </w:r>
      <w:r>
        <w:rPr>
          <w:rFonts w:ascii="Times New Roman" w:cs="Times New Roman" w:eastAsia="Times New Roman" w:hAnsi="Times New Roman"/>
          <w:sz w:val="18"/>
          <w:szCs w:val="18"/>
          <w:i w:val="1"/>
          <w:iCs w:val="1"/>
          <w:color w:val="auto"/>
        </w:rPr>
        <w:t>Liabilities - Supplier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Finance Programs (Subtopic 405-50): Disclosure of Supplier Finance Program Obligations</w:t>
      </w:r>
      <w:r>
        <w:rPr>
          <w:rFonts w:ascii="Times New Roman" w:cs="Times New Roman" w:eastAsia="Times New Roman" w:hAnsi="Times New Roman"/>
          <w:sz w:val="18"/>
          <w:szCs w:val="18"/>
          <w:color w:val="auto"/>
        </w:rPr>
        <w:t>. These amendments require disclosure of the key terms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supplier finance programs and a rollforward of the related obligations. These amendments were effective for fiscal years beginning after December 31, 2022, except for the amendment on rollforward information, which is effective for fiscal years beginning after December 31, 2023. We adopted the standard as of January 1, 2023, other than the amendment on rollforward information, which will be adopted prospectively in our Annual Report on Form 10-K for the year ending December 31, 2024 as required. The adoption relates to disclosure only, and does not have an impact on our condensed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Guidance Issued But Not Yet Adopted: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FASB issued ASU 2023-07, </w:t>
      </w:r>
      <w:r>
        <w:rPr>
          <w:rFonts w:ascii="Times New Roman" w:cs="Times New Roman" w:eastAsia="Times New Roman" w:hAnsi="Times New Roman"/>
          <w:sz w:val="18"/>
          <w:szCs w:val="18"/>
          <w:i w:val="1"/>
          <w:iCs w:val="1"/>
          <w:color w:val="auto"/>
        </w:rPr>
        <w:t>Segment Reporting (Topic 280)</w:t>
      </w:r>
      <w:r>
        <w:rPr>
          <w:rFonts w:ascii="Times New Roman" w:cs="Times New Roman" w:eastAsia="Times New Roman" w:hAnsi="Times New Roman"/>
          <w:sz w:val="18"/>
          <w:szCs w:val="18"/>
          <w:color w:val="auto"/>
        </w:rPr>
        <w:t>, which enhances disclosures about significant segment expenses by requiring disclosure of incremental segment information on an annual and interim basis. This ASU is effective for fiscal years beginning after December 15, 2023, and interim periods within fiscal years beginning after December 15, 2024, with early adoption permitted. We are currently assessing the impact of this standard on our consolidated financial statements.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FASB issued ASU 2023-09,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which enhances disclosures within the income tax rate reconciliation and information disclosed related to income taxes paid, and requires disaggregation of certain financial statement captions between domestic, foreign, federal and state. This ASU is effective for annual periods beginning after December 15, 2024, with early adoption permitted. We are currently assessing the impact of this standard on our consolidated financial statements.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March 2024, the SEC adopted final rules under SEC Release No. 33-11275, </w:t>
      </w:r>
      <w:r>
        <w:rPr>
          <w:rFonts w:ascii="Times New Roman" w:cs="Times New Roman" w:eastAsia="Times New Roman" w:hAnsi="Times New Roman"/>
          <w:sz w:val="18"/>
          <w:szCs w:val="18"/>
          <w:i w:val="1"/>
          <w:iCs w:val="1"/>
          <w:color w:val="auto"/>
        </w:rPr>
        <w:t>The Enhancement and Standardization of Climate-Related Disclosures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Investors</w:t>
      </w:r>
      <w:r>
        <w:rPr>
          <w:rFonts w:ascii="Times New Roman" w:cs="Times New Roman" w:eastAsia="Times New Roman" w:hAnsi="Times New Roman"/>
          <w:sz w:val="18"/>
          <w:szCs w:val="18"/>
          <w:color w:val="auto"/>
        </w:rPr>
        <w:t>, which will require public companies to include climate-related disclosures in their annual reports and registration statements. The final rules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 among other matters, information about climate-related risks that have materially impacted, or are reasonably likely to have a material impact on, a registrant, including on its strategy, results of operations, or financial condition. In addition, under the final rules, certain disclosures related to severe weather events and other natural conditions will be required in the audited financial statements. The disclosure requirements related to financial statements are expected to be effective for our Annual Report on Form 10-K for the fiscal year ended December 31, 2025. We are currently assessing the impact of these rules on our consolidated financial statements and related disclosures.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7860" w:type="dxa"/>
            <w:vAlign w:val="bottom"/>
          </w:tcPr>
          <w:p>
            <w:pPr>
              <w:spacing w:after="0"/>
              <w:rPr>
                <w:sz w:val="16"/>
                <w:szCs w:val="16"/>
                <w:color w:val="auto"/>
              </w:rPr>
            </w:pP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50"/>
        </w:trPr>
        <w:tc>
          <w:tcPr>
            <w:tcW w:w="786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3"/>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186"/>
        </w:trPr>
        <w:tc>
          <w:tcPr>
            <w:tcW w:w="78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60" w:type="dxa"/>
            <w:vAlign w:val="bottom"/>
          </w:tcPr>
          <w:p>
            <w:pPr>
              <w:spacing w:after="0"/>
              <w:rPr>
                <w:sz w:val="16"/>
                <w:szCs w:val="16"/>
                <w:color w:val="auto"/>
              </w:rPr>
            </w:pPr>
          </w:p>
        </w:tc>
      </w:tr>
      <w:tr>
        <w:trPr>
          <w:trHeight w:val="37"/>
        </w:trPr>
        <w:tc>
          <w:tcPr>
            <w:tcW w:w="78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11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7"/>
        </w:trPr>
        <w:tc>
          <w:tcPr>
            <w:tcW w:w="78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Spare parts</w:t>
            </w:r>
          </w:p>
        </w:tc>
        <w:tc>
          <w:tcPr>
            <w:tcW w:w="11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7"/>
        </w:trPr>
        <w:tc>
          <w:tcPr>
            <w:tcW w:w="78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1"/>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1160" w:type="dxa"/>
            <w:vAlign w:val="bottom"/>
            <w:tcBorders>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570</w:t>
            </w:r>
          </w:p>
        </w:tc>
        <w:tc>
          <w:tcPr>
            <w:tcW w:w="2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Note 4 –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14"/>
                <w:szCs w:val="14"/>
                <w:color w:val="auto"/>
              </w:rPr>
            </w:pPr>
          </w:p>
        </w:tc>
        <w:tc>
          <w:tcPr>
            <w:tcW w:w="126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7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50"/>
        </w:trPr>
        <w:tc>
          <w:tcPr>
            <w:tcW w:w="786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gridSpan w:val="3"/>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186"/>
        </w:trPr>
        <w:tc>
          <w:tcPr>
            <w:tcW w:w="7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60" w:type="dxa"/>
            <w:vAlign w:val="bottom"/>
          </w:tcPr>
          <w:p>
            <w:pPr>
              <w:spacing w:after="0"/>
              <w:rPr>
                <w:sz w:val="16"/>
                <w:szCs w:val="16"/>
                <w:color w:val="auto"/>
              </w:rPr>
            </w:pPr>
          </w:p>
        </w:tc>
      </w:tr>
      <w:tr>
        <w:trPr>
          <w:trHeight w:val="37"/>
        </w:trPr>
        <w:tc>
          <w:tcPr>
            <w:tcW w:w="7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financing transaction costs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7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Original issue discounts</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78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2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w:t>
            </w:r>
          </w:p>
        </w:tc>
      </w:tr>
      <w:tr>
        <w:trPr>
          <w:trHeight w:val="27"/>
        </w:trPr>
        <w:tc>
          <w:tcPr>
            <w:tcW w:w="7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1,833</w:t>
            </w:r>
          </w:p>
        </w:tc>
        <w:tc>
          <w:tcPr>
            <w:tcW w:w="240" w:type="dxa"/>
            <w:vAlign w:val="bottom"/>
          </w:tcPr>
          <w:p>
            <w:pPr>
              <w:spacing w:after="0"/>
              <w:rPr>
                <w:sz w:val="23"/>
                <w:szCs w:val="23"/>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1,832</w:t>
            </w:r>
          </w:p>
        </w:tc>
      </w:tr>
    </w:tbl>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External Debt Facilities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2020, we entered into new external debt facilities (“External Debt Facilities”), which consist of (i) a $2,475 million senior secured term loan facility (“Term Loan Facility”); and (ii) a $250 million senior secured revolving credit facility (“Revolving Facility”). In February 2023, we amended the External Debt Facilities (“Amendment No. 1”) which replaced the interest rate benchmark from the London Interbank Offered Rate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LIBOR”) to the Secured Overnight Financing Rate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SOFR”). Additionally, in November 2023, we further amended the External Debt Facilities (“Amendment No. 2”) to extend the maturity of the Revolving Facility by one year. Other than the foregoing, the material terms of the External Debt Facilities, as amended by Amendment No. 1 and Amendment No. 2 (“Amended External Debt Facilities”) remain unchanged, and our election to use practical expedients under ASU 2020-04 and ASU 2021-01 resulted in no material impacts on our condensed consolidated financial statements.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Borrowings under the Amended External Debt Facilities bear interest at a rate per annum equal to, at our option, either a base rate plus an applicable margin of 0.75% or a SOFR plus an applicable margin of 1.75%. We have entered into a series of interest rate swaps to hedge a portion of the interest rate exposure resulting from these borrowings. Refer to Note 5 – Financial Instruments for further details.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Amended External Debt Facilities contain a springing financial covenant requiring compliance with a ratio of first lien net indebtedness to consolidated EBITDA, applicable solely to the Revolving Facility. The financial covenant is tested on the last day of any fiscal quarter only if the aggregate principal amount of borrowings under the Revolving Facility and drawn but unreimbursed letters of credit exceed 35% of the total amount of commitments under the Revolving Facility on such day. We are currently in compliance with the covenants contained in our Amended External Debt Facilities.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 event of default occurs, the lenders under the Amended External Debt Facilities are entitled to take various actions, including the acceleration of amounts due under the Amended External Debt Facilities and all actions permitted to be taken by secured creditors.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Facility</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Loan Facility matures in February 2027. The Term Loan Facility amortizes in equal quarterly installments of $6 million, which commenced in June 2020, with the balance payable on maturity. During the year ended December 31, 2023, we made voluntary principal payments of $250 million on our Term Loan Facility, which were first applied to pay the remaining quarterly amortization payments in full, with the residual balance applied to the outstanding principal balance due at maturity.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Facility</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2023, we amended the External Debt Facilities to extend the maturity date of the Revolving Facility by one year. The Revolving Facility matures in February 2026 and includes a sub-facility for letters of credit. As of March 31, 2024, we had no outstanding borrowings under the Revolving Facility, and we had $6 million of letters of credit outstanding, which reduces the borrowing capacity under the Revolving Facility.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11" w:name="page12"/>
    <w:bookmarkEnd w:id="11"/>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Our Long-Term Debt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our long-term debt as of March 31, 2024, which is a Level 2 fair value measurement, approximates the carrying value due to the variable market interest rate and the stability of our credit profile.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Financial Instruments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Derivatives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2020 and 2022, we entered into a series of interest rate swaps to fix the LIBOR of our External Debt Facilities. In February 2023, we amended our interest rate swaps to replace the interest rate benchmark from the LIBOR to SOFR. Other than the foregoing, the material terms of the interest rate swap agreements remained unchanged, and our election to use practical expedients under ASUs 2020-04 and 2021-01 resulted in no material impacts on our condensed consolidated financial statements. The aggregate notional amount of the interest rate swaps still in effect as of March 31, 2024 was $1,150 million, and the SOFR is fixed at an annual rate of 0.40% to 3.40% (for an annual effective interest rate of 2.15% to 5.15%, including margin).</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interest rate swaps outstanding as of March 31, 2024 hedge a portion of the interest rate exposure resulting from our Term Loan Facility for a period of approximately two years. We classified these instruments as cash flow hedges. The effective portion of the gain or loss on the open hedging instrument is recorded in accumulated other comprehensive income and is reclassified into earnings as interest expense, net when settled. The associated asset or liability on the open hedges is recorded at its fair value in other assets or other liabilities, as applicable. The fair value of the interest rate swaps was determined using a discounted cash flow method based on market-based swap yield curves, taking into account current interest rates, and is classified as Level 2 within the fair value hierarchy.</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notional amounts, the annual rates, the weighted average annual effective rates, and the fair value of our interest rate derivatives: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80" w:type="dxa"/>
            <w:vAlign w:val="bottom"/>
          </w:tcPr>
          <w:p>
            <w:pPr>
              <w:spacing w:after="0"/>
              <w:rPr>
                <w:sz w:val="15"/>
                <w:szCs w:val="15"/>
                <w:color w:val="auto"/>
              </w:rPr>
            </w:pPr>
          </w:p>
        </w:tc>
        <w:tc>
          <w:tcPr>
            <w:tcW w:w="15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 Value - Other</w:t>
            </w: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Annual</w:t>
            </w:r>
          </w:p>
        </w:tc>
        <w:tc>
          <w:tcPr>
            <w:tcW w:w="18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7"/>
                <w:szCs w:val="17"/>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Annual Rate</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Effective Rate</w:t>
            </w:r>
          </w:p>
        </w:tc>
        <w:tc>
          <w:tcPr>
            <w:tcW w:w="180" w:type="dxa"/>
            <w:vAlign w:val="bottom"/>
          </w:tcPr>
          <w:p>
            <w:pPr>
              <w:spacing w:after="0"/>
              <w:rPr>
                <w:sz w:val="17"/>
                <w:szCs w:val="17"/>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 Other Assets</w:t>
            </w:r>
          </w:p>
        </w:tc>
        <w:tc>
          <w:tcPr>
            <w:tcW w:w="0" w:type="dxa"/>
            <w:vAlign w:val="bottom"/>
          </w:tcPr>
          <w:p>
            <w:pPr>
              <w:spacing w:after="0"/>
              <w:rPr>
                <w:sz w:val="1"/>
                <w:szCs w:val="1"/>
                <w:color w:val="auto"/>
              </w:rPr>
            </w:pPr>
          </w:p>
        </w:tc>
      </w:tr>
      <w:tr>
        <w:trPr>
          <w:trHeight w:val="23"/>
        </w:trPr>
        <w:tc>
          <w:tcPr>
            <w:tcW w:w="2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March 31, 2024</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2.15% to 5.15%</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of December 31, 2023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21"/>
                <w:szCs w:val="21"/>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2.15% to 5.15%</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4.38%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1"/>
                <w:szCs w:val="21"/>
                <w:color w:val="auto"/>
              </w:rPr>
            </w:pPr>
          </w:p>
        </w:tc>
        <w:tc>
          <w:tcPr>
            <w:tcW w:w="740" w:type="dxa"/>
            <w:vAlign w:val="bottom"/>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Stock-based Compensation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equity incentive plan was established in 2020, for purposes of granting stock-based compensation awards to certain members of our senior management, our non-executive directors and to certain employees, to incentivize their performance and align their interests with ours. We have granted restricted stock units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RSUs”) to certain employees and non-employee directors that have a service-based vesting condition. In addition, we have granted performance stock units (“PSUs”) to certain members of management that have a performance-based vesting condition. We account for forfeitures of outstanding but unvested grants in the period they occur. A maximum of 10.5 million shares of common stock were initially available for issuance under equity incentive awards granted pursuant to the plan. In the three months ended March 31, 2024, 0.3 million RSUs and 0.3 million PSUs were granted.</w:t>
      </w:r>
    </w:p>
    <w:p>
      <w:pPr>
        <w:spacing w:after="0" w:line="2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2024, there were stock-based compensation awards representing 1.4 million shares outstanding compared to 0.8 million shares outstanding as of December 31, 2023. Stock-based compensation expense was $4 million for the three months ended March 31, 2024 compared to $3 million for the three months ended March 31, 2023.</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Note 7 –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from time to time party to litigation, legal proceedings and tax examinations arising from our operations. Most of these matters involve allegations of damages against us relating to employment matters, consumer complaints, advertising/labelling claims, personal injury and commercial or contractual disputes. We record estimates for claims and proceedings that constitute a present obligation when it is probable that an outflow of resources will be required to settle the obligation and a reliable estimate of such obligation can be made. While it is not possible to predict the outcome of any of these matters, based on our assessment of the facts and circumstances as of March 31, 2024, we do not believe any of these matters, individually or in the aggregate, will have a material adverse effect on our financial position, results of operations or cash flows. However, actual outcomes may differ from those expected and could have a material effect on our financial position, results of operations or cash flows in a future period.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Accumulated Other Comprehensive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our balances of each component of accumulated other comprehensive income.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20" w:type="dxa"/>
            <w:vAlign w:val="bottom"/>
          </w:tcPr>
          <w:p>
            <w:pPr>
              <w:spacing w:after="0"/>
              <w:rPr>
                <w:sz w:val="15"/>
                <w:szCs w:val="15"/>
                <w:color w:val="auto"/>
              </w:rPr>
            </w:pP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Currency Translation</w:t>
            </w:r>
          </w:p>
        </w:tc>
        <w:tc>
          <w:tcPr>
            <w:tcW w:w="160" w:type="dxa"/>
            <w:vAlign w:val="bottom"/>
          </w:tcPr>
          <w:p>
            <w:pPr>
              <w:spacing w:after="0"/>
              <w:rPr>
                <w:sz w:val="15"/>
                <w:szCs w:val="15"/>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Employee Benefit</w:t>
            </w:r>
          </w:p>
        </w:tc>
        <w:tc>
          <w:tcPr>
            <w:tcW w:w="22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20" w:type="dxa"/>
            <w:vAlign w:val="bottom"/>
          </w:tcPr>
          <w:p>
            <w:pPr>
              <w:spacing w:after="0"/>
              <w:rPr>
                <w:sz w:val="15"/>
                <w:szCs w:val="15"/>
                <w:color w:val="auto"/>
              </w:rPr>
            </w:pPr>
          </w:p>
        </w:tc>
        <w:tc>
          <w:tcPr>
            <w:tcW w:w="136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Accumulated Other</w:t>
            </w:r>
          </w:p>
        </w:tc>
      </w:tr>
      <w:tr>
        <w:trPr>
          <w:trHeight w:val="190"/>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6"/>
                <w:szCs w:val="16"/>
                <w:color w:val="auto"/>
              </w:rPr>
            </w:pPr>
          </w:p>
        </w:tc>
        <w:tc>
          <w:tcPr>
            <w:tcW w:w="14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w:t>
            </w:r>
          </w:p>
        </w:tc>
      </w:tr>
      <w:tr>
        <w:trPr>
          <w:trHeight w:val="37"/>
        </w:trPr>
        <w:tc>
          <w:tcPr>
            <w:tcW w:w="50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44"/>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arising during the period</w:t>
            </w:r>
          </w:p>
        </w:tc>
        <w:tc>
          <w:tcPr>
            <w:tcW w:w="240" w:type="dxa"/>
            <w:vAlign w:val="bottom"/>
          </w:tcPr>
          <w:p>
            <w:pPr>
              <w:spacing w:after="0"/>
              <w:rPr>
                <w:sz w:val="21"/>
                <w:szCs w:val="21"/>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Reclassification to earnings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deferred taxes</w:t>
            </w:r>
          </w:p>
        </w:tc>
        <w:tc>
          <w:tcPr>
            <w:tcW w:w="240" w:type="dxa"/>
            <w:vAlign w:val="bottom"/>
          </w:tcPr>
          <w:p>
            <w:pPr>
              <w:spacing w:after="0"/>
              <w:rPr>
                <w:sz w:val="21"/>
                <w:szCs w:val="21"/>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5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2023</w:t>
            </w: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r>
      <w:tr>
        <w:trPr>
          <w:trHeight w:val="257"/>
        </w:trPr>
        <w:tc>
          <w:tcPr>
            <w:tcW w:w="5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(loss) arising during the period</w:t>
            </w:r>
          </w:p>
        </w:tc>
        <w:tc>
          <w:tcPr>
            <w:tcW w:w="240" w:type="dxa"/>
            <w:vAlign w:val="bottom"/>
          </w:tcPr>
          <w:p>
            <w:pPr>
              <w:spacing w:after="0"/>
              <w:rPr>
                <w:sz w:val="21"/>
                <w:szCs w:val="21"/>
                <w:color w:val="auto"/>
              </w:rPr>
            </w:pPr>
          </w:p>
        </w:tc>
        <w:tc>
          <w:tcPr>
            <w:tcW w:w="12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Reclassification to earnings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deferred taxes</w:t>
            </w:r>
          </w:p>
        </w:tc>
        <w:tc>
          <w:tcPr>
            <w:tcW w:w="240" w:type="dxa"/>
            <w:vAlign w:val="bottom"/>
          </w:tcPr>
          <w:p>
            <w:pPr>
              <w:spacing w:after="0"/>
              <w:rPr>
                <w:sz w:val="21"/>
                <w:szCs w:val="21"/>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5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(8)</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9 – Segment Information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Chief Executive Officer, who has been identified as our Chief Operating Decision Maker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CODM”), has evaluated how he views and measures our performance. In applying the criteria set forth in the standards for reporting information about segments in financial statements, we have determined that we have four reportable segments - Reynolds Cooking &amp; Baking, Hefty Waste &amp; Storage, Hefty Tableware and Presto Products. The key factors used to identify these reportable segments are the organization and alignment of our internal operations and the nature of our products. This reflects how our CODM monitors performance, allocates capital and makes strategic and operational decisions. Our segments are described as follows: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Reynolds Cooking &amp; Baking</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Reynolds Cooking &amp; Baking segment produces branded and store brand aluminum foil, disposable aluminum pans, parchment paper, freezer paper, wax paper, butcher paper, plastic wrap, baking cups, oven bags and slow cooker liners. Our branded products are sold under the Reynolds Wrap, Reynolds KITCHENS and EZ Foil brands in the United States and selected international markets, under the ALCAN brand in Canada and under the Diamond brand outside of North America.</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Waste &amp; Storage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Hefty Waste &amp; Storage segment produces both branded and store brand trash and food storage bags. Our branded products are sold under the Hefty Ultra Strong and Hefty Strong brands for trash bags, and as the Hefty and Baggies brands for our food storage bags.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Tableware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Hefty Tableware segment sells both branded and store brand disposable and compostable plates, bowls, platters, cups and cutlery. Our Hefty branded products include dishes and party cups.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Presto Products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Presto Products segment primarily sells store brand products in four main categories: food storage bags, trash bags, reusable storage containers and plastic wrap. Our Presto Products segment also includes our specialty business, which serves other consumer products companies by providing Fresh-Lock and Slide-Rite resealable closure systems.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by Segment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present segment adjusted EBITDA (“Adjusted EBITDA”) as this is the financial measure by which management and our CODM allocate resources and analyze the performance of our reportable segments.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EBITDA represents each segment’s earnings before interest, tax, depreciation and amortization and may be further adjusted to exclude certain non-recurring costs, if applicable.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assets by segment are those assets directly associated with the respective operating activities, comprising inventory, property, plant and equipment and operating lease right-of-use assets. Other assets, such as cash, accounts receivable and intangible assets, are monitored on an entity-wide basis and not included in segment information that is regularly reviewed by our CODM.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between segments are at negotiated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75"/>
        </w:trPr>
        <w:tc>
          <w:tcPr>
            <w:tcW w:w="3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Presto</w:t>
            </w:r>
          </w:p>
        </w:tc>
        <w:tc>
          <w:tcPr>
            <w:tcW w:w="160" w:type="dxa"/>
            <w:vAlign w:val="bottom"/>
          </w:tcPr>
          <w:p>
            <w:pPr>
              <w:spacing w:after="0"/>
              <w:rPr>
                <w:sz w:val="15"/>
                <w:szCs w:val="15"/>
                <w:color w:val="auto"/>
              </w:rPr>
            </w:pPr>
          </w:p>
        </w:tc>
        <w:tc>
          <w:tcPr>
            <w:tcW w:w="9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Cooking</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Waste &amp;</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18"/>
                <w:szCs w:val="18"/>
                <w:b w:val="1"/>
                <w:bCs w:val="1"/>
                <w:color w:val="auto"/>
                <w:vertAlign w:val="superscript"/>
              </w:rPr>
              <w:t>(1)</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3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&amp; Baking</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835</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833</w:t>
            </w:r>
          </w:p>
        </w:tc>
        <w:tc>
          <w:tcPr>
            <w:tcW w:w="0" w:type="dxa"/>
            <w:vAlign w:val="bottom"/>
          </w:tcPr>
          <w:p>
            <w:pPr>
              <w:spacing w:after="0"/>
              <w:rPr>
                <w:sz w:val="1"/>
                <w:szCs w:val="1"/>
                <w:color w:val="auto"/>
              </w:rPr>
            </w:pPr>
          </w:p>
        </w:tc>
      </w:tr>
      <w:tr>
        <w:trPr>
          <w:trHeight w:val="243"/>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31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841</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833</w:t>
            </w:r>
          </w:p>
        </w:tc>
        <w:tc>
          <w:tcPr>
            <w:tcW w:w="0" w:type="dxa"/>
            <w:vAlign w:val="bottom"/>
          </w:tcPr>
          <w:p>
            <w:pPr>
              <w:spacing w:after="0"/>
              <w:rPr>
                <w:sz w:val="1"/>
                <w:szCs w:val="1"/>
                <w:color w:val="auto"/>
              </w:rPr>
            </w:pPr>
          </w:p>
        </w:tc>
      </w:tr>
      <w:tr>
        <w:trPr>
          <w:trHeight w:val="243"/>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158</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0" w:type="dxa"/>
            <w:vAlign w:val="bottom"/>
          </w:tcPr>
          <w:p>
            <w:pPr>
              <w:spacing w:after="0"/>
              <w:rPr>
                <w:sz w:val="1"/>
                <w:szCs w:val="1"/>
                <w:color w:val="auto"/>
              </w:rPr>
            </w:pPr>
          </w:p>
        </w:tc>
      </w:tr>
      <w:tr>
        <w:trPr>
          <w:trHeight w:val="448"/>
        </w:trPr>
        <w:tc>
          <w:tcPr>
            <w:tcW w:w="3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vMerge w:val="restart"/>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Presto</w:t>
            </w:r>
          </w:p>
        </w:tc>
        <w:tc>
          <w:tcPr>
            <w:tcW w:w="160" w:type="dxa"/>
            <w:vAlign w:val="bottom"/>
          </w:tcPr>
          <w:p>
            <w:pPr>
              <w:spacing w:after="0"/>
              <w:rPr>
                <w:sz w:val="24"/>
                <w:szCs w:val="24"/>
                <w:color w:val="auto"/>
              </w:rPr>
            </w:pPr>
          </w:p>
        </w:tc>
        <w:tc>
          <w:tcPr>
            <w:tcW w:w="9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Cooking</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Waste &amp;</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18"/>
                <w:szCs w:val="18"/>
                <w:b w:val="1"/>
                <w:bCs w:val="1"/>
                <w:color w:val="auto"/>
                <w:vertAlign w:val="superscript"/>
              </w:rPr>
              <w:t>(1)</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3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&amp; Baking</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878</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874</w:t>
            </w:r>
          </w:p>
        </w:tc>
        <w:tc>
          <w:tcPr>
            <w:tcW w:w="0" w:type="dxa"/>
            <w:vAlign w:val="bottom"/>
          </w:tcPr>
          <w:p>
            <w:pPr>
              <w:spacing w:after="0"/>
              <w:rPr>
                <w:sz w:val="1"/>
                <w:szCs w:val="1"/>
                <w:color w:val="auto"/>
              </w:rPr>
            </w:pPr>
          </w:p>
        </w:tc>
      </w:tr>
      <w:tr>
        <w:trPr>
          <w:trHeight w:val="243"/>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31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884</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874</w:t>
            </w:r>
          </w:p>
        </w:tc>
        <w:tc>
          <w:tcPr>
            <w:tcW w:w="0" w:type="dxa"/>
            <w:vAlign w:val="bottom"/>
          </w:tcPr>
          <w:p>
            <w:pPr>
              <w:spacing w:after="0"/>
              <w:rPr>
                <w:sz w:val="1"/>
                <w:szCs w:val="1"/>
                <w:color w:val="auto"/>
              </w:rPr>
            </w:pPr>
          </w:p>
        </w:tc>
      </w:tr>
      <w:tr>
        <w:trPr>
          <w:trHeight w:val="243"/>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0" w:type="dxa"/>
            <w:vAlign w:val="bottom"/>
          </w:tcPr>
          <w:p>
            <w:pPr>
              <w:spacing w:after="0"/>
              <w:rPr>
                <w:sz w:val="1"/>
                <w:szCs w:val="1"/>
                <w:color w:val="auto"/>
              </w:rPr>
            </w:pPr>
          </w:p>
        </w:tc>
      </w:tr>
      <w:tr>
        <w:trPr>
          <w:trHeight w:val="823"/>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Segment assets consisted of the following:</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3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Presto</w:t>
            </w:r>
          </w:p>
        </w:tc>
        <w:tc>
          <w:tcPr>
            <w:tcW w:w="160" w:type="dxa"/>
            <w:vAlign w:val="bottom"/>
          </w:tcPr>
          <w:p>
            <w:pPr>
              <w:spacing w:after="0"/>
              <w:rPr>
                <w:sz w:val="24"/>
                <w:szCs w:val="24"/>
                <w:color w:val="auto"/>
              </w:rPr>
            </w:pPr>
          </w:p>
        </w:tc>
        <w:tc>
          <w:tcPr>
            <w:tcW w:w="9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Cooking</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Waste &amp;</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&amp; Baking</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60" w:type="dxa"/>
            <w:vAlign w:val="bottom"/>
          </w:tcPr>
          <w:p>
            <w:pPr>
              <w:spacing w:after="0"/>
              <w:rPr>
                <w:sz w:val="17"/>
                <w:szCs w:val="17"/>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40" w:type="dxa"/>
            <w:vAlign w:val="bottom"/>
          </w:tcPr>
          <w:p>
            <w:pPr>
              <w:spacing w:after="0"/>
              <w:rPr>
                <w:sz w:val="17"/>
                <w:szCs w:val="17"/>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9"/>
                <w:szCs w:val="9"/>
                <w:b w:val="1"/>
                <w:bCs w:val="1"/>
                <w:color w:val="auto"/>
              </w:rPr>
              <w:t>(1)</w:t>
            </w:r>
          </w:p>
        </w:tc>
        <w:tc>
          <w:tcPr>
            <w:tcW w:w="220" w:type="dxa"/>
            <w:vAlign w:val="bottom"/>
          </w:tcPr>
          <w:p>
            <w:pPr>
              <w:spacing w:after="0"/>
              <w:rPr>
                <w:sz w:val="17"/>
                <w:szCs w:val="17"/>
                <w:color w:val="auto"/>
              </w:rPr>
            </w:pPr>
          </w:p>
        </w:tc>
        <w:tc>
          <w:tcPr>
            <w:tcW w:w="7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1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180" w:type="dxa"/>
            <w:vAlign w:val="bottom"/>
          </w:tcPr>
          <w:p>
            <w:pPr>
              <w:spacing w:after="0"/>
              <w:rPr>
                <w:sz w:val="3"/>
                <w:szCs w:val="3"/>
                <w:color w:val="auto"/>
              </w:rPr>
            </w:pPr>
          </w:p>
        </w:tc>
        <w:tc>
          <w:tcPr>
            <w:tcW w:w="16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gridSpan w:val="2"/>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300" w:type="dxa"/>
            <w:vAlign w:val="bottom"/>
            <w:gridSpan w:val="2"/>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March 31, 2024</w:t>
            </w: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572</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271</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240</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1,321</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4,858</w:t>
            </w:r>
          </w:p>
        </w:tc>
        <w:tc>
          <w:tcPr>
            <w:tcW w:w="0" w:type="dxa"/>
            <w:vAlign w:val="bottom"/>
          </w:tcPr>
          <w:p>
            <w:pPr>
              <w:spacing w:after="0"/>
              <w:rPr>
                <w:sz w:val="1"/>
                <w:szCs w:val="1"/>
                <w:color w:val="auto"/>
              </w:rPr>
            </w:pPr>
          </w:p>
        </w:tc>
      </w:tr>
      <w:tr>
        <w:trPr>
          <w:trHeight w:val="243"/>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of December 31, 2023</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556</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267</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216</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1,278</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4,780</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340" w:right="140" w:hanging="332"/>
        <w:spacing w:after="0" w:line="266" w:lineRule="auto"/>
        <w:tabs>
          <w:tab w:leader="none" w:pos="3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Unallocated includes the elimination of intersegment revenues, other revenue adjustments and certain corporate costs, depreciation and amortization and assets not allocated to segments. Unallocated assets are comprised of cash, accounts receivable, other receivables, entity-wide property, plant and equipment, entity-wide operating lease right-of-use assets, goodwill, intangible assets, related party receivables and other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segment Adjusted EBITDA to GAAP income before income taxes: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4"/>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7"/>
        </w:trPr>
        <w:tc>
          <w:tcPr>
            <w:tcW w:w="786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7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786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gridSpan w:val="3"/>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7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20" w:type="dxa"/>
            <w:vAlign w:val="bottom"/>
          </w:tcPr>
          <w:p>
            <w:pPr>
              <w:spacing w:after="0"/>
              <w:rPr>
                <w:sz w:val="16"/>
                <w:szCs w:val="16"/>
                <w:color w:val="auto"/>
              </w:rPr>
            </w:pPr>
          </w:p>
        </w:tc>
      </w:tr>
      <w:tr>
        <w:trPr>
          <w:trHeight w:val="37"/>
        </w:trPr>
        <w:tc>
          <w:tcPr>
            <w:tcW w:w="7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 unallocated expenses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7"/>
        </w:trPr>
        <w:tc>
          <w:tcPr>
            <w:tcW w:w="7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7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Adjustments to reconcile to GAAP income before income taxes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7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GAAP income before income taxes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2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r>
    </w:tbl>
    <w:p>
      <w:pPr>
        <w:spacing w:after="0" w:line="200" w:lineRule="exact"/>
        <w:rPr>
          <w:sz w:val="20"/>
          <w:szCs w:val="20"/>
          <w:color w:val="auto"/>
        </w:rPr>
      </w:pPr>
    </w:p>
    <w:p>
      <w:pPr>
        <w:sectPr>
          <w:pgSz w:w="11900" w:h="16838" w:orient="portrait"/>
          <w:cols w:equalWidth="0" w:num="1">
            <w:col w:w="11240"/>
          </w:cols>
          <w:pgMar w:left="320" w:top="1303"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3"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color w:val="auto"/>
        </w:rPr>
        <w:t>Information in Relation to 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by product line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880" w:type="dxa"/>
            <w:vAlign w:val="bottom"/>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Pr>
          <w:p>
            <w:pPr>
              <w:spacing w:after="0"/>
              <w:rPr>
                <w:sz w:val="16"/>
                <w:szCs w:val="16"/>
                <w:color w:val="auto"/>
              </w:rPr>
            </w:pPr>
          </w:p>
        </w:tc>
      </w:tr>
      <w:tr>
        <w:trPr>
          <w:trHeight w:val="37"/>
        </w:trPr>
        <w:tc>
          <w:tcPr>
            <w:tcW w:w="786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186"/>
        </w:trPr>
        <w:tc>
          <w:tcPr>
            <w:tcW w:w="7860" w:type="dxa"/>
            <w:vAlign w:val="bottom"/>
          </w:tcPr>
          <w:p>
            <w:pPr>
              <w:spacing w:after="0"/>
              <w:rPr>
                <w:sz w:val="16"/>
                <w:szCs w:val="16"/>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6"/>
                <w:szCs w:val="16"/>
                <w:color w:val="auto"/>
              </w:rPr>
            </w:pPr>
          </w:p>
        </w:tc>
      </w:tr>
      <w:tr>
        <w:trPr>
          <w:trHeight w:val="37"/>
        </w:trPr>
        <w:tc>
          <w:tcPr>
            <w:tcW w:w="786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gridSpan w:val="3"/>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186"/>
        </w:trPr>
        <w:tc>
          <w:tcPr>
            <w:tcW w:w="7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0" w:type="dxa"/>
            <w:vAlign w:val="bottom"/>
            <w:gridSpan w:val="3"/>
          </w:tcPr>
          <w:p>
            <w:pPr>
              <w:jc w:val="right"/>
              <w:ind w:right="73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00" w:type="dxa"/>
            <w:vAlign w:val="bottom"/>
          </w:tcPr>
          <w:p>
            <w:pPr>
              <w:spacing w:after="0"/>
              <w:rPr>
                <w:sz w:val="16"/>
                <w:szCs w:val="16"/>
                <w:color w:val="auto"/>
              </w:rPr>
            </w:pPr>
          </w:p>
        </w:tc>
      </w:tr>
      <w:tr>
        <w:trPr>
          <w:trHeight w:val="37"/>
        </w:trPr>
        <w:tc>
          <w:tcPr>
            <w:tcW w:w="7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00" w:type="dxa"/>
            <w:vAlign w:val="bottom"/>
          </w:tcPr>
          <w:p>
            <w:pPr>
              <w:spacing w:after="0"/>
              <w:rPr>
                <w:sz w:val="3"/>
                <w:szCs w:val="3"/>
                <w:color w:val="auto"/>
              </w:rPr>
            </w:pPr>
          </w:p>
        </w:tc>
      </w:tr>
      <w:tr>
        <w:trPr>
          <w:trHeight w:val="27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Waste and storage products </w:t>
            </w:r>
            <w:r>
              <w:rPr>
                <w:rFonts w:ascii="Times New Roman" w:cs="Times New Roman" w:eastAsia="Times New Roman" w:hAnsi="Times New Roman"/>
                <w:sz w:val="23"/>
                <w:szCs w:val="23"/>
                <w:color w:val="auto"/>
                <w:vertAlign w:val="superscript"/>
              </w:rPr>
              <w:t>(1)</w:t>
            </w:r>
          </w:p>
        </w:tc>
        <w:tc>
          <w:tcPr>
            <w:tcW w:w="108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377</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Cooking products</w:t>
            </w:r>
          </w:p>
        </w:tc>
        <w:tc>
          <w:tcPr>
            <w:tcW w:w="10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283</w:t>
            </w:r>
          </w:p>
        </w:tc>
      </w:tr>
      <w:tr>
        <w:trPr>
          <w:trHeight w:val="27"/>
        </w:trPr>
        <w:tc>
          <w:tcPr>
            <w:tcW w:w="7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Tableware</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224</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w:t>
            </w:r>
          </w:p>
        </w:tc>
        <w:tc>
          <w:tcPr>
            <w:tcW w:w="10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(10)</w:t>
            </w:r>
          </w:p>
        </w:tc>
      </w:tr>
      <w:tr>
        <w:trPr>
          <w:trHeight w:val="27"/>
        </w:trPr>
        <w:tc>
          <w:tcPr>
            <w:tcW w:w="78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08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833</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874</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Waste and storage products are comprised of our Hefty Waste &amp; Storage and Presto Products segments.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different product lines are generally sold to a common group of customers. For all product lines, there is a relatively short time period between the receipt of the order and the transfer of control over the goods to the customer.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Related Party Transactions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Packaging Finance Limited (“PFL”) owns the majority of our outstanding common stock and owns the majority of the outstanding common stock of Pactiv Evergreen Inc. and its subsidiaries (“PEI Group”). We sell and purchase various goods and services with PEI Group under contractual arrangements that expire over a variety of periods through December 31, 2027. During the year ended December 31, 2023, we amended these contractual arrangements with PEI Group, which, among other things, extended the expiration date for certain arrangements. Transactions between us and PEI Group are described below.</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each of the three months ended March 31, 2024 and March 31, 2023, revenues from products sold to PEI Group were $22 million. For the three months ended March 31, 2024, products purchased from PEI Group were $80 million, compared to $106 million in the comparable prior year period. For the three months ended March 31, 2024, PEI Group charged us freight and warehousing costs of $8 million, compared to $9 million in the comparable prior year period, which were included in cost of sales. The resulting related party receivables and payables are settled regularly in the normal course of business.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Furthermore, $36 million of the dividends paid during each of the three months ended March 31, 2024 and March 31, 2023, were paid to PFL.</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Subsequent Events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Quarterly Cash Dividend</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25, 2024, our Board of Directors approved a cash dividend of $0.23 per common share to be paid on May 31, 2024 to shareholders of record on May 17,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Facility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to March 31, 2024, we made a voluntary principal payment of $50 million related to our Term Loan Facility.</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described above, there have been no events subsequent to March 31, 2024 which would require accrual or disclosure in these condensed consolidated financial statements.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management’s discussion and analysis is intended to help the reader understand our results of operations and financial condition and is provided as an addition to, and should be read in connection with, our condensed consolidated financial statements and the accompanying notes included elsewhere in this Quarterly Report on Form 10-Q and our consolidated financial statements and the accompanying notes contained in our Annual Report on Form 10-K for the year ended December 31, 2023.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Company and its Business Segments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market-leading consumer products company with a presence in 95% of households across the United States. We produce and sell products across three broad categories: cooking products, waste and storage products and tableware. We sell our products under iconic brands such as Reynolds and Hefty and also under store brands that are strategically important to our retail partners. Overall, across both our branded and store brand offerings, we hold the #1 or #2 U.S. market share position in the majority of product categories in which we participate. Over 65% of our revenue comes from products that are #1 in their respective categories. We have developed our market-leading position by investing in our product categories and consistently developing innovative products that meet the evolving needs and preferences of the modern consumer.</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mix of branded and store brand products is a key competitive advantage that aligns our goal of growing the overall product categories where we have offerings. Our retail partners also measure their success in category growth, which positions us as a trusted strategic partner.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manage our operations in four operating and reportable segments: Reynolds Cooking &amp; Baking, Hefty Waste &amp; Storage, Hefty Tableware and Presto Products:</w:t>
      </w:r>
    </w:p>
    <w:p>
      <w:pPr>
        <w:spacing w:after="0" w:line="50" w:lineRule="exact"/>
        <w:rPr>
          <w:sz w:val="20"/>
          <w:szCs w:val="20"/>
          <w:color w:val="auto"/>
        </w:rPr>
      </w:pPr>
    </w:p>
    <w:p>
      <w:pPr>
        <w:jc w:val="both"/>
        <w:ind w:left="660" w:hanging="328"/>
        <w:spacing w:after="0" w:line="255"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Reynolds Cooking &amp; Baking: </w:t>
      </w:r>
      <w:r>
        <w:rPr>
          <w:rFonts w:ascii="Times New Roman" w:cs="Times New Roman" w:eastAsia="Times New Roman" w:hAnsi="Times New Roman"/>
          <w:sz w:val="18"/>
          <w:szCs w:val="18"/>
          <w:color w:val="auto"/>
        </w:rPr>
        <w:t>Through our Reynolds Cooking &amp; Baking segment, we sell both branded and store brand aluminum foil, disposable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aluminum pans, parchment paper, freezer paper, wax paper, butcher paper, plastic wrap, baking cups, oven bags and slow cooker liners. Our branded products are sold under the Reynolds Wrap, Reynolds KITCHENS and EZ Foil brands in the United States and selected international markets, under the ALCAN brand in Canada and under the Diamond brand outside of North America. With our flagship Reynolds Wrap products, we hold the #1 market position in the U.S. consumer foil market measured by retail sales and volume. We also hold the #1 market position in the Canadian branded foil market under the ALCAN brand. We have no significant branded competitor in this market. Reynolds is one of the most recognized household brands in the United States and has been the top trusted brand in the consumer foil market for over 75 years, with greater than 50% market share in most of its categories.</w:t>
      </w:r>
    </w:p>
    <w:p>
      <w:pPr>
        <w:spacing w:after="0" w:line="76"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Hefty Waste &amp; Storage: </w:t>
      </w:r>
      <w:r>
        <w:rPr>
          <w:rFonts w:ascii="Times New Roman" w:cs="Times New Roman" w:eastAsia="Times New Roman" w:hAnsi="Times New Roman"/>
          <w:sz w:val="18"/>
          <w:szCs w:val="18"/>
          <w:color w:val="auto"/>
        </w:rPr>
        <w:t>Through our Hefty Waste &amp; Storage segment, we produce both branded and store brand trash and food storage bags.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Hefty is a well-recognized leader in the trash bag and food storage bag categories and our private label products offer value to our retail partners. Our branded products are sold under the Hefty Ultra Strong and Hefty Strong brands for trash bags, and as the Hefty and Baggies brands for our food storage bags. We have the #1 branded market share in the U.S. large black trash bag and slider bag segments, and the #2 branded market share in the tall kitchen trash bag segment. Our robust product portfolio in this segment includes a full suite of products, including sustainable solutions such as blue and clear recycling bags, compostable bags, bags made from recycled materials and orange bags through the Hefty ReNew™ Program.</w:t>
      </w:r>
    </w:p>
    <w:p>
      <w:pPr>
        <w:spacing w:after="0" w:line="74"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Hefty Tableware: </w:t>
      </w:r>
      <w:r>
        <w:rPr>
          <w:rFonts w:ascii="Times New Roman" w:cs="Times New Roman" w:eastAsia="Times New Roman" w:hAnsi="Times New Roman"/>
          <w:sz w:val="18"/>
          <w:szCs w:val="18"/>
          <w:color w:val="auto"/>
        </w:rPr>
        <w:t>Through our Hefty Tableware segment, we sell both branded and store brand disposable and compostable plates, bowls, platters,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cups and cutlery. Our Hefty branded products include dishes and party cups. Hefty branded party cups are the #1 party cup in America measured by market share. Our branded products use our Hefty brand to represent both quality and great value, and we bring this same quality and value promise to all of our store brands as well. We sell across a broad range of materials and price points in all retail channels, allowing our consumers to select the product that best suits their price, function and aesthetic needs. These materials include sustainable solutions, such as Hefty ECOSAVE™ and Hefty Compostable Printed Paper Plates.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7" w:name="page18"/>
    <w:bookmarkEnd w:id="17"/>
    <w:p>
      <w:pPr>
        <w:jc w:val="both"/>
        <w:ind w:left="660" w:hanging="328"/>
        <w:spacing w:after="0" w:line="257"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Presto Products: </w:t>
      </w:r>
      <w:r>
        <w:rPr>
          <w:rFonts w:ascii="Times New Roman" w:cs="Times New Roman" w:eastAsia="Times New Roman" w:hAnsi="Times New Roman"/>
          <w:sz w:val="18"/>
          <w:szCs w:val="18"/>
          <w:color w:val="auto"/>
        </w:rPr>
        <w:t>Through our Presto Products segment, we primarily sell store brand products in four main categories: food storage bags, trash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bags, reusable storage containers and plastic wrap. Presto Products is a market leader in food storage bags and differentiates itself by providing access to category management, consumer insights, marketing, merchandising and research and development (“R&amp;D”) resources. Presto Products was the first in the U.S. market to offer a store branded sandwich bag made with an approximately 20% proprietary blend of plant and ocean, renewable materials. Our Presto Products segment also includes our specialty business, which serves other consumer products companies by providing Fresh-Lock and Slide-Rite resealable closure systems.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net revenues decreased 5% in the three months ended March 31, 2024 compared to the same period in 2023. The revenue decrease consisted of lower volume in both our retail and non-retail businesses. Our retail and lower-margin non-retail net revenue declined by $23 million and $18 million,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net income increased $32 million driven by declines in material and manufacturing costs, as well as a reduction in interest expense as a result of a lower outstanding principal balance due to repayments made on our term loan facility throughout 2023.</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Quarterly Report on Form 10-Q we use the non-GAAP financial measure “Adjusted EBITDA”, which is a non-GAAP measure.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define Adjusted EBITDA as net income calculated in accordance with GAAP, plus the sum of income tax expense, net interest expense, depreciation and amortization and as may be further adjusted to exclude certain non-recurring items, if applicable.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present Adjusted EBITDA because it is a key measure used by our management team to evaluate our operating performance, generate future operating plans and make strategic decisions. In addition, our chief operating decision maker uses Adjusted EBITDA of each reportable segment to evaluate the operating performance of such segments. Accordingly, we believe presenting this measure provides useful information to investors and others in understanding and evaluating our operating results in the same manner as our management team and board of directors.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Non-GAAP information should be considered as supplemental in nature and is not meant to be considered in isolation or as a substitute for the related financial information prepared in accordance with GAAP. In addition, our non-GAAP financial measures may not be the same as or comparable to similar non-GAAP financial measures presented by other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our net income, the most directly comparable GAAP financial measure, to Adjusted EBITDA:</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940" w:type="dxa"/>
            <w:vAlign w:val="bottom"/>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40" w:type="dxa"/>
            <w:vAlign w:val="bottom"/>
          </w:tcPr>
          <w:p>
            <w:pPr>
              <w:spacing w:after="0"/>
              <w:rPr>
                <w:sz w:val="16"/>
                <w:szCs w:val="16"/>
                <w:color w:val="auto"/>
              </w:rPr>
            </w:pPr>
          </w:p>
        </w:tc>
      </w:tr>
      <w:tr>
        <w:trPr>
          <w:trHeight w:val="37"/>
        </w:trPr>
        <w:tc>
          <w:tcPr>
            <w:tcW w:w="786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r>
      <w:tr>
        <w:trPr>
          <w:trHeight w:val="186"/>
        </w:trPr>
        <w:tc>
          <w:tcPr>
            <w:tcW w:w="7860" w:type="dxa"/>
            <w:vAlign w:val="bottom"/>
          </w:tcPr>
          <w:p>
            <w:pPr>
              <w:spacing w:after="0"/>
              <w:rPr>
                <w:sz w:val="16"/>
                <w:szCs w:val="16"/>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6"/>
                <w:szCs w:val="16"/>
                <w:color w:val="auto"/>
              </w:rPr>
            </w:pPr>
          </w:p>
        </w:tc>
      </w:tr>
      <w:tr>
        <w:trPr>
          <w:trHeight w:val="37"/>
        </w:trPr>
        <w:tc>
          <w:tcPr>
            <w:tcW w:w="786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gridSpan w:val="3"/>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r>
      <w:tr>
        <w:trPr>
          <w:trHeight w:val="186"/>
        </w:trPr>
        <w:tc>
          <w:tcPr>
            <w:tcW w:w="7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60" w:type="dxa"/>
            <w:vAlign w:val="bottom"/>
            <w:gridSpan w:val="3"/>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Pr>
          <w:p>
            <w:pPr>
              <w:spacing w:after="0"/>
              <w:rPr>
                <w:sz w:val="16"/>
                <w:szCs w:val="16"/>
                <w:color w:val="auto"/>
              </w:rPr>
            </w:pPr>
          </w:p>
        </w:tc>
      </w:tr>
      <w:tr>
        <w:trPr>
          <w:trHeight w:val="37"/>
        </w:trPr>
        <w:tc>
          <w:tcPr>
            <w:tcW w:w="7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 GAAP</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7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78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r>
      <w:tr>
        <w:trPr>
          <w:trHeight w:val="27"/>
        </w:trPr>
        <w:tc>
          <w:tcPr>
            <w:tcW w:w="786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18" w:name="page19"/>
    <w:bookmarkEnd w:id="18"/>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 – Three Months Ended March 31, 2024</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condensed consolidated financial statements included elsewhere in this Quarterly Report on Form 10-Q. Detailed comparisons of revenue and results are presented in the discussions of the operating segments, which follow our consolidated results discussion.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discussions in this section provide a breakdown of net revenues between our retail and non-retail businesses. Our retail business net revenues consist of sales to grocery stores, mass merchants, warehouse clubs, discount chains, dollar stores, drug stores, home improvement stores, military outlets and eCommerce retailers. Our non-retail business net revenues consist of sales to food service customers, which are classified as related party revenues, and industrial customers.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Aggregation of Segment Revenue and Adjusted EBITDA</w:t>
      </w: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5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5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2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15"/>
                <w:szCs w:val="15"/>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20" w:type="dxa"/>
            <w:vAlign w:val="bottom"/>
          </w:tcPr>
          <w:p>
            <w:pPr>
              <w:spacing w:after="0"/>
              <w:rPr>
                <w:sz w:val="15"/>
                <w:szCs w:val="15"/>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Presto</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0" w:type="dxa"/>
            <w:vAlign w:val="bottom"/>
          </w:tcPr>
          <w:p>
            <w:pPr>
              <w:spacing w:after="0"/>
              <w:rPr>
                <w:sz w:val="1"/>
                <w:szCs w:val="1"/>
                <w:color w:val="auto"/>
              </w:rPr>
            </w:pPr>
          </w:p>
        </w:tc>
      </w:tr>
      <w:tr>
        <w:trPr>
          <w:trHeight w:val="162"/>
        </w:trPr>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Cooking &amp;</w:t>
            </w:r>
          </w:p>
        </w:tc>
        <w:tc>
          <w:tcPr>
            <w:tcW w:w="12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Waste &amp;</w:t>
            </w: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restart"/>
          </w:tcPr>
          <w:p>
            <w:pPr>
              <w:ind w:left="40"/>
              <w:spacing w:after="0" w:line="207" w:lineRule="exact"/>
              <w:rPr>
                <w:sz w:val="20"/>
                <w:szCs w:val="20"/>
                <w:color w:val="auto"/>
              </w:rPr>
            </w:pPr>
            <w:r>
              <w:rPr>
                <w:rFonts w:ascii="Times New Roman" w:cs="Times New Roman" w:eastAsia="Times New Roman" w:hAnsi="Times New Roman"/>
                <w:sz w:val="14"/>
                <w:szCs w:val="14"/>
                <w:b w:val="1"/>
                <w:bCs w:val="1"/>
                <w:color w:val="auto"/>
              </w:rPr>
              <w:t>Unallocated</w:t>
            </w:r>
            <w:r>
              <w:rPr>
                <w:rFonts w:ascii="MS PGothic" w:cs="MS PGothic" w:eastAsia="MS PGothic" w:hAnsi="MS PGothic"/>
                <w:sz w:val="14"/>
                <w:szCs w:val="14"/>
                <w:color w:val="auto"/>
              </w:rPr>
              <w:t>⁽</w:t>
            </w:r>
            <w:r>
              <w:rPr>
                <w:rFonts w:ascii="Times New Roman" w:cs="Times New Roman" w:eastAsia="Times New Roman" w:hAnsi="Times New Roman"/>
                <w:sz w:val="18"/>
                <w:szCs w:val="18"/>
                <w:b w:val="1"/>
                <w:bCs w:val="1"/>
                <w:color w:val="auto"/>
                <w:vertAlign w:val="superscript"/>
              </w:rPr>
              <w:t>1</w:t>
            </w:r>
            <w:r>
              <w:rPr>
                <w:rFonts w:ascii="MS PGothic" w:cs="MS PGothic" w:eastAsia="MS PGothic" w:hAnsi="MS PGothic"/>
                <w:sz w:val="14"/>
                <w:szCs w:val="14"/>
                <w:color w:val="auto"/>
              </w:rPr>
              <w:t>⁾</w:t>
            </w:r>
          </w:p>
        </w:tc>
        <w:tc>
          <w:tcPr>
            <w:tcW w:w="120" w:type="dxa"/>
            <w:vAlign w:val="bottom"/>
          </w:tcPr>
          <w:p>
            <w:pPr>
              <w:spacing w:after="0"/>
              <w:rPr>
                <w:sz w:val="14"/>
                <w:szCs w:val="14"/>
                <w:color w:val="auto"/>
              </w:rPr>
            </w:pPr>
          </w:p>
        </w:tc>
        <w:tc>
          <w:tcPr>
            <w:tcW w:w="8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0" w:type="dxa"/>
            <w:vAlign w:val="bottom"/>
          </w:tcPr>
          <w:p>
            <w:pPr>
              <w:spacing w:after="0"/>
              <w:rPr>
                <w:sz w:val="1"/>
                <w:szCs w:val="1"/>
                <w:color w:val="auto"/>
              </w:rPr>
            </w:pP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9"/>
                <w:szCs w:val="19"/>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Baking</w:t>
            </w:r>
          </w:p>
        </w:tc>
        <w:tc>
          <w:tcPr>
            <w:tcW w:w="120" w:type="dxa"/>
            <w:vAlign w:val="bottom"/>
          </w:tcPr>
          <w:p>
            <w:pPr>
              <w:spacing w:after="0"/>
              <w:rPr>
                <w:sz w:val="19"/>
                <w:szCs w:val="19"/>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40" w:type="dxa"/>
            <w:vAlign w:val="bottom"/>
          </w:tcPr>
          <w:p>
            <w:pPr>
              <w:spacing w:after="0"/>
              <w:rPr>
                <w:sz w:val="19"/>
                <w:szCs w:val="19"/>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120" w:type="dxa"/>
            <w:vAlign w:val="bottom"/>
          </w:tcPr>
          <w:p>
            <w:pPr>
              <w:spacing w:after="0"/>
              <w:rPr>
                <w:sz w:val="19"/>
                <w:szCs w:val="19"/>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0" w:type="dxa"/>
            <w:vAlign w:val="bottom"/>
          </w:tcPr>
          <w:p>
            <w:pPr>
              <w:spacing w:after="0"/>
              <w:rPr>
                <w:sz w:val="1"/>
                <w:szCs w:val="1"/>
                <w:color w:val="auto"/>
              </w:rPr>
            </w:pPr>
          </w:p>
        </w:tc>
      </w:tr>
      <w:tr>
        <w:trPr>
          <w:trHeight w:val="230"/>
        </w:trPr>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 for the three months ended March 31:</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00" w:type="dxa"/>
            <w:vAlign w:val="bottom"/>
          </w:tcPr>
          <w:p>
            <w:pPr>
              <w:jc w:val="right"/>
              <w:ind w:right="4313"/>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jc w:val="right"/>
              <w:ind w:right="4313"/>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0" w:type="dxa"/>
            <w:vAlign w:val="bottom"/>
          </w:tcPr>
          <w:p>
            <w:pPr>
              <w:spacing w:after="0"/>
              <w:rPr>
                <w:sz w:val="1"/>
                <w:szCs w:val="1"/>
                <w:color w:val="auto"/>
              </w:rPr>
            </w:pPr>
          </w:p>
        </w:tc>
      </w:tr>
      <w:tr>
        <w:trPr>
          <w:trHeight w:val="27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for the three months ended March 31:</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000" w:type="dxa"/>
            <w:vAlign w:val="bottom"/>
            <w:tcBorders>
              <w:bottom w:val="single" w:sz="8" w:color="CCEEFF"/>
            </w:tcBorders>
            <w:shd w:val="clear" w:color="auto" w:fill="CCEEFF"/>
          </w:tcPr>
          <w:p>
            <w:pPr>
              <w:jc w:val="right"/>
              <w:ind w:right="4313"/>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43"/>
        </w:trPr>
        <w:tc>
          <w:tcPr>
            <w:tcW w:w="5000" w:type="dxa"/>
            <w:vAlign w:val="bottom"/>
          </w:tcPr>
          <w:p>
            <w:pPr>
              <w:jc w:val="right"/>
              <w:ind w:right="4313"/>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6263640</wp:posOffset>
            </wp:positionH>
            <wp:positionV relativeFrom="paragraph">
              <wp:posOffset>-1147445</wp:posOffset>
            </wp:positionV>
            <wp:extent cx="97155" cy="749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7155" cy="7493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340" w:hanging="332"/>
        <w:spacing w:after="0" w:line="261" w:lineRule="auto"/>
        <w:tabs>
          <w:tab w:leader="none" w:pos="3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unallocated net revenues include elimination of intersegment revenues and other revenue adjustments. The unallocated Adjusted EBITDA represents the combination of corporate expenses which are not allocated to our segments and other unallocated revenue adjustments.</w:t>
      </w:r>
    </w:p>
    <w:p>
      <w:pPr>
        <w:ind w:left="340" w:hanging="332"/>
        <w:spacing w:after="0"/>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Adjusted EBITDA is a non-GAAP measure. See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Non-GAAP Measures” for details, including a reconciliation between net income and Adjusted</w:t>
      </w:r>
    </w:p>
    <w:p>
      <w:pPr>
        <w:spacing w:after="0" w:line="9" w:lineRule="exact"/>
        <w:rPr>
          <w:rFonts w:ascii="Times New Roman" w:cs="Times New Roman" w:eastAsia="Times New Roman" w:hAnsi="Times New Roman"/>
          <w:sz w:val="16"/>
          <w:szCs w:val="16"/>
          <w:color w:val="auto"/>
        </w:rPr>
      </w:pPr>
    </w:p>
    <w:p>
      <w:pPr>
        <w:ind w:left="3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Three Months Ended March 31, 2024 Compared with the Three Months Ended March 31, 2023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Reynolds Consumer Products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60" w:type="dxa"/>
            <w:vAlign w:val="bottom"/>
            <w:gridSpan w:val="6"/>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1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220" w:type="dxa"/>
            <w:vAlign w:val="bottom"/>
          </w:tcPr>
          <w:p>
            <w:pPr>
              <w:spacing w:after="0"/>
              <w:rPr>
                <w:sz w:val="16"/>
                <w:szCs w:val="16"/>
                <w:color w:val="auto"/>
              </w:rPr>
            </w:pPr>
          </w:p>
        </w:tc>
        <w:tc>
          <w:tcPr>
            <w:tcW w:w="72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1260" w:type="dxa"/>
            <w:vAlign w:val="bottom"/>
            <w:gridSpan w:val="2"/>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20" w:type="dxa"/>
            <w:vAlign w:val="bottom"/>
          </w:tcPr>
          <w:p>
            <w:pPr>
              <w:spacing w:after="0"/>
              <w:rPr>
                <w:sz w:val="16"/>
                <w:szCs w:val="16"/>
                <w:color w:val="auto"/>
              </w:rPr>
            </w:pPr>
          </w:p>
        </w:tc>
        <w:tc>
          <w:tcPr>
            <w:tcW w:w="72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Pr>
          <w:p>
            <w:pPr>
              <w:spacing w:after="0"/>
              <w:rPr>
                <w:sz w:val="16"/>
                <w:szCs w:val="16"/>
                <w:color w:val="auto"/>
              </w:rPr>
            </w:pPr>
          </w:p>
        </w:tc>
        <w:tc>
          <w:tcPr>
            <w:tcW w:w="76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6"/>
                <w:szCs w:val="16"/>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7"/>
        </w:trPr>
        <w:tc>
          <w:tcPr>
            <w:tcW w:w="4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97 %</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97 %</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43"/>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party net revenues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21"/>
                <w:szCs w:val="21"/>
                <w:color w:val="auto"/>
              </w:rPr>
            </w:pPr>
          </w:p>
        </w:tc>
        <w:tc>
          <w:tcPr>
            <w:tcW w:w="12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3 %</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4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833</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100 %</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874</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100 %</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1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 %</w:t>
            </w:r>
          </w:p>
        </w:tc>
        <w:tc>
          <w:tcPr>
            <w:tcW w:w="0" w:type="dxa"/>
            <w:vAlign w:val="bottom"/>
          </w:tcPr>
          <w:p>
            <w:pPr>
              <w:spacing w:after="0"/>
              <w:rPr>
                <w:sz w:val="1"/>
                <w:szCs w:val="1"/>
                <w:color w:val="auto"/>
              </w:rPr>
            </w:pPr>
          </w:p>
        </w:tc>
      </w:tr>
      <w:tr>
        <w:trPr>
          <w:trHeight w:val="243"/>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40" w:type="dxa"/>
            <w:vAlign w:val="bottom"/>
          </w:tcPr>
          <w:p>
            <w:pPr>
              <w:spacing w:after="0"/>
              <w:rPr>
                <w:sz w:val="21"/>
                <w:szCs w:val="21"/>
                <w:color w:val="auto"/>
              </w:rPr>
            </w:pPr>
          </w:p>
        </w:tc>
        <w:tc>
          <w:tcPr>
            <w:tcW w:w="12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(76) %</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6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 %</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7"/>
        </w:trPr>
        <w:tc>
          <w:tcPr>
            <w:tcW w:w="4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24 %</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18 %</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1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30 %</w:t>
            </w:r>
          </w:p>
        </w:tc>
        <w:tc>
          <w:tcPr>
            <w:tcW w:w="0" w:type="dxa"/>
            <w:vAlign w:val="bottom"/>
          </w:tcPr>
          <w:p>
            <w:pPr>
              <w:spacing w:after="0"/>
              <w:rPr>
                <w:sz w:val="1"/>
                <w:szCs w:val="1"/>
                <w:color w:val="auto"/>
              </w:rPr>
            </w:pPr>
          </w:p>
        </w:tc>
      </w:tr>
      <w:tr>
        <w:trPr>
          <w:trHeight w:val="243"/>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tcPr>
          <w:p>
            <w:pPr>
              <w:spacing w:after="0"/>
              <w:rPr>
                <w:sz w:val="21"/>
                <w:szCs w:val="21"/>
                <w:color w:val="auto"/>
              </w:rPr>
            </w:pPr>
          </w:p>
        </w:tc>
        <w:tc>
          <w:tcPr>
            <w:tcW w:w="12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(13) %</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 %</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NM %</w:t>
            </w:r>
          </w:p>
        </w:tc>
        <w:tc>
          <w:tcPr>
            <w:tcW w:w="0" w:type="dxa"/>
            <w:vAlign w:val="bottom"/>
          </w:tcPr>
          <w:p>
            <w:pPr>
              <w:spacing w:after="0"/>
              <w:rPr>
                <w:sz w:val="1"/>
                <w:szCs w:val="1"/>
                <w:color w:val="auto"/>
              </w:rPr>
            </w:pPr>
          </w:p>
        </w:tc>
      </w:tr>
      <w:tr>
        <w:trPr>
          <w:trHeight w:val="20"/>
        </w:trPr>
        <w:tc>
          <w:tcPr>
            <w:tcW w:w="4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73 %</w:t>
            </w:r>
          </w:p>
        </w:tc>
        <w:tc>
          <w:tcPr>
            <w:tcW w:w="0" w:type="dxa"/>
            <w:vAlign w:val="bottom"/>
          </w:tcPr>
          <w:p>
            <w:pPr>
              <w:spacing w:after="0" w:line="20" w:lineRule="exact"/>
              <w:rPr>
                <w:sz w:val="1"/>
                <w:szCs w:val="1"/>
                <w:color w:val="auto"/>
              </w:rPr>
            </w:pPr>
          </w:p>
        </w:tc>
      </w:tr>
      <w:tr>
        <w:trPr>
          <w:trHeight w:val="237"/>
        </w:trPr>
        <w:tc>
          <w:tcPr>
            <w:tcW w:w="41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140" w:type="dxa"/>
            <w:vAlign w:val="bottom"/>
          </w:tcPr>
          <w:p>
            <w:pPr>
              <w:spacing w:after="0"/>
              <w:rPr>
                <w:sz w:val="20"/>
                <w:szCs w:val="20"/>
                <w:color w:val="auto"/>
              </w:rPr>
            </w:pP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11 %</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16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6 %</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4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(3) %</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0"/>
        </w:trPr>
        <w:tc>
          <w:tcPr>
            <w:tcW w:w="4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183 %</w:t>
            </w:r>
          </w:p>
        </w:tc>
        <w:tc>
          <w:tcPr>
            <w:tcW w:w="0" w:type="dxa"/>
            <w:vAlign w:val="bottom"/>
          </w:tcPr>
          <w:p>
            <w:pPr>
              <w:spacing w:after="0" w:line="20" w:lineRule="exact"/>
              <w:rPr>
                <w:sz w:val="1"/>
                <w:szCs w:val="1"/>
                <w:color w:val="auto"/>
              </w:rPr>
            </w:pPr>
          </w:p>
        </w:tc>
      </w:tr>
      <w:tr>
        <w:trPr>
          <w:trHeight w:val="237"/>
        </w:trPr>
        <w:tc>
          <w:tcPr>
            <w:tcW w:w="41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140" w:type="dxa"/>
            <w:vAlign w:val="bottom"/>
          </w:tcPr>
          <w:p>
            <w:pPr>
              <w:spacing w:after="0"/>
              <w:rPr>
                <w:sz w:val="20"/>
                <w:szCs w:val="20"/>
                <w:color w:val="auto"/>
              </w:rPr>
            </w:pP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8 %</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6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3 %</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14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(2) %</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(167) %</w:t>
            </w:r>
          </w:p>
        </w:tc>
        <w:tc>
          <w:tcPr>
            <w:tcW w:w="0" w:type="dxa"/>
            <w:vAlign w:val="bottom"/>
          </w:tcPr>
          <w:p>
            <w:pPr>
              <w:spacing w:after="0"/>
              <w:rPr>
                <w:sz w:val="1"/>
                <w:szCs w:val="1"/>
                <w:color w:val="auto"/>
              </w:rPr>
            </w:pPr>
          </w:p>
        </w:tc>
      </w:tr>
      <w:tr>
        <w:trPr>
          <w:trHeight w:val="20"/>
        </w:trPr>
        <w:tc>
          <w:tcPr>
            <w:tcW w:w="4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140" w:type="dxa"/>
            <w:vAlign w:val="bottom"/>
            <w:vMerge w:val="continue"/>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140" w:type="dxa"/>
            <w:vAlign w:val="bottom"/>
          </w:tcPr>
          <w:p>
            <w:pPr>
              <w:spacing w:after="0"/>
              <w:rPr>
                <w:sz w:val="22"/>
                <w:szCs w:val="22"/>
                <w:color w:val="auto"/>
              </w:rPr>
            </w:pP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6 %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6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188 %</w:t>
            </w:r>
          </w:p>
        </w:tc>
        <w:tc>
          <w:tcPr>
            <w:tcW w:w="0" w:type="dxa"/>
            <w:vAlign w:val="bottom"/>
          </w:tcPr>
          <w:p>
            <w:pPr>
              <w:spacing w:after="0"/>
              <w:rPr>
                <w:sz w:val="1"/>
                <w:szCs w:val="1"/>
                <w:color w:val="auto"/>
              </w:rPr>
            </w:pPr>
          </w:p>
        </w:tc>
      </w:tr>
      <w:tr>
        <w:trPr>
          <w:trHeight w:val="20"/>
        </w:trPr>
        <w:tc>
          <w:tcPr>
            <w:tcW w:w="4140" w:type="dxa"/>
            <w:vAlign w:val="bottom"/>
            <w:vMerge w:val="restart"/>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¹</w:t>
            </w:r>
            <w:r>
              <w:rPr>
                <w:rFonts w:ascii="MS PGothic" w:cs="MS PGothic" w:eastAsia="MS PGothic" w:hAnsi="MS PGothic"/>
                <w:sz w:val="18"/>
                <w:szCs w:val="18"/>
                <w:color w:val="auto"/>
              </w:rPr>
              <w:t>⁾</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140" w:type="dxa"/>
            <w:vAlign w:val="bottom"/>
            <w:vMerge w:val="continue"/>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w:t>
            </w:r>
          </w:p>
        </w:tc>
        <w:tc>
          <w:tcPr>
            <w:tcW w:w="1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15 %</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16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9 %</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49 %</w:t>
            </w:r>
          </w:p>
        </w:tc>
        <w:tc>
          <w:tcPr>
            <w:tcW w:w="0" w:type="dxa"/>
            <w:vAlign w:val="bottom"/>
          </w:tcPr>
          <w:p>
            <w:pPr>
              <w:spacing w:after="0"/>
              <w:rPr>
                <w:sz w:val="1"/>
                <w:szCs w:val="1"/>
                <w:color w:val="auto"/>
              </w:rPr>
            </w:pPr>
          </w:p>
        </w:tc>
      </w:tr>
      <w:tr>
        <w:trPr>
          <w:trHeight w:val="27"/>
        </w:trPr>
        <w:tc>
          <w:tcPr>
            <w:tcW w:w="4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958215</wp:posOffset>
            </wp:positionH>
            <wp:positionV relativeFrom="paragraph">
              <wp:posOffset>-179705</wp:posOffset>
            </wp:positionV>
            <wp:extent cx="106045" cy="869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6045" cy="8699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Percentage change is not meaningful.</w:t>
      </w:r>
    </w:p>
    <w:p>
      <w:pPr>
        <w:spacing w:after="0" w:line="50"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measure. See “Non-GAAP Measures” for details, including a reconciliation between net income and Adjusted</w:t>
      </w:r>
    </w:p>
    <w:p>
      <w:pPr>
        <w:spacing w:after="0" w:line="2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Components of Change in Net Revenues for the Three Months Ended March 31, 2024 vs. the Three Months Ended March 31, 2023</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80" w:type="dxa"/>
            <w:vAlign w:val="bottom"/>
            <w:gridSpan w:val="3"/>
          </w:tcPr>
          <w:p>
            <w:pPr>
              <w:ind w:left="1240"/>
              <w:spacing w:after="0"/>
              <w:rPr>
                <w:sz w:val="20"/>
                <w:szCs w:val="20"/>
                <w:color w:val="auto"/>
              </w:rPr>
            </w:pPr>
            <w:r>
              <w:rPr>
                <w:rFonts w:ascii="Times New Roman" w:cs="Times New Roman" w:eastAsia="Times New Roman" w:hAnsi="Times New Roman"/>
                <w:sz w:val="14"/>
                <w:szCs w:val="14"/>
                <w:b w:val="1"/>
                <w:bCs w:val="1"/>
                <w:color w:val="auto"/>
              </w:rPr>
              <w:t>Volume/Mix</w:t>
            </w: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120" w:type="dxa"/>
            <w:vAlign w:val="bottom"/>
          </w:tcPr>
          <w:p>
            <w:pPr>
              <w:spacing w:after="0"/>
              <w:rPr>
                <w:sz w:val="3"/>
                <w:szCs w:val="3"/>
                <w:color w:val="auto"/>
              </w:rPr>
            </w:pPr>
          </w:p>
        </w:tc>
        <w:tc>
          <w:tcPr>
            <w:tcW w:w="106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80" w:type="dxa"/>
            <w:vAlign w:val="bottom"/>
            <w:tcBorders>
              <w:bottom w:val="single" w:sz="8" w:color="auto"/>
            </w:tcBorders>
            <w:gridSpan w:val="3"/>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7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4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8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48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Non-Retail</w:t>
            </w:r>
          </w:p>
        </w:tc>
        <w:tc>
          <w:tcPr>
            <w:tcW w:w="17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12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Reynolds Cooking &amp; Baking</w:t>
            </w:r>
          </w:p>
        </w:tc>
        <w:tc>
          <w:tcPr>
            <w:tcW w:w="10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1780" w:type="dxa"/>
            <w:vAlign w:val="bottom"/>
            <w:tcBorders>
              <w:bottom w:val="single" w:sz="8" w:color="CCEEFF"/>
            </w:tcBorders>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(2) %</w:t>
            </w: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 %</w:t>
            </w:r>
          </w:p>
        </w:tc>
        <w:tc>
          <w:tcPr>
            <w:tcW w:w="1780" w:type="dxa"/>
            <w:vAlign w:val="bottom"/>
            <w:tcBorders>
              <w:bottom w:val="single" w:sz="8" w:color="CCEEFF"/>
            </w:tcBorders>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43"/>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Hefty Waste &amp; Storage</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7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(2) %</w:t>
            </w:r>
          </w:p>
        </w:tc>
        <w:tc>
          <w:tcPr>
            <w:tcW w:w="300" w:type="dxa"/>
            <w:vAlign w:val="bottom"/>
          </w:tcPr>
          <w:p>
            <w:pPr>
              <w:spacing w:after="0"/>
              <w:rPr>
                <w:sz w:val="21"/>
                <w:szCs w:val="21"/>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7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Hefty Tableware</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1780" w:type="dxa"/>
            <w:vAlign w:val="bottom"/>
            <w:tcBorders>
              <w:bottom w:val="single" w:sz="8" w:color="CCEEFF"/>
            </w:tcBorders>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(6) %</w:t>
            </w: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780" w:type="dxa"/>
            <w:vAlign w:val="bottom"/>
            <w:tcBorders>
              <w:bottom w:val="single" w:sz="8" w:color="CCEEFF"/>
            </w:tcBorders>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43"/>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Presto Products</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7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(1) %</w:t>
            </w:r>
          </w:p>
        </w:tc>
        <w:tc>
          <w:tcPr>
            <w:tcW w:w="300" w:type="dxa"/>
            <w:vAlign w:val="bottom"/>
          </w:tcPr>
          <w:p>
            <w:pPr>
              <w:spacing w:after="0"/>
              <w:rPr>
                <w:sz w:val="21"/>
                <w:szCs w:val="21"/>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7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RCP</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w:t>
            </w:r>
          </w:p>
        </w:tc>
        <w:tc>
          <w:tcPr>
            <w:tcW w:w="178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b w:val="1"/>
                <w:bCs w:val="1"/>
                <w:color w:val="auto"/>
              </w:rPr>
              <w:t>(3) %</w:t>
            </w:r>
          </w:p>
        </w:tc>
        <w:tc>
          <w:tcPr>
            <w:tcW w:w="3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 %</w:t>
            </w:r>
          </w:p>
        </w:tc>
        <w:tc>
          <w:tcPr>
            <w:tcW w:w="178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b w:val="1"/>
                <w:bCs w:val="1"/>
                <w:color w:val="auto"/>
              </w:rPr>
              <w:t>(5) %</w:t>
            </w:r>
          </w:p>
        </w:tc>
        <w:tc>
          <w:tcPr>
            <w:tcW w:w="0" w:type="dxa"/>
            <w:vAlign w:val="bottom"/>
          </w:tcPr>
          <w:p>
            <w:pPr>
              <w:spacing w:after="0"/>
              <w:rPr>
                <w:sz w:val="1"/>
                <w:szCs w:val="1"/>
                <w:color w:val="auto"/>
              </w:rPr>
            </w:pPr>
          </w:p>
        </w:tc>
      </w:tr>
      <w:tr>
        <w:trPr>
          <w:trHeight w:val="27"/>
        </w:trPr>
        <w:tc>
          <w:tcPr>
            <w:tcW w:w="4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4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Total Net Revenues</w:t>
      </w:r>
      <w:r>
        <w:rPr>
          <w:rFonts w:ascii="Times New Roman" w:cs="Times New Roman" w:eastAsia="Times New Roman" w:hAnsi="Times New Roman"/>
          <w:sz w:val="18"/>
          <w:szCs w:val="18"/>
          <w:color w:val="auto"/>
        </w:rPr>
        <w:t>. Total net revenues decreased by $41 million, or 5%, to $833 million. The 5% decrease consisted of lower volume in both our retail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non-retail businesses. Our retail and lower-margin non-retail net revenue declined by $23 million and $18 million, respectively.</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Cost of sales decreased by $87 million, or 12%, to $632 million. The decrease was primarily driven by lower volume as well as lower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 and manufacturing costs.</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increased by $6 million, or 6%, to $111 million, primarily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higher personnel costs and advertising costs.</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Other income, net was zero in the three months ended March 31, 2024 compared to $2 million in the three 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Net</w:t>
      </w:r>
      <w:r>
        <w:rPr>
          <w:rFonts w:ascii="Times New Roman" w:cs="Times New Roman" w:eastAsia="Times New Roman" w:hAnsi="Times New Roman"/>
          <w:sz w:val="18"/>
          <w:szCs w:val="18"/>
          <w:color w:val="auto"/>
        </w:rPr>
        <w:t>. Interest expense, net decreased by $4 million, or 14%, to $25 million. The decrease was primarily due to a lower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balance on our external debt facilities as a result of principal payments made throughout 2023.</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0" w:name="page21"/>
    <w:bookmarkEnd w:id="20"/>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We recognized income tax expense of $16 million on income before income taxes of $65 million (an effective tax rate of 24.9%)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March 31, 2024 compared to income tax expense of $6 million on income before income taxes of $23 million (an effective tax rate of 24.9%) for the three months ended March 31, 2023.</w:t>
      </w:r>
    </w:p>
    <w:p>
      <w:pPr>
        <w:spacing w:after="0" w:line="2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Adjusted EBITDA increased by $40 million, or 49%, to $122 million. The increase in Adjusted EBITDA was primarily due to lower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 and manufacturing costs.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Reynolds Cooking &amp; Baking</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0" w:type="dxa"/>
            <w:vAlign w:val="bottom"/>
            <w:gridSpan w:val="4"/>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1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6"/>
                <w:szCs w:val="16"/>
                <w:color w:val="auto"/>
              </w:rPr>
            </w:pPr>
          </w:p>
        </w:tc>
        <w:tc>
          <w:tcPr>
            <w:tcW w:w="17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7"/>
        </w:trPr>
        <w:tc>
          <w:tcPr>
            <w:tcW w:w="41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net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Non-retail net revenues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w:t>
            </w:r>
          </w:p>
        </w:tc>
        <w:tc>
          <w:tcPr>
            <w:tcW w:w="3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w:t>
            </w:r>
          </w:p>
        </w:tc>
        <w:tc>
          <w:tcPr>
            <w:tcW w:w="3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0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725 %</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6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13 %</w:t>
            </w:r>
          </w:p>
        </w:tc>
        <w:tc>
          <w:tcPr>
            <w:tcW w:w="2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1 %</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Total Segment Net Revenues</w:t>
      </w:r>
      <w:r>
        <w:rPr>
          <w:rFonts w:ascii="Times New Roman" w:cs="Times New Roman" w:eastAsia="Times New Roman" w:hAnsi="Times New Roman"/>
          <w:sz w:val="18"/>
          <w:szCs w:val="18"/>
          <w:color w:val="auto"/>
        </w:rPr>
        <w:t>. Reynolds Cooking &amp; Baking total segment net revenues decreased by $19 million, or 7%, to $264 million. The decrease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revenues was primarily due to an $18 million decline in our non-retail net revenues driven by lower volume.</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Reynolds Cooking &amp; Baking Adjusted EBITDA increased by $29 million, or 725%, to $33 million. The increase in Adjusted EBITDA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driven by lower material and manufacturing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Waste &amp; Storage</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1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7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7"/>
        </w:trPr>
        <w:tc>
          <w:tcPr>
            <w:tcW w:w="41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4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21"/>
                <w:szCs w:val="21"/>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6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29 %</w:t>
            </w:r>
          </w:p>
        </w:tc>
        <w:tc>
          <w:tcPr>
            <w:tcW w:w="2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24 %</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Total Segment Net Revenues</w:t>
      </w:r>
      <w:r>
        <w:rPr>
          <w:rFonts w:ascii="Times New Roman" w:cs="Times New Roman" w:eastAsia="Times New Roman" w:hAnsi="Times New Roman"/>
          <w:sz w:val="18"/>
          <w:szCs w:val="18"/>
          <w:color w:val="auto"/>
        </w:rPr>
        <w:t>. Hefty Waste &amp; Storage total segment net revenues decreased $4 million, or 2%, to $229 million. The decrease in net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due to lower volume.</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Hefty Waste &amp; Storage Adjusted EBITDA increased by $11 million, or 20%, to $66 million. The increase in Adjusted EBITDA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lower material and manufacturing costs.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Tableware</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1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7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7"/>
        </w:trPr>
        <w:tc>
          <w:tcPr>
            <w:tcW w:w="41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4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gridSpan w:val="2"/>
          </w:tcPr>
          <w:p>
            <w:pPr>
              <w:jc w:val="center"/>
              <w:ind w:left="516"/>
              <w:spacing w:after="0"/>
              <w:rPr>
                <w:sz w:val="20"/>
                <w:szCs w:val="20"/>
                <w:color w:val="auto"/>
              </w:rPr>
            </w:pPr>
            <w:r>
              <w:rPr>
                <w:rFonts w:ascii="Times New Roman" w:cs="Times New Roman" w:eastAsia="Times New Roman" w:hAnsi="Times New Roman"/>
                <w:sz w:val="18"/>
                <w:szCs w:val="18"/>
                <w:color w:val="auto"/>
                <w:w w:val="99"/>
              </w:rPr>
              <w:t>—</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6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15 %</w:t>
            </w:r>
          </w:p>
        </w:tc>
        <w:tc>
          <w:tcPr>
            <w:tcW w:w="2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13 %</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Segment Net Revenues. </w:t>
      </w:r>
      <w:r>
        <w:rPr>
          <w:rFonts w:ascii="Times New Roman" w:cs="Times New Roman" w:eastAsia="Times New Roman" w:hAnsi="Times New Roman"/>
          <w:sz w:val="18"/>
          <w:szCs w:val="18"/>
          <w:color w:val="auto"/>
        </w:rPr>
        <w:t>Hefty Tableware total segment net revenues decreased by $19 million, or 8%, to $205 million. The decrease in net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due to lower volume and lower pricing.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Hefty Tableware Adjusted EBITDA remained flat, with lower material and manufacturing costs offset by lower volume.</w:t>
      </w:r>
    </w:p>
    <w:p>
      <w:pPr>
        <w:sectPr>
          <w:pgSz w:w="11900" w:h="16838" w:orient="portrait"/>
          <w:cols w:equalWidth="0" w:num="1">
            <w:col w:w="11240"/>
          </w:cols>
          <w:pgMar w:left="320" w:top="12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type w:val="continuous"/>
        </w:sectPr>
      </w:pPr>
    </w:p>
    <w:bookmarkStart w:id="21" w:name="page22"/>
    <w:bookmarkEnd w:id="21"/>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Presto Products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1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7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7"/>
        </w:trPr>
        <w:tc>
          <w:tcPr>
            <w:tcW w:w="41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4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21"/>
                <w:szCs w:val="21"/>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6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20 %</w:t>
            </w:r>
          </w:p>
        </w:tc>
        <w:tc>
          <w:tcPr>
            <w:tcW w:w="2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13 %</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4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Segment Net Revenues. </w:t>
      </w:r>
      <w:r>
        <w:rPr>
          <w:rFonts w:ascii="Times New Roman" w:cs="Times New Roman" w:eastAsia="Times New Roman" w:hAnsi="Times New Roman"/>
          <w:sz w:val="18"/>
          <w:szCs w:val="18"/>
          <w:color w:val="auto"/>
        </w:rPr>
        <w:t>Presto Products total segment net revenues were relatively flat during the three months ended March 31, 2024,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prior year period.</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Presto Products Adjusted EBITDA increased by $10 million, or 53%, to $29 million. The increase was primarily driven by lower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 and manufacturing costs.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principal sources of liquidity are existing cash and cash equivalents, cash generated from operating activities and available borrowings under the Revolving Facility.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discloses our cash flows for the periods presented:</w:t>
      </w:r>
    </w:p>
    <w:p>
      <w:pPr>
        <w:spacing w:after="0" w:line="200" w:lineRule="exact"/>
        <w:rPr>
          <w:sz w:val="20"/>
          <w:szCs w:val="20"/>
          <w:color w:val="auto"/>
        </w:rPr>
      </w:pP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80" w:type="dxa"/>
            <w:vAlign w:val="bottom"/>
            <w:gridSpan w:val="4"/>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37"/>
        </w:trPr>
        <w:tc>
          <w:tcPr>
            <w:tcW w:w="7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5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756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center"/>
              <w:ind w:left="956"/>
              <w:spacing w:after="0"/>
              <w:rPr>
                <w:sz w:val="20"/>
                <w:szCs w:val="20"/>
                <w:color w:val="auto"/>
              </w:rPr>
            </w:pPr>
            <w:r>
              <w:rPr>
                <w:rFonts w:ascii="Times New Roman" w:cs="Times New Roman" w:eastAsia="Times New Roman" w:hAnsi="Times New Roman"/>
                <w:sz w:val="18"/>
                <w:szCs w:val="18"/>
                <w:color w:val="auto"/>
                <w:w w:val="99"/>
              </w:rPr>
              <w:t>99</w:t>
            </w: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center"/>
              <w:ind w:left="894"/>
              <w:spacing w:after="0"/>
              <w:rPr>
                <w:sz w:val="20"/>
                <w:szCs w:val="20"/>
                <w:color w:val="auto"/>
              </w:rPr>
            </w:pPr>
            <w:r>
              <w:rPr>
                <w:rFonts w:ascii="Times New Roman" w:cs="Times New Roman" w:eastAsia="Times New Roman" w:hAnsi="Times New Roman"/>
                <w:sz w:val="18"/>
                <w:szCs w:val="18"/>
                <w:color w:val="auto"/>
                <w:w w:val="99"/>
              </w:rPr>
              <w:t>88</w:t>
            </w:r>
          </w:p>
        </w:tc>
        <w:tc>
          <w:tcPr>
            <w:tcW w:w="0" w:type="dxa"/>
            <w:vAlign w:val="bottom"/>
          </w:tcPr>
          <w:p>
            <w:pPr>
              <w:spacing w:after="0"/>
              <w:rPr>
                <w:sz w:val="1"/>
                <w:szCs w:val="1"/>
                <w:color w:val="auto"/>
              </w:rPr>
            </w:pPr>
          </w:p>
        </w:tc>
      </w:tr>
      <w:tr>
        <w:trPr>
          <w:trHeight w:val="24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spacing w:after="0"/>
              <w:rPr>
                <w:sz w:val="21"/>
                <w:szCs w:val="21"/>
                <w:color w:val="auto"/>
              </w:rPr>
            </w:pPr>
          </w:p>
        </w:tc>
        <w:tc>
          <w:tcPr>
            <w:tcW w:w="1340" w:type="dxa"/>
            <w:vAlign w:val="bottom"/>
          </w:tcPr>
          <w:p>
            <w:pPr>
              <w:jc w:val="center"/>
              <w:ind w:left="916"/>
              <w:spacing w:after="0"/>
              <w:rPr>
                <w:sz w:val="20"/>
                <w:szCs w:val="20"/>
                <w:color w:val="auto"/>
              </w:rPr>
            </w:pPr>
            <w:r>
              <w:rPr>
                <w:rFonts w:ascii="Times New Roman" w:cs="Times New Roman" w:eastAsia="Times New Roman" w:hAnsi="Times New Roman"/>
                <w:sz w:val="18"/>
                <w:szCs w:val="18"/>
                <w:color w:val="auto"/>
                <w:w w:val="99"/>
              </w:rPr>
              <w:t>(29)</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center"/>
              <w:ind w:left="854"/>
              <w:spacing w:after="0"/>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center"/>
              <w:ind w:left="916"/>
              <w:spacing w:after="0"/>
              <w:rPr>
                <w:sz w:val="20"/>
                <w:szCs w:val="20"/>
                <w:color w:val="auto"/>
              </w:rPr>
            </w:pPr>
            <w:r>
              <w:rPr>
                <w:rFonts w:ascii="Times New Roman" w:cs="Times New Roman" w:eastAsia="Times New Roman" w:hAnsi="Times New Roman"/>
                <w:sz w:val="18"/>
                <w:szCs w:val="18"/>
                <w:color w:val="auto"/>
                <w:w w:val="99"/>
              </w:rPr>
              <w:t>(50)</w:t>
            </w:r>
          </w:p>
        </w:tc>
        <w:tc>
          <w:tcPr>
            <w:tcW w:w="2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center"/>
              <w:ind w:left="854"/>
              <w:spacing w:after="0"/>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237"/>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in cash and cash equivalents</w:t>
            </w: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tcBorders>
          </w:tcPr>
          <w:p>
            <w:pPr>
              <w:jc w:val="center"/>
              <w:ind w:left="956"/>
              <w:spacing w:after="0"/>
              <w:rPr>
                <w:sz w:val="20"/>
                <w:szCs w:val="20"/>
                <w:color w:val="auto"/>
              </w:rPr>
            </w:pPr>
            <w:r>
              <w:rPr>
                <w:rFonts w:ascii="Times New Roman" w:cs="Times New Roman" w:eastAsia="Times New Roman" w:hAnsi="Times New Roman"/>
                <w:sz w:val="18"/>
                <w:szCs w:val="18"/>
                <w:b w:val="1"/>
                <w:bCs w:val="1"/>
                <w:color w:val="auto"/>
                <w:w w:val="99"/>
              </w:rPr>
              <w:t>20</w:t>
            </w:r>
          </w:p>
        </w:tc>
        <w:tc>
          <w:tcPr>
            <w:tcW w:w="24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top w:val="single" w:sz="8" w:color="auto"/>
            </w:tcBorders>
          </w:tcPr>
          <w:p>
            <w:pPr>
              <w:jc w:val="center"/>
              <w:ind w:left="894"/>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operating activities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Net cash from operating activities increased by $11 million to $99 million in the three months ended March 31, 2024. </w:t>
      </w:r>
      <w:r>
        <w:rPr>
          <w:rFonts w:ascii="Times New Roman" w:cs="Times New Roman" w:eastAsia="Times New Roman" w:hAnsi="Times New Roman"/>
          <w:sz w:val="18"/>
          <w:szCs w:val="18"/>
          <w:color w:val="212529"/>
        </w:rPr>
        <w:t>The increase was primarily driven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the benefit from working capital initiatives and higher net income, partially offset by higher net investment in inventory during the current period.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investing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increased by $7 million to $29 million. The increase was driven by increased cash outlays for capital expenditures.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financing activities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decreased by $4 million to $50 million. The decrease was primarily driven by voluntary principal payments related to our Term Loan Facility, which were made in 2023 and first applied to pay the remaining quarterly amortization payments in full. As a result, no quarterly amortization payments were made during the three months ended March 31, 2024, compared to $6 million of amortization payments made during the three months ended March 31, 2023.</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External Debt Facilities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2020, we entered into the External Debt Facilities which consist of a $2,475 million Term Loan Facility and a Revolving Facility that provides for additional borrowing capacity of up to $250 million, reduced by amounts used for letters of credit. In February 2023, we amended the External Debt Facilities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Amendment No. 1”) which replaced the interest rate benchmark from LIBOR to the SOFR. Additionally, in November 2023, we further amended the External Debt Facilities (“Amendment No. 2”) to extend the maturity of the Revolving Facility by one year. Other than the foregoing, the material terms of the agreement remained unchanged.</w:t>
      </w:r>
    </w:p>
    <w:p>
      <w:pPr>
        <w:spacing w:after="0" w:line="75"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As of March 31, 2024, the outstanding balance under the Term Loan Facility was $1,845 million. As of March 31, 2024, we had no outstanding borrowings under the Revolving Facility, and we had $6 million of letters of credit outstanding, which reduces the borrowing capacity under the Revolving Facility.</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borrower under the Amended External Debt Facilities is Reynolds Consumer Products LLC (the “Borrower”). The Revolving Facility includes a sub-facility for letters of credit. In addition, the Amended External Debt Facilities provide that the Borrower has the right at any time, subject to customary conditions, to request incremental term loans or incremental revolving credit commitments in amounts and on terms set forth therein. The lenders under the Amended External Debt Facilities are not under any obligation to provide any such incremental loans or commitments, and any such addition of or increase in loans is subject to certain customary conditions precedent and other provisions.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Borrowings under the Amended External Debt Facilities bear interest at a rate per annum equal to, at our option, either a base rate plus an applicable margin of 0.75% or SOFR plus an applicable margin of 1.75%.</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2020 and 2022, we entered into a series of interest rate swaps to fix the LIBOR of our External Debt Facilities. In February 2023, we amended our interest rate swaps to replace the interest rate benchmark from LIBOR to SOFR. Other than the foregoing, the material terms of the interest rate swap agreements remained unchanged, and our election to use practical expedients under ASUs 2020-04 and 2021-01 resulted in no material impacts on the condensed consolidated financial statements. The aggregate notional amount of the interest rate swaps still in effect as of March 31, 2024 was $1,150 million, and the SOFR is fixed at an annual rate of 0.40% to 3.40% (for an annual effective interest rate of 2.15% to 5.15%, including margin). These interest rate swaps hedge a portion of the interest rate exposure resulting from our Term Loan Facility for periods ranging from two to three years.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Prepayments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 Loan Facility contains customary mandatory prepayments, including with respect to excess cash flow, asset sale proceeds and proceeds from certain incurrences of indebtedness.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Borrower may voluntarily repay outstanding loans under the Term Loan Facility at any time without premium or penalty, other than customary breakage costs with respect to SOFR based loans.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to March 31, 2024, we made an additional voluntary principal payment of $50 million related to the Term Loan Facility.</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and maturity</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Loan Facility matures in February 2027. The Term Loan Facility amortizes in equal quarterly installments of $6 million, which commenced in June 2020, with the balance payable on maturity. During the year ended December 31, 2023, we made voluntary principal payments of $250 million related to our Term Loan Facility, which were first applied to pay the remaining quarterly amortization payments in full, with the residual balance applied to the outstanding principal balance due at maturity.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amended, the Revolving Facility matures in February 2026.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 and security</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obligations under the Amended External Debt Facilities and certain hedge agreements and cash management arrangements provided by any lender party to the Amended External Debt Facilities or any of its affiliates and certain other persons are unconditionally guaranteed by Reynolds Consumer Products Inc. (“RCPI”), the Borrower (with respect to hedge agreements and cash management arrangements not entered into by the Borrower) and certain of RCPI’s existing and subsequently acquired or organized direct or indirect material wholly-owned U.S. restricted subsidiaries, with customary exceptions including, among other things, where providing such guarantees is not permitted by law, regulation or contract or would result in material adverse tax consequences.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obligations under the Amended External Debt Facilities and certain hedge agreements and cash management arrangements provided by any lender party to the Amended External Debt Facilities or any of its affiliates and certain other persons, and the guarantees of such obligations, are secured, subject to permitted liens and other exceptions, by: (i) a perfected first-priority pledge of all the equity interests of each wholly-owned material restricted subsidiary of RCPI, the Borrower or a subsidiary guarantor, including the equity interests of the Borrower (limited to 65% of voting stock in the case of first-tier non-U.S. subsidiaries of RCPI, the Borrower or any subsidiary guarantor) and (ii) perfected first-priority security interests in substantially all tangible and intangible personal property of RCPI, the Borrower and the subsidiary guarantors (subject to certain other exclusions).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covenants and events of default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Amended External Debt Facilities contain a number of covenants that, among other things, restrict, subject to certain exceptions, our ability and the ability of the restricted subsidiaries of RCPI to:</w:t>
      </w:r>
    </w:p>
    <w:p>
      <w:pPr>
        <w:spacing w:after="0" w:line="54" w:lineRule="exact"/>
        <w:rPr>
          <w:sz w:val="20"/>
          <w:szCs w:val="20"/>
          <w:color w:val="auto"/>
        </w:rPr>
      </w:pPr>
    </w:p>
    <w:p>
      <w:pPr>
        <w:ind w:left="880" w:hanging="431"/>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and guarantee indebtedness;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or consolidations;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otherwise dispose of assets;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distributions or repurchase capital stock;</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certain indebtedness;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loans and advances;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affiliates;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which limit the ability of our restricted subsidiaries to incur restrictions on their ability to make distributions; and</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amendments to certain indebtedness in a manner materially adverse to the lenders.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Amended External Debt Facilities contain a springing financial covenant requiring compliance with a ratio of first lien net indebtedness to consolidated EBITDA, applicable solely to the Revolving Facility. The financial covenant is tested on the last day of any fiscal quarter only if the aggregate principal amount of borrowings under the Revolving Facility and drawn but unreimbursed letters of credit exceed 35% of the total amount of commitments under the Revolving Facility on such day.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 event of default occurs, the lenders under the Amended External Debt Facilities are entitled to take various actions, including the acceleration of amounts due under the Amended External Debt Facilities and all actions permitted to be taken by secured creditors.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currently in compliance with the covenants contained in our Amended External Debt Facilities.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Factoring</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 xml:space="preserve">We are party to a factoring agreement with JP Morgan Chase Bank, N.A. to sell certain accounts receivable up to $95 million. We had no outstanding balance owed under the factoring arrangement as of </w:t>
      </w:r>
      <w:r>
        <w:rPr>
          <w:rFonts w:ascii="Times New Roman" w:cs="Times New Roman" w:eastAsia="Times New Roman" w:hAnsi="Times New Roman"/>
          <w:sz w:val="18"/>
          <w:szCs w:val="18"/>
          <w:color w:val="000000"/>
        </w:rPr>
        <w:t>March 31, 2024</w:t>
      </w:r>
      <w:r>
        <w:rPr>
          <w:rFonts w:ascii="Times New Roman" w:cs="Times New Roman" w:eastAsia="Times New Roman" w:hAnsi="Times New Roman"/>
          <w:sz w:val="18"/>
          <w:szCs w:val="18"/>
          <w:color w:val="212529"/>
        </w:rPr>
        <w:t>. Transactions under this agreement are accounted for as sales of accounts receivable, and the receivables sold are removed from the condensed consolidated balance sheet at the time of the sales transaction. We classify the proceeds received from the sales of accounts receivable as an operating cash flow in the condensed consolidated statement of cash flows. We record the discount as other expense, net in the condensed consolidated statement of income.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Supply Chain Financing</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12529"/>
        </w:rPr>
        <w:t xml:space="preserve">In March 2023, we initiated a voluntary Supply Chain Finance program (the </w:t>
      </w:r>
      <w:r>
        <w:rPr>
          <w:rFonts w:ascii="Times New Roman" w:cs="Times New Roman" w:eastAsia="Times New Roman" w:hAnsi="Times New Roman"/>
          <w:sz w:val="16"/>
          <w:szCs w:val="16"/>
          <w:color w:val="000000"/>
        </w:rPr>
        <w:t>“</w:t>
      </w:r>
      <w:r>
        <w:rPr>
          <w:rFonts w:ascii="Times New Roman" w:cs="Times New Roman" w:eastAsia="Times New Roman" w:hAnsi="Times New Roman"/>
          <w:sz w:val="18"/>
          <w:szCs w:val="18"/>
          <w:color w:val="212529"/>
        </w:rPr>
        <w:t>SCF</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12529"/>
        </w:rPr>
        <w:t xml:space="preserve">) with a global financial institution (the </w:t>
      </w:r>
      <w:r>
        <w:rPr>
          <w:rFonts w:ascii="Times New Roman" w:cs="Times New Roman" w:eastAsia="Times New Roman" w:hAnsi="Times New Roman"/>
          <w:sz w:val="16"/>
          <w:szCs w:val="16"/>
          <w:color w:val="000000"/>
        </w:rPr>
        <w:t>“</w:t>
      </w:r>
      <w:r>
        <w:rPr>
          <w:rFonts w:ascii="Times New Roman" w:cs="Times New Roman" w:eastAsia="Times New Roman" w:hAnsi="Times New Roman"/>
          <w:sz w:val="18"/>
          <w:szCs w:val="18"/>
          <w:color w:val="212529"/>
        </w:rPr>
        <w:t>SCF Bank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12529"/>
        </w:rPr>
        <w:t>). Under the SCF, qualifying suppliers may elect to sell their receivables from us to the SCF Bank. These participating suppliers negotiate their receivables sales arrangements directly with the SCF Bank. We are not party to those agreements, nor do we provide any security or other forms of guarantees to the SCF Bank. The participation in the program is at the sole discretion of the supplier, we have no economic interest in a supplier</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12529"/>
        </w:rPr>
        <w:t>s decision to enter into the agreement and have no direct financial relationship with the SCF Bank, as it relates to the SCF. Once a qualifying supplier elects to participate in the SCF and reaches an agreement with the SCF Bank, they elect which individual invoices they sell to the SCF Bank.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The terms of our payment obligations are not impacted by a supplier</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12529"/>
        </w:rPr>
        <w:t>s participation in the SCF and as such, the SCF has no direct impact on our balance sheets, cash flows, or liquidity. Our payment terms with our suppliers for similar services and materials within individual markets are consistent between suppliers that elect to participate in the SCF and those that do not participate.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 xml:space="preserve">All outstanding amounts related to suppliers participating in the SCF are recorded within accounts payable in our condensed consolidated balance sheet and associated payments are included as an operating cash flow in the condensed consolidated statement of cash flows. As of </w:t>
      </w:r>
      <w:r>
        <w:rPr>
          <w:rFonts w:ascii="Times New Roman" w:cs="Times New Roman" w:eastAsia="Times New Roman" w:hAnsi="Times New Roman"/>
          <w:sz w:val="18"/>
          <w:szCs w:val="18"/>
          <w:color w:val="000000"/>
        </w:rPr>
        <w:t>March 31, 2024, the amount of</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obligations outstanding that we have confirmed as valid under the SCF was </w:t>
      </w:r>
      <w:r>
        <w:rPr>
          <w:rFonts w:ascii="Times New Roman" w:cs="Times New Roman" w:eastAsia="Times New Roman" w:hAnsi="Times New Roman"/>
          <w:sz w:val="18"/>
          <w:szCs w:val="18"/>
          <w:color w:val="212529"/>
        </w:rPr>
        <w:t>$9 million</w:t>
      </w:r>
      <w:r>
        <w:rPr>
          <w:rFonts w:ascii="Times New Roman" w:cs="Times New Roman" w:eastAsia="Times New Roman" w:hAnsi="Times New Roman"/>
          <w:sz w:val="18"/>
          <w:szCs w:val="18"/>
          <w:color w:val="000000"/>
        </w:rPr>
        <w:t>. As of March 31, 2023, there were no obligations outstanding that we had confirmed as valid under the SCF.</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Dividends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a cash dividend of $0.23 per share was declared and paid. On April 25, 2024, a quarterly cash dividend of $0.23 per share was declared and is to be paid on May 31, 2024. We expect to continue paying cash dividends on a quarterly basis; however, future dividends are at the discretion of our Board of Directors and will depend upon our earnings, capital requirements, financial condition, contractual limitations (including under the Amended External Debt Facilities) and other factors.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our projected cash position, cash flows from operations, including proceeds from factored receivables, and available borrowings under the Revolving Facility are sufficient to meet debt service, capital expenditures and working capital needs for the foreseeable future. However, we cannot ensure that our business will generate sufficient cash flow from operations or that future borrowings will be available under our borrowing agreements in amounts sufficient to pay indebtedness or fund other liquidity needs. Actual results of operations will depend on numerous factors, many of which are beyond our control as further discussed in “Item 1A. Risk Factors” in our Annual Report on Form 10-K for the fiscal year ended December 31, 2023.</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Accounting policies and estimates are considered critical when they require management to make subjective and complex judgments, estimates and assumptions about matters that have a material impact on the presentation of our financial statements and accompanying notes. For a description of our critical accounting policies and estimates, see our Annual Report on Form 10-K for the fiscal year ended December 31, 2023.</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“Item 7A: Quantitative and Qualitative Disclosures About Market Risk” of our Annual Report on Form 10-K for the fiscal year ended December 31, 2023. During the three months ended March 31, 2024, there have been no material changes in our exposure to market risk.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left="880" w:hanging="431"/>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Disclosure Controls and Procedures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Securities Exchange Act of 1934, as amended (the “Exchange Act”)) are designed to ensure that information required to be disclosed in reports filed or submitted under the Exchange Act is recorded, processed, summarized, and reported within the time periods specified in the SEC rules and forms, and that such information is accumulated and communicated to management, including our Chief Executive Officer and Chief Financial Officer, to allow timely decisions regarding required disclosures.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of this report, management, under the supervision and with the participation of the Chief Executive Officer and Chief Financial Officer, conducted an evaluation of the effectiveness of the design and operation of our disclosure controls and procedures as of March 31, 2024. Based on that evaluation, our Chief Executive Officer and Chief Financial Officer have concluded that, as of March 31, 2024, our disclosure controls and procedures were effective.</w:t>
      </w:r>
    </w:p>
    <w:p>
      <w:pPr>
        <w:spacing w:after="0" w:line="180" w:lineRule="exact"/>
        <w:rPr>
          <w:sz w:val="20"/>
          <w:szCs w:val="20"/>
          <w:color w:val="auto"/>
        </w:rPr>
      </w:pPr>
    </w:p>
    <w:p>
      <w:pPr>
        <w:ind w:left="880" w:hanging="431"/>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March 31, 2024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to be set forth under this heading is incorporated by reference from Note 7 - Commitments and Contingencies, to the condensed consolidated financial statements included in Part I, Item 1.</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from the risk factors disclosed in our Annual Report on Form 10-K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7" w:name="page28"/>
    <w:bookmarkEnd w:id="27"/>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none of our directors or officers (as defined in Rule 16a-1(f) of the Exchange Act) adopted or terminated any contract, instruction or written plan for the purchase or sale of our securities that was intended to satisfy the affirmative defense conditions of Rule 10b5-1(c) of the Exchange Act or any non-Rule 10b5-1 trading arrangement (as identified in Item 408(c) of Regulation S-K).</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240" w:type="dxa"/>
            <w:vAlign w:val="bottom"/>
            <w:gridSpan w:val="12"/>
          </w:tcPr>
          <w:p>
            <w:pPr>
              <w:ind w:left="980"/>
              <w:spacing w:after="0"/>
              <w:rPr>
                <w:sz w:val="20"/>
                <w:szCs w:val="20"/>
                <w:color w:val="auto"/>
              </w:rPr>
            </w:pPr>
            <w:r>
              <w:rPr>
                <w:rFonts w:ascii="Times New Roman" w:cs="Times New Roman" w:eastAsia="Times New Roman" w:hAnsi="Times New Roman"/>
                <w:sz w:val="18"/>
                <w:szCs w:val="18"/>
                <w:b w:val="1"/>
                <w:bCs w:val="1"/>
                <w:color w:val="auto"/>
              </w:rPr>
              <w:t>Item 6. Exhibits.</w:t>
            </w:r>
          </w:p>
        </w:tc>
      </w:tr>
      <w:tr>
        <w:trPr>
          <w:trHeight w:val="448"/>
        </w:trPr>
        <w:tc>
          <w:tcPr>
            <w:tcW w:w="14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0"/>
        </w:trPr>
        <w:tc>
          <w:tcPr>
            <w:tcW w:w="146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880" w:type="dxa"/>
            <w:vAlign w:val="bottom"/>
            <w:gridSpan w:val="11"/>
          </w:tcPr>
          <w:p>
            <w:pPr>
              <w:ind w:left="6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7"/>
        </w:trPr>
        <w:tc>
          <w:tcPr>
            <w:tcW w:w="1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r>
        <w:trPr>
          <w:trHeight w:val="452"/>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43">
              <w:r>
                <w:rPr>
                  <w:rFonts w:ascii="Times New Roman" w:cs="Times New Roman" w:eastAsia="Times New Roman" w:hAnsi="Times New Roman"/>
                  <w:sz w:val="18"/>
                  <w:szCs w:val="18"/>
                  <w:color w:val="0000FF"/>
                  <w:w w:val="99"/>
                </w:rPr>
                <w:t>Amended and Restated Certificate of Incorporation (incorporated herein by reference to Exhibit 3.1 to the Company’s Current Report</w:t>
              </w:r>
            </w:hyperlink>
          </w:p>
        </w:tc>
        <w:tc>
          <w:tcPr>
            <w:tcW w:w="140" w:type="dxa"/>
            <w:vAlign w:val="bottom"/>
            <w:gridSpan w:val="3"/>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8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43">
              <w:r>
                <w:rPr>
                  <w:rFonts w:ascii="Times New Roman" w:cs="Times New Roman" w:eastAsia="Times New Roman" w:hAnsi="Times New Roman"/>
                  <w:sz w:val="18"/>
                  <w:szCs w:val="18"/>
                  <w:color w:val="0000FF"/>
                  <w:w w:val="99"/>
                </w:rPr>
                <w:t>on Form 8-K filed with the SEC on February 4, 2020)</w:t>
              </w:r>
            </w:hyperlink>
          </w:p>
        </w:tc>
        <w:tc>
          <w:tcPr>
            <w:tcW w:w="5880" w:type="dxa"/>
            <w:vAlign w:val="bottom"/>
            <w:gridSpan w:val="11"/>
          </w:tcPr>
          <w:p>
            <w:pPr>
              <w:spacing w:after="0"/>
              <w:rPr>
                <w:sz w:val="17"/>
                <w:szCs w:val="17"/>
                <w:color w:val="auto"/>
              </w:rPr>
            </w:pPr>
          </w:p>
        </w:tc>
      </w:tr>
      <w:tr>
        <w:trPr>
          <w:trHeight w:val="25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2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44">
              <w:r>
                <w:rPr>
                  <w:rFonts w:ascii="Times New Roman" w:cs="Times New Roman" w:eastAsia="Times New Roman" w:hAnsi="Times New Roman"/>
                  <w:sz w:val="18"/>
                  <w:szCs w:val="18"/>
                  <w:color w:val="0000FF"/>
                  <w:w w:val="99"/>
                </w:rPr>
                <w:t>Certificate of Amendment to Amended and Restated Certificate of Incorporation of Reynolds Consumer Products Inc. (incorporated</w:t>
              </w:r>
            </w:hyperlink>
          </w:p>
        </w:tc>
        <w:tc>
          <w:tcPr>
            <w:tcW w:w="240" w:type="dxa"/>
            <w:vAlign w:val="bottom"/>
            <w:gridSpan w:val="7"/>
          </w:tcPr>
          <w:p>
            <w:pPr>
              <w:spacing w:after="0"/>
              <w:rPr>
                <w:sz w:val="21"/>
                <w:szCs w:val="2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gridSpan w:val="14"/>
          </w:tcPr>
          <w:p>
            <w:pPr>
              <w:spacing w:after="0" w:line="196" w:lineRule="exact"/>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herein by reference to Exhibit 3.1 to the Company's Current Report on Form 8-K filed with the SEC on April 25, 2024)</w:t>
              </w:r>
            </w:hyperlink>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460" w:type="dxa"/>
            <w:vAlign w:val="bottom"/>
            <w:gridSpan w:val="2"/>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6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45">
              <w:r>
                <w:rPr>
                  <w:rFonts w:ascii="Times New Roman" w:cs="Times New Roman" w:eastAsia="Times New Roman" w:hAnsi="Times New Roman"/>
                  <w:sz w:val="18"/>
                  <w:szCs w:val="18"/>
                  <w:color w:val="0000FF"/>
                  <w:w w:val="99"/>
                </w:rPr>
                <w:t>Amended and Restated By-Laws (incorporated herein by reference to Exhibit 3.2 to the Company’s Current Report on Form 8-K filed</w:t>
              </w:r>
            </w:hyperlink>
          </w:p>
        </w:tc>
        <w:tc>
          <w:tcPr>
            <w:tcW w:w="100" w:type="dxa"/>
            <w:vAlign w:val="bottom"/>
          </w:tcPr>
          <w:p>
            <w:pPr>
              <w:spacing w:after="0"/>
              <w:rPr>
                <w:sz w:val="21"/>
                <w:szCs w:val="2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2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45">
              <w:r>
                <w:rPr>
                  <w:rFonts w:ascii="Times New Roman" w:cs="Times New Roman" w:eastAsia="Times New Roman" w:hAnsi="Times New Roman"/>
                  <w:sz w:val="18"/>
                  <w:szCs w:val="18"/>
                  <w:color w:val="0000FF"/>
                  <w:w w:val="98"/>
                </w:rPr>
                <w:t>with the SEC on February 4, 2020)</w:t>
              </w:r>
            </w:hyperlink>
          </w:p>
        </w:tc>
        <w:tc>
          <w:tcPr>
            <w:tcW w:w="7240" w:type="dxa"/>
            <w:vAlign w:val="bottom"/>
            <w:gridSpan w:val="12"/>
          </w:tcPr>
          <w:p>
            <w:pPr>
              <w:spacing w:after="0"/>
              <w:rPr>
                <w:sz w:val="17"/>
                <w:szCs w:val="17"/>
                <w:color w:val="auto"/>
              </w:rPr>
            </w:pPr>
          </w:p>
        </w:tc>
      </w:tr>
      <w:tr>
        <w:trPr>
          <w:trHeight w:val="25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Form of Assignment and Assumption Agreement for Employment Agreements, and Form of Assignment and Assumption Agreement</w:t>
            </w:r>
          </w:p>
        </w:tc>
        <w:tc>
          <w:tcPr>
            <w:tcW w:w="120" w:type="dxa"/>
            <w:vAlign w:val="bottom"/>
            <w:gridSpan w:val="2"/>
          </w:tcPr>
          <w:p>
            <w:pPr>
              <w:spacing w:after="0"/>
              <w:rPr>
                <w:sz w:val="21"/>
                <w:szCs w:val="2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for Restrictive Covenant Agreement, each by and among Reynolds Consumer Products LLC, Reynolds Consumer Products Holdings</w:t>
            </w:r>
          </w:p>
        </w:tc>
        <w:tc>
          <w:tcPr>
            <w:tcW w:w="160" w:type="dxa"/>
            <w:vAlign w:val="bottom"/>
            <w:gridSpan w:val="4"/>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LLC, and Lance Mitchell, Scott Huckins, Rachel Bishop, Judith Buckner and Lisa Smith</w:t>
            </w: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600" w:type="dxa"/>
            <w:vAlign w:val="bottom"/>
            <w:gridSpan w:val="3"/>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25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Rules 13a-14(a) and 15d-14(a) under the Securities Exchange Act of 1934, as</w:t>
            </w:r>
          </w:p>
        </w:tc>
        <w:tc>
          <w:tcPr>
            <w:tcW w:w="140" w:type="dxa"/>
            <w:vAlign w:val="bottom"/>
            <w:gridSpan w:val="3"/>
          </w:tcPr>
          <w:p>
            <w:pPr>
              <w:spacing w:after="0"/>
              <w:rPr>
                <w:sz w:val="21"/>
                <w:szCs w:val="2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780" w:type="dxa"/>
            <w:vAlign w:val="bottom"/>
            <w:gridSpan w:val="10"/>
          </w:tcPr>
          <w:p>
            <w:pPr>
              <w:spacing w:after="0"/>
              <w:rPr>
                <w:sz w:val="17"/>
                <w:szCs w:val="17"/>
                <w:color w:val="auto"/>
              </w:rPr>
            </w:pPr>
          </w:p>
        </w:tc>
      </w:tr>
      <w:tr>
        <w:trPr>
          <w:trHeight w:val="25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Rules 13a-14(a) and 15d-14(a) under the Securities Exchange Act of 1934, as</w:t>
            </w:r>
          </w:p>
        </w:tc>
        <w:tc>
          <w:tcPr>
            <w:tcW w:w="200" w:type="dxa"/>
            <w:vAlign w:val="bottom"/>
            <w:gridSpan w:val="5"/>
          </w:tcPr>
          <w:p>
            <w:pPr>
              <w:spacing w:after="0"/>
              <w:rPr>
                <w:sz w:val="21"/>
                <w:szCs w:val="2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780" w:type="dxa"/>
            <w:vAlign w:val="bottom"/>
            <w:gridSpan w:val="10"/>
          </w:tcPr>
          <w:p>
            <w:pPr>
              <w:spacing w:after="0"/>
              <w:rPr>
                <w:sz w:val="17"/>
                <w:szCs w:val="17"/>
                <w:color w:val="auto"/>
              </w:rPr>
            </w:pPr>
          </w:p>
        </w:tc>
      </w:tr>
      <w:tr>
        <w:trPr>
          <w:trHeight w:val="25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18 U.S.C. Section 1350, as Adopted Pursuant to Section 906 of the Sarbanes-</w:t>
            </w:r>
          </w:p>
        </w:tc>
        <w:tc>
          <w:tcPr>
            <w:tcW w:w="160" w:type="dxa"/>
            <w:vAlign w:val="bottom"/>
            <w:gridSpan w:val="4"/>
          </w:tcPr>
          <w:p>
            <w:pPr>
              <w:spacing w:after="0"/>
              <w:rPr>
                <w:sz w:val="21"/>
                <w:szCs w:val="2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Oxley Act of 2002.</w:t>
            </w:r>
          </w:p>
        </w:tc>
        <w:tc>
          <w:tcPr>
            <w:tcW w:w="8380" w:type="dxa"/>
            <w:vAlign w:val="bottom"/>
            <w:gridSpan w:val="13"/>
          </w:tcPr>
          <w:p>
            <w:pPr>
              <w:spacing w:after="0"/>
              <w:rPr>
                <w:sz w:val="17"/>
                <w:szCs w:val="17"/>
                <w:color w:val="auto"/>
              </w:rPr>
            </w:pPr>
          </w:p>
        </w:tc>
      </w:tr>
      <w:tr>
        <w:trPr>
          <w:trHeight w:val="25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Oxley Act of 2002.</w:t>
            </w:r>
          </w:p>
        </w:tc>
        <w:tc>
          <w:tcPr>
            <w:tcW w:w="8160" w:type="dxa"/>
            <w:vAlign w:val="bottom"/>
            <w:tcBorders>
              <w:top w:val="single" w:sz="8" w:color="0000FF"/>
            </w:tcBorders>
            <w:gridSpan w:val="7"/>
          </w:tcPr>
          <w:p>
            <w:pPr>
              <w:spacing w:after="0"/>
              <w:rPr>
                <w:sz w:val="17"/>
                <w:szCs w:val="17"/>
                <w:color w:val="auto"/>
              </w:rPr>
            </w:pPr>
          </w:p>
        </w:tc>
        <w:tc>
          <w:tcPr>
            <w:tcW w:w="220" w:type="dxa"/>
            <w:vAlign w:val="bottom"/>
            <w:gridSpan w:val="6"/>
          </w:tcPr>
          <w:p>
            <w:pPr>
              <w:spacing w:after="0"/>
              <w:rPr>
                <w:sz w:val="17"/>
                <w:szCs w:val="17"/>
                <w:color w:val="auto"/>
              </w:rPr>
            </w:pPr>
          </w:p>
        </w:tc>
      </w:tr>
      <w:tr>
        <w:trPr>
          <w:trHeight w:val="272"/>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3"/>
                <w:szCs w:val="23"/>
                <w:color w:val="auto"/>
              </w:rPr>
            </w:pPr>
          </w:p>
        </w:tc>
        <w:tc>
          <w:tcPr>
            <w:tcW w:w="97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w:t>
            </w:r>
          </w:p>
        </w:tc>
      </w:tr>
      <w:tr>
        <w:trPr>
          <w:trHeight w:val="234"/>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7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3"/>
                <w:szCs w:val="23"/>
                <w:color w:val="auto"/>
              </w:rPr>
            </w:pPr>
          </w:p>
        </w:tc>
        <w:tc>
          <w:tcPr>
            <w:tcW w:w="97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7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3"/>
                <w:szCs w:val="23"/>
                <w:color w:val="auto"/>
              </w:rPr>
            </w:pPr>
          </w:p>
        </w:tc>
        <w:tc>
          <w:tcPr>
            <w:tcW w:w="97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7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3"/>
                <w:szCs w:val="23"/>
                <w:color w:val="auto"/>
              </w:rPr>
            </w:pPr>
          </w:p>
        </w:tc>
        <w:tc>
          <w:tcPr>
            <w:tcW w:w="97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7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3"/>
                <w:szCs w:val="23"/>
                <w:color w:val="auto"/>
              </w:rPr>
            </w:pPr>
          </w:p>
        </w:tc>
        <w:tc>
          <w:tcPr>
            <w:tcW w:w="97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7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3"/>
                <w:szCs w:val="23"/>
                <w:color w:val="auto"/>
              </w:rPr>
            </w:pPr>
          </w:p>
        </w:tc>
        <w:tc>
          <w:tcPr>
            <w:tcW w:w="97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7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w:t>
      </w:r>
    </w:p>
    <w:p>
      <w:pPr>
        <w:spacing w:after="0" w:line="31"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REYNOLDS CONSUMER PRODUCTS INC.</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(Registrant)</w:t>
      </w:r>
    </w:p>
    <w:p>
      <w:pPr>
        <w:spacing w:after="0" w:line="320" w:lineRule="exact"/>
        <w:rPr>
          <w:sz w:val="20"/>
          <w:szCs w:val="20"/>
          <w:color w:val="auto"/>
        </w:rPr>
      </w:pPr>
    </w:p>
    <w:p>
      <w:pPr>
        <w:ind w:left="20"/>
        <w:spacing w:after="0"/>
        <w:tabs>
          <w:tab w:leader="none" w:pos="460" w:val="left"/>
        </w:tabs>
        <w:rPr>
          <w:sz w:val="20"/>
          <w:szCs w:val="20"/>
          <w:color w:val="auto"/>
        </w:rPr>
      </w:pPr>
      <w:r>
        <w:rPr>
          <w:rFonts w:ascii="Times New Roman" w:cs="Times New Roman" w:eastAsia="Times New Roman" w:hAnsi="Times New Roman"/>
          <w:sz w:val="18"/>
          <w:szCs w:val="18"/>
          <w:color w:val="auto"/>
        </w:rPr>
        <w:t>By:</w:t>
        <w:tab/>
        <w:t>/s/ Chris Mayrhofer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26035</wp:posOffset>
            </wp:positionV>
            <wp:extent cx="34118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Chris Mayrhofer</w:t>
      </w:r>
    </w:p>
    <w:p>
      <w:pPr>
        <w:spacing w:after="0" w:line="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Senior Vice President and Controller</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May 8, 2024</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251"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AND ASSUMPTION AGREEMENT</w:t>
      </w:r>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Assignment and Assumption Agreement (the “</w:t>
      </w:r>
      <w:r>
        <w:rPr>
          <w:rFonts w:ascii="Arial" w:cs="Arial" w:eastAsia="Arial" w:hAnsi="Arial"/>
          <w:sz w:val="18"/>
          <w:szCs w:val="18"/>
          <w:b w:val="1"/>
          <w:bCs w:val="1"/>
          <w:color w:val="auto"/>
        </w:rPr>
        <w:t>Agreement</w:t>
      </w:r>
      <w:r>
        <w:rPr>
          <w:rFonts w:ascii="Arial" w:cs="Arial" w:eastAsia="Arial" w:hAnsi="Arial"/>
          <w:sz w:val="18"/>
          <w:szCs w:val="18"/>
          <w:color w:val="auto"/>
        </w:rPr>
        <w:t>”), effective as of [ ] (the “</w:t>
      </w:r>
      <w:r>
        <w:rPr>
          <w:rFonts w:ascii="Arial" w:cs="Arial" w:eastAsia="Arial" w:hAnsi="Arial"/>
          <w:sz w:val="18"/>
          <w:szCs w:val="18"/>
          <w:b w:val="1"/>
          <w:bCs w:val="1"/>
          <w:color w:val="auto"/>
        </w:rPr>
        <w:t>Effective Date</w:t>
      </w:r>
      <w:r>
        <w:rPr>
          <w:rFonts w:ascii="Arial" w:cs="Arial" w:eastAsia="Arial" w:hAnsi="Arial"/>
          <w:sz w:val="18"/>
          <w:szCs w:val="18"/>
          <w:color w:val="auto"/>
        </w:rPr>
        <w:t>”), is by and among Reynolds</w:t>
      </w:r>
    </w:p>
    <w:p>
      <w:pPr>
        <w:spacing w:after="0" w:line="234" w:lineRule="auto"/>
        <w:rPr>
          <w:sz w:val="20"/>
          <w:szCs w:val="20"/>
          <w:color w:val="auto"/>
        </w:rPr>
      </w:pPr>
      <w:r>
        <w:rPr>
          <w:rFonts w:ascii="Arial" w:cs="Arial" w:eastAsia="Arial" w:hAnsi="Arial"/>
          <w:sz w:val="18"/>
          <w:szCs w:val="18"/>
          <w:color w:val="auto"/>
        </w:rPr>
        <w:t>Consumer Products LLC, a Delaware limited liability company (“</w:t>
      </w:r>
      <w:r>
        <w:rPr>
          <w:rFonts w:ascii="Arial" w:cs="Arial" w:eastAsia="Arial" w:hAnsi="Arial"/>
          <w:sz w:val="18"/>
          <w:szCs w:val="18"/>
          <w:b w:val="1"/>
          <w:bCs w:val="1"/>
          <w:color w:val="auto"/>
        </w:rPr>
        <w:t>Assignor</w:t>
      </w:r>
      <w:r>
        <w:rPr>
          <w:rFonts w:ascii="Arial" w:cs="Arial" w:eastAsia="Arial" w:hAnsi="Arial"/>
          <w:sz w:val="18"/>
          <w:szCs w:val="18"/>
          <w:color w:val="auto"/>
        </w:rPr>
        <w:t>”), Reynolds Consumer Products Holdings LLC, a Delaware limited liability company (“</w:t>
      </w:r>
      <w:r>
        <w:rPr>
          <w:rFonts w:ascii="Arial" w:cs="Arial" w:eastAsia="Arial" w:hAnsi="Arial"/>
          <w:sz w:val="18"/>
          <w:szCs w:val="18"/>
          <w:b w:val="1"/>
          <w:bCs w:val="1"/>
          <w:color w:val="auto"/>
        </w:rPr>
        <w:t>Assignee</w:t>
      </w:r>
      <w:r>
        <w:rPr>
          <w:rFonts w:ascii="Arial" w:cs="Arial" w:eastAsia="Arial" w:hAnsi="Arial"/>
          <w:sz w:val="18"/>
          <w:szCs w:val="18"/>
          <w:color w:val="auto"/>
        </w:rPr>
        <w:t>”), and [ ], an individual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Assignee is a wholly-owned indirect subsidiary of Assignor.</w:t>
      </w:r>
    </w:p>
    <w:p>
      <w:pPr>
        <w:spacing w:after="0" w:line="90" w:lineRule="exact"/>
        <w:rPr>
          <w:sz w:val="20"/>
          <w:szCs w:val="20"/>
          <w:color w:val="auto"/>
        </w:rPr>
      </w:pPr>
    </w:p>
    <w:p>
      <w:pPr>
        <w:ind w:firstLine="648"/>
        <w:spacing w:after="0" w:line="249"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Assignor and Employee previously entered into that certain Employment Agreement, dated as of [ ], as same may be</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from time to time (the “</w:t>
      </w:r>
      <w:r>
        <w:rPr>
          <w:rFonts w:ascii="Arial" w:cs="Arial" w:eastAsia="Arial" w:hAnsi="Arial"/>
          <w:sz w:val="18"/>
          <w:szCs w:val="18"/>
          <w:b w:val="1"/>
          <w:bCs w:val="1"/>
          <w:color w:val="auto"/>
        </w:rPr>
        <w:t>Employment Agreement</w:t>
      </w:r>
      <w:r>
        <w:rPr>
          <w:rFonts w:ascii="Arial" w:cs="Arial" w:eastAsia="Arial" w:hAnsi="Arial"/>
          <w:sz w:val="18"/>
          <w:szCs w:val="18"/>
          <w:color w:val="auto"/>
        </w:rPr>
        <w:t>”).</w:t>
      </w:r>
    </w:p>
    <w:p>
      <w:pPr>
        <w:spacing w:after="0" w:line="30"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Employee is currently employed by Assignee and Assignee has agreed to assume all of Assignor’s rights, duties and</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under the Employment Agreement.</w:t>
      </w:r>
    </w:p>
    <w:p>
      <w:pPr>
        <w:spacing w:after="0" w:line="31" w:lineRule="exact"/>
        <w:rPr>
          <w:sz w:val="20"/>
          <w:szCs w:val="20"/>
          <w:color w:val="auto"/>
        </w:rPr>
      </w:pPr>
    </w:p>
    <w:p>
      <w:pPr>
        <w:ind w:firstLine="648"/>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terms, and conditions set forth herein, and for other good and</w:t>
      </w:r>
      <w:r>
        <w:rPr>
          <w:rFonts w:ascii="Arial" w:cs="Arial" w:eastAsia="Arial" w:hAnsi="Arial"/>
          <w:sz w:val="18"/>
          <w:szCs w:val="18"/>
          <w:b w:val="1"/>
          <w:bCs w:val="1"/>
          <w:color w:val="auto"/>
        </w:rPr>
        <w:t xml:space="preserve"> </w:t>
      </w:r>
      <w:r>
        <w:rPr>
          <w:rFonts w:ascii="Arial" w:cs="Arial" w:eastAsia="Arial" w:hAnsi="Arial"/>
          <w:sz w:val="18"/>
          <w:szCs w:val="18"/>
          <w:color w:val="auto"/>
        </w:rPr>
        <w:t>valuable consideration, the receipt and sufficiency of which are hereby acknowledged, the parties agree as follows:</w:t>
      </w:r>
    </w:p>
    <w:p>
      <w:pPr>
        <w:spacing w:after="0" w:line="167" w:lineRule="exact"/>
        <w:rPr>
          <w:sz w:val="20"/>
          <w:szCs w:val="20"/>
          <w:color w:val="auto"/>
        </w:rPr>
      </w:pPr>
    </w:p>
    <w:p>
      <w:pPr>
        <w:ind w:firstLine="656"/>
        <w:spacing w:after="0"/>
        <w:tabs>
          <w:tab w:leader="none" w:pos="1284"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All capitalized terms used in this Agreement but not otherwise defined herein are given the meanings set forth in the Employment Agreement.</w:t>
      </w:r>
    </w:p>
    <w:p>
      <w:pPr>
        <w:spacing w:after="0" w:line="153" w:lineRule="exact"/>
        <w:rPr>
          <w:rFonts w:ascii="Arial" w:cs="Arial" w:eastAsia="Arial" w:hAnsi="Arial"/>
          <w:sz w:val="18"/>
          <w:szCs w:val="18"/>
          <w:color w:val="auto"/>
        </w:rPr>
      </w:pPr>
    </w:p>
    <w:p>
      <w:pPr>
        <w:jc w:val="both"/>
        <w:ind w:firstLine="656"/>
        <w:spacing w:after="0" w:line="225" w:lineRule="auto"/>
        <w:tabs>
          <w:tab w:leader="none" w:pos="1284"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Without the need for any additional act or consent of any person or entity, Assignor hereby assigns, grants, conveys and transfers to Assignee all of Assignor’s right, duties and obligations in and to the Employment Agreement. Assignee hereby accepts such assignment and assumes all of Assignor’s rights, duties and obligations under the Employment Agreement and agrees to pay, perform and discharge, as and when due, all of the obligations of Assignor under the Employment Agreement.</w:t>
      </w:r>
    </w:p>
    <w:p>
      <w:pPr>
        <w:spacing w:after="0" w:line="15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Acknowledgement</w:t>
      </w:r>
      <w:r>
        <w:rPr>
          <w:rFonts w:ascii="Arial" w:cs="Arial" w:eastAsia="Arial" w:hAnsi="Arial"/>
          <w:sz w:val="18"/>
          <w:szCs w:val="18"/>
          <w:color w:val="auto"/>
        </w:rPr>
        <w:t>. Employee is hereby notified of the above assignment, receipt of which is hereby acknowledged and</w:t>
      </w:r>
    </w:p>
    <w:p>
      <w:pPr>
        <w:spacing w:after="0"/>
        <w:rPr>
          <w:rFonts w:ascii="Arial" w:cs="Arial" w:eastAsia="Arial" w:hAnsi="Arial"/>
          <w:sz w:val="18"/>
          <w:szCs w:val="18"/>
          <w:color w:val="auto"/>
        </w:rPr>
      </w:pPr>
      <w:r>
        <w:rPr>
          <w:rFonts w:ascii="Arial" w:cs="Arial" w:eastAsia="Arial" w:hAnsi="Arial"/>
          <w:sz w:val="18"/>
          <w:szCs w:val="18"/>
          <w:color w:val="auto"/>
        </w:rPr>
        <w:t>accepted.</w:t>
      </w:r>
    </w:p>
    <w:p>
      <w:pPr>
        <w:spacing w:after="0" w:line="166" w:lineRule="exact"/>
        <w:rPr>
          <w:rFonts w:ascii="Arial" w:cs="Arial" w:eastAsia="Arial" w:hAnsi="Arial"/>
          <w:sz w:val="18"/>
          <w:szCs w:val="18"/>
          <w:color w:val="auto"/>
        </w:rPr>
      </w:pPr>
    </w:p>
    <w:p>
      <w:pPr>
        <w:ind w:firstLine="656"/>
        <w:spacing w:after="0" w:line="256" w:lineRule="auto"/>
        <w:tabs>
          <w:tab w:leader="none" w:pos="1284"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an original, but all of which shall constitute one and the same instrument.</w:t>
      </w:r>
    </w:p>
    <w:p>
      <w:pPr>
        <w:spacing w:after="0" w:line="138" w:lineRule="exact"/>
        <w:rPr>
          <w:rFonts w:ascii="Arial" w:cs="Arial" w:eastAsia="Arial" w:hAnsi="Arial"/>
          <w:sz w:val="18"/>
          <w:szCs w:val="18"/>
          <w:color w:val="auto"/>
        </w:rPr>
      </w:pPr>
    </w:p>
    <w:p>
      <w:pPr>
        <w:jc w:val="both"/>
        <w:ind w:firstLine="656"/>
        <w:spacing w:after="0" w:line="233" w:lineRule="auto"/>
        <w:tabs>
          <w:tab w:leader="none" w:pos="1284"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Future Cooperation</w:t>
      </w:r>
      <w:r>
        <w:rPr>
          <w:rFonts w:ascii="Arial" w:cs="Arial" w:eastAsia="Arial" w:hAnsi="Arial"/>
          <w:sz w:val="18"/>
          <w:szCs w:val="18"/>
          <w:color w:val="auto"/>
        </w:rPr>
        <w:t>. Each of the Parties hereto agrees to cooperate at all times from and after the date hereof with respect to all of the matters described herein, and to execute such further documents as may be reasonably requested for the purpose of giving effect to, or evidencing or giving notice of, the transactions contemplated by this Agreement.</w:t>
      </w:r>
    </w:p>
    <w:p>
      <w:pPr>
        <w:spacing w:after="0" w:line="153" w:lineRule="exact"/>
        <w:rPr>
          <w:rFonts w:ascii="Arial" w:cs="Arial" w:eastAsia="Arial" w:hAnsi="Arial"/>
          <w:sz w:val="18"/>
          <w:szCs w:val="18"/>
          <w:color w:val="auto"/>
        </w:rPr>
      </w:pPr>
    </w:p>
    <w:p>
      <w:pPr>
        <w:ind w:firstLine="656"/>
        <w:spacing w:after="0"/>
        <w:tabs>
          <w:tab w:leader="none" w:pos="1284"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internal laws of the State of Illinois without giving effect to any conflict of law principles.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jc w:val="center"/>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1240"/>
          </w:cols>
          <w:pgMar w:left="320" w:top="122" w:right="339" w:bottom="1440" w:gutter="0" w:footer="0" w:header="0"/>
        </w:sectPr>
      </w:pPr>
    </w:p>
    <w:bookmarkStart w:id="31" w:name="page32"/>
    <w:bookmarkEnd w:id="31"/>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each of the undersigned has caused this Agreement to be executed effective as of the date first above</w:t>
      </w:r>
    </w:p>
    <w:p>
      <w:pPr>
        <w:spacing w:after="0"/>
        <w:rPr>
          <w:sz w:val="20"/>
          <w:szCs w:val="20"/>
          <w:color w:val="auto"/>
        </w:rPr>
      </w:pPr>
      <w:r>
        <w:rPr>
          <w:rFonts w:ascii="Arial" w:cs="Arial" w:eastAsia="Arial" w:hAnsi="Arial"/>
          <w:sz w:val="18"/>
          <w:szCs w:val="18"/>
          <w:color w:val="auto"/>
        </w:rPr>
        <w:t>written.</w:t>
      </w:r>
    </w:p>
    <w:p>
      <w:pPr>
        <w:spacing w:after="0" w:line="200" w:lineRule="exact"/>
        <w:rPr>
          <w:sz w:val="20"/>
          <w:szCs w:val="20"/>
          <w:color w:val="auto"/>
        </w:rPr>
      </w:pP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REYNOLDS CONSUMER PRODUCTS LLC</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ind w:left="4140"/>
        <w:spacing w:after="0" w:line="219" w:lineRule="auto"/>
        <w:rPr>
          <w:sz w:val="20"/>
          <w:szCs w:val="20"/>
          <w:color w:val="auto"/>
        </w:rPr>
      </w:pPr>
      <w:r>
        <w:rPr>
          <w:rFonts w:ascii="Arial" w:cs="Arial" w:eastAsia="Arial" w:hAnsi="Arial"/>
          <w:sz w:val="18"/>
          <w:szCs w:val="18"/>
          <w:color w:val="auto"/>
        </w:rPr>
        <w:t>C. David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2639060</wp:posOffset>
            </wp:positionH>
            <wp:positionV relativeFrom="paragraph">
              <wp:posOffset>-118745</wp:posOffset>
            </wp:positionV>
            <wp:extent cx="6350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635000" cy="8255"/>
                    </a:xfrm>
                    <a:prstGeom prst="rect">
                      <a:avLst/>
                    </a:prstGeom>
                    <a:noFill/>
                  </pic:spPr>
                </pic:pic>
              </a:graphicData>
            </a:graphic>
          </wp:anchor>
        </w:drawing>
      </w:r>
    </w:p>
    <w:p>
      <w:pPr>
        <w:ind w:left="4140"/>
        <w:spacing w:after="0" w:line="203" w:lineRule="auto"/>
        <w:rPr>
          <w:sz w:val="20"/>
          <w:szCs w:val="20"/>
          <w:color w:val="auto"/>
        </w:rPr>
      </w:pPr>
      <w:r>
        <w:rPr>
          <w:rFonts w:ascii="Arial" w:cs="Arial" w:eastAsia="Arial" w:hAnsi="Arial"/>
          <w:sz w:val="18"/>
          <w:szCs w:val="18"/>
          <w:color w:val="auto"/>
        </w:rPr>
        <w:t>Vice President, General Counsel</w:t>
      </w:r>
    </w:p>
    <w:p>
      <w:pPr>
        <w:spacing w:after="0" w:line="1"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and Secretary</w:t>
      </w:r>
    </w:p>
    <w:p>
      <w:pPr>
        <w:spacing w:after="0" w:line="200" w:lineRule="exact"/>
        <w:rPr>
          <w:sz w:val="20"/>
          <w:szCs w:val="20"/>
          <w:color w:val="auto"/>
        </w:rPr>
      </w:pPr>
    </w:p>
    <w:p>
      <w:pPr>
        <w:spacing w:after="0" w:line="23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REYNOLDS CONSUMER PRODUCTS HOLDINGS LLC</w:t>
      </w:r>
    </w:p>
    <w:p>
      <w:pPr>
        <w:spacing w:after="0" w:line="200" w:lineRule="exact"/>
        <w:rPr>
          <w:sz w:val="20"/>
          <w:szCs w:val="20"/>
          <w:color w:val="auto"/>
        </w:rPr>
      </w:pPr>
    </w:p>
    <w:p>
      <w:pPr>
        <w:spacing w:after="0" w:line="25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ind w:left="4140"/>
        <w:spacing w:after="0" w:line="203" w:lineRule="auto"/>
        <w:rPr>
          <w:sz w:val="20"/>
          <w:szCs w:val="20"/>
          <w:color w:val="auto"/>
        </w:rPr>
      </w:pPr>
      <w:r>
        <w:rPr>
          <w:rFonts w:ascii="Arial" w:cs="Arial" w:eastAsia="Arial" w:hAnsi="Arial"/>
          <w:sz w:val="18"/>
          <w:szCs w:val="18"/>
          <w:color w:val="auto"/>
        </w:rPr>
        <w:t>C. David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2639060</wp:posOffset>
            </wp:positionH>
            <wp:positionV relativeFrom="paragraph">
              <wp:posOffset>-109855</wp:posOffset>
            </wp:positionV>
            <wp:extent cx="6350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635000" cy="8890"/>
                    </a:xfrm>
                    <a:prstGeom prst="rect">
                      <a:avLst/>
                    </a:prstGeom>
                    <a:noFill/>
                  </pic:spPr>
                </pic:pic>
              </a:graphicData>
            </a:graphic>
          </wp:anchor>
        </w:drawing>
      </w:r>
    </w:p>
    <w:p>
      <w:pPr>
        <w:ind w:left="4140"/>
        <w:spacing w:after="0" w:line="219" w:lineRule="auto"/>
        <w:rPr>
          <w:sz w:val="20"/>
          <w:szCs w:val="20"/>
          <w:color w:val="auto"/>
        </w:rPr>
      </w:pPr>
      <w:r>
        <w:rPr>
          <w:rFonts w:ascii="Arial" w:cs="Arial" w:eastAsia="Arial" w:hAnsi="Arial"/>
          <w:sz w:val="18"/>
          <w:szCs w:val="18"/>
          <w:color w:val="auto"/>
        </w:rPr>
        <w:t>Vice President, General Counsel</w:t>
      </w:r>
    </w:p>
    <w:p>
      <w:pPr>
        <w:spacing w:after="0" w:line="1"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and Secretary</w:t>
      </w:r>
    </w:p>
    <w:p>
      <w:pPr>
        <w:spacing w:after="0" w:line="200" w:lineRule="exact"/>
        <w:rPr>
          <w:sz w:val="20"/>
          <w:szCs w:val="20"/>
          <w:color w:val="auto"/>
        </w:rPr>
      </w:pPr>
    </w:p>
    <w:p>
      <w:pPr>
        <w:spacing w:after="0" w:line="23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ACKNOWLEDGED AND ACCEPTED:</w:t>
      </w:r>
    </w:p>
    <w:p>
      <w:pPr>
        <w:spacing w:after="0" w:line="212"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-118745</wp:posOffset>
            </wp:positionV>
            <wp:extent cx="6350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635000" cy="889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2</w:t>
      </w:r>
    </w:p>
    <w:p>
      <w:pPr>
        <w:sectPr>
          <w:pgSz w:w="11900" w:h="16838" w:orient="portrait"/>
          <w:cols w:equalWidth="0" w:num="1">
            <w:col w:w="11240"/>
          </w:cols>
          <w:pgMar w:left="320" w:top="1390" w:right="339" w:bottom="1440" w:gutter="0" w:footer="0" w:header="0"/>
        </w:sectPr>
      </w:pPr>
    </w:p>
    <w:bookmarkStart w:id="32" w:name="page33"/>
    <w:bookmarkEnd w:id="32"/>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AND ASSUMPTION AGREEMENT</w:t>
      </w:r>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Assignment and Assumption Agreement (the “</w:t>
      </w:r>
      <w:r>
        <w:rPr>
          <w:rFonts w:ascii="Arial" w:cs="Arial" w:eastAsia="Arial" w:hAnsi="Arial"/>
          <w:sz w:val="18"/>
          <w:szCs w:val="18"/>
          <w:b w:val="1"/>
          <w:bCs w:val="1"/>
          <w:color w:val="auto"/>
        </w:rPr>
        <w:t>Agreement</w:t>
      </w:r>
      <w:r>
        <w:rPr>
          <w:rFonts w:ascii="Arial" w:cs="Arial" w:eastAsia="Arial" w:hAnsi="Arial"/>
          <w:sz w:val="18"/>
          <w:szCs w:val="18"/>
          <w:color w:val="auto"/>
        </w:rPr>
        <w:t>”), effective as of [ ], (the “</w:t>
      </w:r>
      <w:r>
        <w:rPr>
          <w:rFonts w:ascii="Arial" w:cs="Arial" w:eastAsia="Arial" w:hAnsi="Arial"/>
          <w:sz w:val="18"/>
          <w:szCs w:val="18"/>
          <w:b w:val="1"/>
          <w:bCs w:val="1"/>
          <w:color w:val="auto"/>
        </w:rPr>
        <w:t>Effective Date</w:t>
      </w:r>
      <w:r>
        <w:rPr>
          <w:rFonts w:ascii="Arial" w:cs="Arial" w:eastAsia="Arial" w:hAnsi="Arial"/>
          <w:sz w:val="18"/>
          <w:szCs w:val="18"/>
          <w:color w:val="auto"/>
        </w:rPr>
        <w:t>”), is by and among</w:t>
      </w:r>
    </w:p>
    <w:p>
      <w:pPr>
        <w:spacing w:after="0" w:line="234" w:lineRule="auto"/>
        <w:rPr>
          <w:sz w:val="20"/>
          <w:szCs w:val="20"/>
          <w:color w:val="auto"/>
        </w:rPr>
      </w:pPr>
      <w:r>
        <w:rPr>
          <w:rFonts w:ascii="Arial" w:cs="Arial" w:eastAsia="Arial" w:hAnsi="Arial"/>
          <w:sz w:val="18"/>
          <w:szCs w:val="18"/>
          <w:color w:val="auto"/>
        </w:rPr>
        <w:t>Reynolds Consumer Products LLC, a Delaware limited liability company (“</w:t>
      </w:r>
      <w:r>
        <w:rPr>
          <w:rFonts w:ascii="Arial" w:cs="Arial" w:eastAsia="Arial" w:hAnsi="Arial"/>
          <w:sz w:val="18"/>
          <w:szCs w:val="18"/>
          <w:b w:val="1"/>
          <w:bCs w:val="1"/>
          <w:color w:val="auto"/>
        </w:rPr>
        <w:t>Assignor</w:t>
      </w:r>
      <w:r>
        <w:rPr>
          <w:rFonts w:ascii="Arial" w:cs="Arial" w:eastAsia="Arial" w:hAnsi="Arial"/>
          <w:sz w:val="18"/>
          <w:szCs w:val="18"/>
          <w:color w:val="auto"/>
        </w:rPr>
        <w:t>”), Reynolds Consumer Products Holdings LLC, a Delaware limited liability company (“</w:t>
      </w:r>
      <w:r>
        <w:rPr>
          <w:rFonts w:ascii="Arial" w:cs="Arial" w:eastAsia="Arial" w:hAnsi="Arial"/>
          <w:sz w:val="18"/>
          <w:szCs w:val="18"/>
          <w:b w:val="1"/>
          <w:bCs w:val="1"/>
          <w:color w:val="auto"/>
        </w:rPr>
        <w:t>Assignee</w:t>
      </w:r>
      <w:r>
        <w:rPr>
          <w:rFonts w:ascii="Arial" w:cs="Arial" w:eastAsia="Arial" w:hAnsi="Arial"/>
          <w:sz w:val="18"/>
          <w:szCs w:val="18"/>
          <w:color w:val="auto"/>
        </w:rPr>
        <w:t>”), and [ ], an individual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Assignee is a wholly-owned indirect subsidiary of Assignor.</w:t>
      </w:r>
    </w:p>
    <w:p>
      <w:pPr>
        <w:spacing w:after="0" w:line="90" w:lineRule="exact"/>
        <w:rPr>
          <w:sz w:val="20"/>
          <w:szCs w:val="20"/>
          <w:color w:val="auto"/>
        </w:rPr>
      </w:pPr>
    </w:p>
    <w:p>
      <w:pPr>
        <w:ind w:right="20" w:firstLine="648"/>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Assignor and Employee previously entered into that certain Restrictive Covenant Agreement, dated as of [ ] (the</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“Restrictive Covenant Agreement”).</w:t>
      </w:r>
    </w:p>
    <w:p>
      <w:pPr>
        <w:spacing w:after="0" w:line="45"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Employee is currently employed by Assignee and Assignee has agreed to assume all of Assignor’s rights, duties and</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under the Restrictive Covenant Agreement.</w:t>
      </w:r>
    </w:p>
    <w:p>
      <w:pPr>
        <w:spacing w:after="0" w:line="31" w:lineRule="exact"/>
        <w:rPr>
          <w:sz w:val="20"/>
          <w:szCs w:val="20"/>
          <w:color w:val="auto"/>
        </w:rPr>
      </w:pPr>
    </w:p>
    <w:p>
      <w:pPr>
        <w:ind w:firstLine="648"/>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terms, and conditions set forth herein, and for other good and</w:t>
      </w:r>
      <w:r>
        <w:rPr>
          <w:rFonts w:ascii="Arial" w:cs="Arial" w:eastAsia="Arial" w:hAnsi="Arial"/>
          <w:sz w:val="18"/>
          <w:szCs w:val="18"/>
          <w:b w:val="1"/>
          <w:bCs w:val="1"/>
          <w:color w:val="auto"/>
        </w:rPr>
        <w:t xml:space="preserve"> </w:t>
      </w:r>
      <w:r>
        <w:rPr>
          <w:rFonts w:ascii="Arial" w:cs="Arial" w:eastAsia="Arial" w:hAnsi="Arial"/>
          <w:sz w:val="18"/>
          <w:szCs w:val="18"/>
          <w:color w:val="auto"/>
        </w:rPr>
        <w:t>valuable consideration, the receipt and sufficiency of which are hereby acknowledged, the parties agree as follows:</w:t>
      </w:r>
    </w:p>
    <w:p>
      <w:pPr>
        <w:spacing w:after="0" w:line="167" w:lineRule="exact"/>
        <w:rPr>
          <w:sz w:val="20"/>
          <w:szCs w:val="20"/>
          <w:color w:val="auto"/>
        </w:rPr>
      </w:pPr>
    </w:p>
    <w:p>
      <w:pPr>
        <w:ind w:firstLine="656"/>
        <w:spacing w:after="0"/>
        <w:tabs>
          <w:tab w:leader="none" w:pos="1284"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All capitalized terms used in this Agreement but not otherwise defined herein are given the meanings set forth in the Restrictive Covenant Agreement.</w:t>
      </w:r>
    </w:p>
    <w:p>
      <w:pPr>
        <w:spacing w:after="0" w:line="153" w:lineRule="exact"/>
        <w:rPr>
          <w:rFonts w:ascii="Arial" w:cs="Arial" w:eastAsia="Arial" w:hAnsi="Arial"/>
          <w:sz w:val="18"/>
          <w:szCs w:val="18"/>
          <w:color w:val="auto"/>
        </w:rPr>
      </w:pPr>
    </w:p>
    <w:p>
      <w:pPr>
        <w:jc w:val="both"/>
        <w:ind w:firstLine="656"/>
        <w:spacing w:after="0" w:line="224" w:lineRule="auto"/>
        <w:tabs>
          <w:tab w:leader="none" w:pos="1284"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Without the need for any additional act or consent of any person or entity, Assignor hereby assigns, grants, conveys and transfers to Assignee all of Assignor’s right, duties and obligations in and to the Restrictive Covenant Agreement. Assignee hereby accepts such assignment and assumes all of Assignor’s rights, duties and obligations under the Restrictive Covenant Agreement and agrees to perform and discharge, as and when due, all of the obligations of Assignor under the Restrictive Covenant Agreement accruing on and after the Effective Date.</w:t>
      </w:r>
    </w:p>
    <w:p>
      <w:pPr>
        <w:spacing w:after="0" w:line="141"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Acknowledgement</w:t>
      </w:r>
      <w:r>
        <w:rPr>
          <w:rFonts w:ascii="Arial" w:cs="Arial" w:eastAsia="Arial" w:hAnsi="Arial"/>
          <w:sz w:val="18"/>
          <w:szCs w:val="18"/>
          <w:color w:val="auto"/>
        </w:rPr>
        <w:t>. Employee is hereby notified of the above assignment, receipt of which is hereby acknowledged and</w:t>
      </w:r>
    </w:p>
    <w:p>
      <w:pPr>
        <w:spacing w:after="0"/>
        <w:rPr>
          <w:rFonts w:ascii="Arial" w:cs="Arial" w:eastAsia="Arial" w:hAnsi="Arial"/>
          <w:sz w:val="18"/>
          <w:szCs w:val="18"/>
          <w:color w:val="auto"/>
        </w:rPr>
      </w:pPr>
      <w:r>
        <w:rPr>
          <w:rFonts w:ascii="Arial" w:cs="Arial" w:eastAsia="Arial" w:hAnsi="Arial"/>
          <w:sz w:val="18"/>
          <w:szCs w:val="18"/>
          <w:color w:val="auto"/>
        </w:rPr>
        <w:t>accepted.</w:t>
      </w:r>
    </w:p>
    <w:p>
      <w:pPr>
        <w:spacing w:after="0" w:line="180" w:lineRule="exact"/>
        <w:rPr>
          <w:rFonts w:ascii="Arial" w:cs="Arial" w:eastAsia="Arial" w:hAnsi="Arial"/>
          <w:sz w:val="18"/>
          <w:szCs w:val="18"/>
          <w:color w:val="auto"/>
        </w:rPr>
      </w:pPr>
    </w:p>
    <w:p>
      <w:pPr>
        <w:ind w:firstLine="656"/>
        <w:spacing w:after="0"/>
        <w:tabs>
          <w:tab w:leader="none" w:pos="1284"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an original, but all of which shall constitute one and the same instrument.</w:t>
      </w:r>
    </w:p>
    <w:p>
      <w:pPr>
        <w:spacing w:after="0" w:line="153" w:lineRule="exact"/>
        <w:rPr>
          <w:rFonts w:ascii="Arial" w:cs="Arial" w:eastAsia="Arial" w:hAnsi="Arial"/>
          <w:sz w:val="18"/>
          <w:szCs w:val="18"/>
          <w:color w:val="auto"/>
        </w:rPr>
      </w:pPr>
    </w:p>
    <w:p>
      <w:pPr>
        <w:jc w:val="both"/>
        <w:ind w:firstLine="656"/>
        <w:spacing w:after="0" w:line="233" w:lineRule="auto"/>
        <w:tabs>
          <w:tab w:leader="none" w:pos="1284"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Future Cooperation</w:t>
      </w:r>
      <w:r>
        <w:rPr>
          <w:rFonts w:ascii="Arial" w:cs="Arial" w:eastAsia="Arial" w:hAnsi="Arial"/>
          <w:sz w:val="18"/>
          <w:szCs w:val="18"/>
          <w:color w:val="auto"/>
        </w:rPr>
        <w:t>. Each of the Parties hereto agrees to cooperate at all times from and after the date hereof with respect to all of the matters described herein, and to execute such further documents as may be reasonably requested for the purpose of giving effect to, or evidencing or giving notice of, the transactions contemplated by this Agreement.</w:t>
      </w:r>
    </w:p>
    <w:p>
      <w:pPr>
        <w:spacing w:after="0" w:line="153" w:lineRule="exact"/>
        <w:rPr>
          <w:rFonts w:ascii="Arial" w:cs="Arial" w:eastAsia="Arial" w:hAnsi="Arial"/>
          <w:sz w:val="18"/>
          <w:szCs w:val="18"/>
          <w:color w:val="auto"/>
        </w:rPr>
      </w:pPr>
    </w:p>
    <w:p>
      <w:pPr>
        <w:ind w:firstLine="656"/>
        <w:spacing w:after="0" w:line="256" w:lineRule="auto"/>
        <w:tabs>
          <w:tab w:leader="none" w:pos="1284"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internal laws of the State of Illinois without giving effect to any conflict of law principles.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jc w:val="center"/>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1240"/>
          </w:cols>
          <w:pgMar w:left="320" w:top="1440" w:right="339" w:bottom="1440" w:gutter="0" w:footer="0" w:header="0"/>
        </w:sectPr>
      </w:pPr>
    </w:p>
    <w:bookmarkStart w:id="33" w:name="page34"/>
    <w:bookmarkEnd w:id="33"/>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each of the undersigned has caused this Agreement to be executed effective as of the date first above</w:t>
      </w:r>
    </w:p>
    <w:p>
      <w:pPr>
        <w:spacing w:after="0"/>
        <w:rPr>
          <w:sz w:val="20"/>
          <w:szCs w:val="20"/>
          <w:color w:val="auto"/>
        </w:rPr>
      </w:pPr>
      <w:r>
        <w:rPr>
          <w:rFonts w:ascii="Arial" w:cs="Arial" w:eastAsia="Arial" w:hAnsi="Arial"/>
          <w:sz w:val="18"/>
          <w:szCs w:val="18"/>
          <w:color w:val="auto"/>
        </w:rPr>
        <w:t>written.</w:t>
      </w:r>
    </w:p>
    <w:p>
      <w:pPr>
        <w:spacing w:after="0" w:line="200" w:lineRule="exact"/>
        <w:rPr>
          <w:sz w:val="20"/>
          <w:szCs w:val="20"/>
          <w:color w:val="auto"/>
        </w:rPr>
      </w:pP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REYNOLDS CONSUMER PRODUCTS LLC</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ind w:left="4140"/>
        <w:spacing w:after="0" w:line="219" w:lineRule="auto"/>
        <w:rPr>
          <w:sz w:val="20"/>
          <w:szCs w:val="20"/>
          <w:color w:val="auto"/>
        </w:rPr>
      </w:pPr>
      <w:r>
        <w:rPr>
          <w:rFonts w:ascii="Arial" w:cs="Arial" w:eastAsia="Arial" w:hAnsi="Arial"/>
          <w:sz w:val="18"/>
          <w:szCs w:val="18"/>
          <w:color w:val="auto"/>
        </w:rPr>
        <w:t>C. David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2639060</wp:posOffset>
            </wp:positionH>
            <wp:positionV relativeFrom="paragraph">
              <wp:posOffset>-118745</wp:posOffset>
            </wp:positionV>
            <wp:extent cx="6350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635000" cy="8255"/>
                    </a:xfrm>
                    <a:prstGeom prst="rect">
                      <a:avLst/>
                    </a:prstGeom>
                    <a:noFill/>
                  </pic:spPr>
                </pic:pic>
              </a:graphicData>
            </a:graphic>
          </wp:anchor>
        </w:drawing>
      </w:r>
    </w:p>
    <w:p>
      <w:pPr>
        <w:ind w:left="4140"/>
        <w:spacing w:after="0" w:line="203" w:lineRule="auto"/>
        <w:rPr>
          <w:sz w:val="20"/>
          <w:szCs w:val="20"/>
          <w:color w:val="auto"/>
        </w:rPr>
      </w:pPr>
      <w:r>
        <w:rPr>
          <w:rFonts w:ascii="Arial" w:cs="Arial" w:eastAsia="Arial" w:hAnsi="Arial"/>
          <w:sz w:val="18"/>
          <w:szCs w:val="18"/>
          <w:color w:val="auto"/>
        </w:rPr>
        <w:t>Vice President, General Counsel</w:t>
      </w:r>
    </w:p>
    <w:p>
      <w:pPr>
        <w:spacing w:after="0" w:line="1"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and Secretary</w:t>
      </w:r>
    </w:p>
    <w:p>
      <w:pPr>
        <w:spacing w:after="0" w:line="200" w:lineRule="exact"/>
        <w:rPr>
          <w:sz w:val="20"/>
          <w:szCs w:val="20"/>
          <w:color w:val="auto"/>
        </w:rPr>
      </w:pPr>
    </w:p>
    <w:p>
      <w:pPr>
        <w:spacing w:after="0" w:line="23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REYNOLDS CONSUMER PRODUCTS HOLDINGS LLC</w:t>
      </w:r>
    </w:p>
    <w:p>
      <w:pPr>
        <w:spacing w:after="0" w:line="200" w:lineRule="exact"/>
        <w:rPr>
          <w:sz w:val="20"/>
          <w:szCs w:val="20"/>
          <w:color w:val="auto"/>
        </w:rPr>
      </w:pPr>
    </w:p>
    <w:p>
      <w:pPr>
        <w:spacing w:after="0" w:line="25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ind w:left="4140"/>
        <w:spacing w:after="0" w:line="203" w:lineRule="auto"/>
        <w:rPr>
          <w:sz w:val="20"/>
          <w:szCs w:val="20"/>
          <w:color w:val="auto"/>
        </w:rPr>
      </w:pPr>
      <w:r>
        <w:rPr>
          <w:rFonts w:ascii="Arial" w:cs="Arial" w:eastAsia="Arial" w:hAnsi="Arial"/>
          <w:sz w:val="18"/>
          <w:szCs w:val="18"/>
          <w:color w:val="auto"/>
        </w:rPr>
        <w:t>C. David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2639060</wp:posOffset>
            </wp:positionH>
            <wp:positionV relativeFrom="paragraph">
              <wp:posOffset>-109855</wp:posOffset>
            </wp:positionV>
            <wp:extent cx="6350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635000" cy="8890"/>
                    </a:xfrm>
                    <a:prstGeom prst="rect">
                      <a:avLst/>
                    </a:prstGeom>
                    <a:noFill/>
                  </pic:spPr>
                </pic:pic>
              </a:graphicData>
            </a:graphic>
          </wp:anchor>
        </w:drawing>
      </w:r>
    </w:p>
    <w:p>
      <w:pPr>
        <w:ind w:left="4140"/>
        <w:spacing w:after="0" w:line="219" w:lineRule="auto"/>
        <w:rPr>
          <w:sz w:val="20"/>
          <w:szCs w:val="20"/>
          <w:color w:val="auto"/>
        </w:rPr>
      </w:pPr>
      <w:r>
        <w:rPr>
          <w:rFonts w:ascii="Arial" w:cs="Arial" w:eastAsia="Arial" w:hAnsi="Arial"/>
          <w:sz w:val="18"/>
          <w:szCs w:val="18"/>
          <w:color w:val="auto"/>
        </w:rPr>
        <w:t>Vice President, General Counsel</w:t>
      </w:r>
    </w:p>
    <w:p>
      <w:pPr>
        <w:spacing w:after="0" w:line="1"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and Secretary</w:t>
      </w:r>
    </w:p>
    <w:p>
      <w:pPr>
        <w:spacing w:after="0" w:line="200" w:lineRule="exact"/>
        <w:rPr>
          <w:sz w:val="20"/>
          <w:szCs w:val="20"/>
          <w:color w:val="auto"/>
        </w:rPr>
      </w:pPr>
    </w:p>
    <w:p>
      <w:pPr>
        <w:spacing w:after="0" w:line="23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ACKNOWLEDGED AND ACCEPTED:</w:t>
      </w:r>
    </w:p>
    <w:p>
      <w:pPr>
        <w:spacing w:after="0" w:line="212"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-118745</wp:posOffset>
            </wp:positionV>
            <wp:extent cx="6350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635000"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4</w:t>
      </w:r>
    </w:p>
    <w:p>
      <w:pPr>
        <w:sectPr>
          <w:pgSz w:w="11900" w:h="16838" w:orient="portrait"/>
          <w:cols w:equalWidth="0" w:num="1">
            <w:col w:w="11240"/>
          </w:cols>
          <w:pgMar w:left="320" w:top="1390"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Lance Mitchell, certify that:</w:t>
      </w:r>
    </w:p>
    <w:p>
      <w:pPr>
        <w:spacing w:after="0" w:line="225"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Reynolds Consumer Products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29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29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5640" w:val="left"/>
          <w:tab w:leader="none" w:pos="7960" w:val="left"/>
        </w:tabs>
        <w:rPr>
          <w:sz w:val="20"/>
          <w:szCs w:val="20"/>
          <w:color w:val="auto"/>
        </w:rPr>
      </w:pPr>
      <w:r>
        <w:rPr>
          <w:rFonts w:ascii="Times New Roman" w:cs="Times New Roman" w:eastAsia="Times New Roman" w:hAnsi="Times New Roman"/>
          <w:sz w:val="18"/>
          <w:szCs w:val="18"/>
          <w:color w:val="auto"/>
        </w:rPr>
        <w:t>Date: May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Lance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Lance Mitchell</w:t>
      </w:r>
    </w:p>
    <w:p>
      <w:pPr>
        <w:spacing w:after="0" w:line="50"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ectPr>
          <w:pgSz w:w="11900" w:h="16838" w:orient="portrait"/>
          <w:cols w:equalWidth="0" w:num="1">
            <w:col w:w="11240"/>
          </w:cols>
          <w:pgMar w:left="320" w:top="92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Huckins, certify that:</w:t>
      </w:r>
    </w:p>
    <w:p>
      <w:pPr>
        <w:spacing w:after="0" w:line="225"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Reynolds Consumer Products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29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29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5640" w:val="left"/>
          <w:tab w:leader="none" w:pos="8000" w:val="left"/>
        </w:tabs>
        <w:rPr>
          <w:sz w:val="20"/>
          <w:szCs w:val="20"/>
          <w:color w:val="auto"/>
        </w:rPr>
      </w:pPr>
      <w:r>
        <w:rPr>
          <w:rFonts w:ascii="Times New Roman" w:cs="Times New Roman" w:eastAsia="Times New Roman" w:hAnsi="Times New Roman"/>
          <w:sz w:val="18"/>
          <w:szCs w:val="18"/>
          <w:color w:val="auto"/>
        </w:rPr>
        <w:t>Date: May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Huckins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3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Scott Huckins</w:t>
      </w:r>
    </w:p>
    <w:p>
      <w:pPr>
        <w:spacing w:after="0" w:line="50"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92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Reynolds Consumer Products Inc. (the “Company”) on Form 10-Q for the period ended March 31, 2024 as filed with the Securities and Exchange Commission on the date hereof (the “Report”), I, Lance Mitchell, President and Chief Executive Officer, certify, pursuant to 18 U.S.C. § 1350, as adopted pursuant to § 906 of the Sarbanes-Oxley Act of 2002, that:</w:t>
      </w:r>
    </w:p>
    <w:p>
      <w:pPr>
        <w:spacing w:after="0" w:line="176"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16" w:lineRule="exact"/>
        <w:rPr>
          <w:sz w:val="20"/>
          <w:szCs w:val="20"/>
          <w:color w:val="auto"/>
        </w:rPr>
      </w:pPr>
    </w:p>
    <w:p>
      <w:pPr>
        <w:ind w:left="20"/>
        <w:spacing w:after="0"/>
        <w:tabs>
          <w:tab w:leader="none" w:pos="5640" w:val="left"/>
          <w:tab w:leader="none" w:pos="7960" w:val="left"/>
        </w:tabs>
        <w:rPr>
          <w:sz w:val="20"/>
          <w:szCs w:val="20"/>
          <w:color w:val="auto"/>
        </w:rPr>
      </w:pPr>
      <w:r>
        <w:rPr>
          <w:rFonts w:ascii="Times New Roman" w:cs="Times New Roman" w:eastAsia="Times New Roman" w:hAnsi="Times New Roman"/>
          <w:sz w:val="18"/>
          <w:szCs w:val="18"/>
          <w:color w:val="auto"/>
        </w:rPr>
        <w:t>Date: May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Lance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Lance Mitchell</w:t>
      </w:r>
    </w:p>
    <w:p>
      <w:pPr>
        <w:spacing w:after="0" w:line="50"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ectPr>
          <w:pgSz w:w="11900" w:h="16838" w:orient="portrait"/>
          <w:cols w:equalWidth="0" w:num="1">
            <w:col w:w="11240"/>
          </w:cols>
          <w:pgMar w:left="320" w:top="92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Reynolds Consumer Products Inc. (the “Company”) on Form 10-Q for the period ended March 31, 2024 as filed with the Securities and Exchange Commission on the date hereof (the “Report”), I, Scott Huckins, Chief Financial Officer, certify, pursuant to 18 U.S.C. § 1350, as adopted pursuant to § 906 of the Sarbanes-Oxley Act of 2002, that:</w:t>
      </w:r>
    </w:p>
    <w:p>
      <w:pPr>
        <w:spacing w:after="0" w:line="176" w:lineRule="exact"/>
        <w:rPr>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16" w:lineRule="exact"/>
        <w:rPr>
          <w:sz w:val="20"/>
          <w:szCs w:val="20"/>
          <w:color w:val="auto"/>
        </w:rPr>
      </w:pPr>
    </w:p>
    <w:p>
      <w:pPr>
        <w:ind w:left="20"/>
        <w:spacing w:after="0"/>
        <w:tabs>
          <w:tab w:leader="none" w:pos="5640" w:val="left"/>
          <w:tab w:leader="none" w:pos="8000" w:val="left"/>
        </w:tabs>
        <w:rPr>
          <w:sz w:val="20"/>
          <w:szCs w:val="20"/>
          <w:color w:val="auto"/>
        </w:rPr>
      </w:pPr>
      <w:r>
        <w:rPr>
          <w:rFonts w:ascii="Times New Roman" w:cs="Times New Roman" w:eastAsia="Times New Roman" w:hAnsi="Times New Roman"/>
          <w:sz w:val="18"/>
          <w:szCs w:val="18"/>
          <w:color w:val="auto"/>
        </w:rPr>
        <w:t>Date: May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Huckins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26035</wp:posOffset>
            </wp:positionV>
            <wp:extent cx="33172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3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Scott Huckins</w:t>
      </w:r>
    </w:p>
    <w:p>
      <w:pPr>
        <w:spacing w:after="0" w:line="50"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lowerLetter"/>
      <w:start w:val="1"/>
    </w:lvl>
  </w:abstractNum>
  <w:abstractNum w:abstractNumId="10">
    <w:nsid w:val="7FDCC233"/>
    <w:multiLevelType w:val="hybridMultilevel"/>
    <w:lvl w:ilvl="0">
      <w:lvlJc w:val="left"/>
      <w:lvlText w:val="%1)"/>
      <w:numFmt w:val="lowerLetter"/>
      <w:start w:val="2"/>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43" Type="http://schemas.openxmlformats.org/officeDocument/2006/relationships/hyperlink" Target="https://www.sec.gov/Archives/edgar/data/0001786431/000119312520024304/d874780dex31.htm" TargetMode="External"/><Relationship Id="rId44" Type="http://schemas.openxmlformats.org/officeDocument/2006/relationships/hyperlink" Target="https://www.sec.gov/Archives/edgar/data/1786431/000162828024018207/reyn-20240425xex31.htm" TargetMode="External"/><Relationship Id="rId45" Type="http://schemas.openxmlformats.org/officeDocument/2006/relationships/hyperlink" Target="https://www.sec.gov/Archives/edgar/data/0001786431/000119312520024304/d874780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2024-05-08T07:42:52Z</dcterms:created>
  <dcterms:modified xsi:type="dcterms:W3CDTF">2024-05-08T07:42:52Z</dcterms:modified>
</cp:coreProperties>
</file>