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44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0"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w:t>
      </w:r>
    </w:p>
    <w:p>
      <w:pPr>
        <w:spacing w:after="0" w:line="10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1" w:lineRule="exact"/>
        <w:rPr>
          <w:sz w:val="24"/>
          <w:szCs w:val="24"/>
          <w:color w:val="auto"/>
        </w:rPr>
      </w:pPr>
    </w:p>
    <w:p>
      <w:pPr>
        <w:ind w:left="460" w:hanging="434"/>
        <w:spacing w:after="0"/>
        <w:tabs>
          <w:tab w:leader="none" w:pos="46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460" w:hanging="434"/>
        <w:spacing w:after="0"/>
        <w:tabs>
          <w:tab w:leader="none" w:pos="46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8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 to __________</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001-39205</w:t>
      </w:r>
    </w:p>
    <w:p>
      <w:pPr>
        <w:spacing w:after="0" w:line="7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REYNOLDS CONSUMER PRODUCTS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8"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w:t>
      </w:r>
    </w:p>
    <w:p>
      <w:pPr>
        <w:sectPr>
          <w:pgSz w:w="11900" w:h="16838" w:orient="portrait"/>
          <w:cols w:equalWidth="0" w:num="1">
            <w:col w:w="11240"/>
          </w:cols>
          <w:pgMar w:left="320" w:top="229" w:right="339" w:bottom="1440" w:gutter="0" w:footer="0" w:header="0"/>
        </w:sectPr>
      </w:pPr>
    </w:p>
    <w:p>
      <w:pPr>
        <w:spacing w:after="0" w:line="55"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45-3464426</w:t>
      </w:r>
    </w:p>
    <w:p>
      <w:pPr>
        <w:spacing w:after="0" w:line="63" w:lineRule="exact"/>
        <w:rPr>
          <w:sz w:val="24"/>
          <w:szCs w:val="24"/>
          <w:color w:val="auto"/>
        </w:rPr>
      </w:pPr>
    </w:p>
    <w:p>
      <w:pPr>
        <w:sectPr>
          <w:pgSz w:w="11900" w:h="16838" w:orient="portrait"/>
          <w:cols w:equalWidth="0" w:num="2">
            <w:col w:w="7280" w:space="720"/>
            <w:col w:w="3240"/>
          </w:cols>
          <w:pgMar w:left="320" w:top="229" w:right="339" w:bottom="1440" w:gutter="0" w:footer="0" w:header="0"/>
          <w:type w:val="continuous"/>
        </w:sectPr>
      </w:pPr>
    </w:p>
    <w:p>
      <w:pPr>
        <w:ind w:left="200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spacing w:after="0" w:line="27"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8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5"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2"/>
          <w:szCs w:val="12"/>
          <w:b w:val="1"/>
          <w:bCs w:val="1"/>
          <w:color w:val="auto"/>
        </w:rPr>
        <w:t>Identification Number)</w:t>
      </w:r>
    </w:p>
    <w:p>
      <w:pPr>
        <w:spacing w:after="0" w:line="100" w:lineRule="exact"/>
        <w:rPr>
          <w:sz w:val="24"/>
          <w:szCs w:val="24"/>
          <w:color w:val="auto"/>
        </w:rPr>
      </w:pPr>
    </w:p>
    <w:p>
      <w:pPr>
        <w:sectPr>
          <w:pgSz w:w="11900" w:h="16838" w:orient="portrait"/>
          <w:cols w:equalWidth="0" w:num="2">
            <w:col w:w="7080" w:space="720"/>
            <w:col w:w="3440"/>
          </w:cols>
          <w:pgMar w:left="320" w:top="229"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1900 W. Field Court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Lake Forest, Illinois 60045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Telephone: (800) 879-5067</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61"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w:t>
      </w:r>
    </w:p>
    <w:p>
      <w:pPr>
        <w:sectPr>
          <w:pgSz w:w="11900" w:h="16838" w:orient="portrait"/>
          <w:cols w:equalWidth="0" w:num="1">
            <w:col w:w="11240"/>
          </w:cols>
          <w:pgMar w:left="320" w:top="229" w:right="33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3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700" w:type="dxa"/>
            <w:vAlign w:val="bottom"/>
          </w:tcPr>
          <w:p>
            <w:pPr>
              <w:spacing w:after="0"/>
              <w:rPr>
                <w:sz w:val="15"/>
                <w:szCs w:val="15"/>
                <w:color w:val="auto"/>
              </w:rPr>
            </w:pPr>
          </w:p>
        </w:tc>
      </w:tr>
      <w:tr>
        <w:trPr>
          <w:trHeight w:val="204"/>
        </w:trPr>
        <w:tc>
          <w:tcPr>
            <w:tcW w:w="4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04"/>
        </w:trPr>
        <w:tc>
          <w:tcPr>
            <w:tcW w:w="3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160" w:type="dxa"/>
            <w:vAlign w:val="bottom"/>
          </w:tcPr>
          <w:p>
            <w:pPr>
              <w:spacing w:after="0"/>
              <w:rPr>
                <w:sz w:val="17"/>
                <w:szCs w:val="17"/>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REYN</w:t>
            </w:r>
          </w:p>
        </w:tc>
        <w:tc>
          <w:tcPr>
            <w:tcW w:w="140" w:type="dxa"/>
            <w:vAlign w:val="bottom"/>
          </w:tcPr>
          <w:p>
            <w:pPr>
              <w:spacing w:after="0"/>
              <w:rPr>
                <w:sz w:val="17"/>
                <w:szCs w:val="17"/>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13"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9"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7" w:lineRule="exact"/>
        <w:rPr>
          <w:sz w:val="24"/>
          <w:szCs w:val="24"/>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2"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60"/>
              <w:spacing w:after="0"/>
              <w:rPr>
                <w:sz w:val="20"/>
                <w:szCs w:val="20"/>
                <w:color w:val="auto"/>
              </w:rPr>
            </w:pPr>
            <w:r>
              <w:rPr>
                <w:rFonts w:ascii="Wingdings" w:cs="Wingdings" w:eastAsia="Wingdings" w:hAnsi="Wingdings"/>
                <w:sz w:val="16"/>
                <w:szCs w:val="16"/>
                <w:b w:val="1"/>
                <w:bCs w:val="1"/>
                <w:color w:val="auto"/>
                <w:w w:val="83"/>
              </w:rPr>
              <w:t>o</w:t>
            </w:r>
          </w:p>
        </w:tc>
      </w:tr>
      <w:tr>
        <w:trPr>
          <w:trHeight w:val="271"/>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80" w:type="dxa"/>
            <w:vAlign w:val="bottom"/>
          </w:tcPr>
          <w:p>
            <w:pPr>
              <w:ind w:left="340"/>
              <w:spacing w:after="0"/>
              <w:rPr>
                <w:sz w:val="20"/>
                <w:szCs w:val="20"/>
                <w:color w:val="auto"/>
              </w:rPr>
            </w:pPr>
            <w:r>
              <w:rPr>
                <w:rFonts w:ascii="Wingdings" w:cs="Wingdings" w:eastAsia="Wingdings" w:hAnsi="Wingdings"/>
                <w:sz w:val="16"/>
                <w:szCs w:val="16"/>
                <w:b w:val="1"/>
                <w:bCs w:val="1"/>
                <w:color w:val="auto"/>
              </w:rPr>
              <w:t>o</w:t>
            </w:r>
          </w:p>
        </w:tc>
        <w:tc>
          <w:tcPr>
            <w:tcW w:w="5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60"/>
              <w:spacing w:after="0"/>
              <w:rPr>
                <w:sz w:val="20"/>
                <w:szCs w:val="20"/>
                <w:color w:val="auto"/>
              </w:rPr>
            </w:pPr>
            <w:r>
              <w:rPr>
                <w:rFonts w:ascii="Wingdings" w:cs="Wingdings" w:eastAsia="Wingdings" w:hAnsi="Wingdings"/>
                <w:sz w:val="16"/>
                <w:szCs w:val="16"/>
                <w:b w:val="1"/>
                <w:bCs w:val="1"/>
                <w:color w:val="auto"/>
                <w:w w:val="83"/>
              </w:rPr>
              <w:t>o</w:t>
            </w:r>
          </w:p>
        </w:tc>
      </w:tr>
      <w:tr>
        <w:trPr>
          <w:trHeight w:val="297"/>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680" w:type="dxa"/>
            <w:vAlign w:val="bottom"/>
          </w:tcPr>
          <w:p>
            <w:pPr>
              <w:ind w:left="340"/>
              <w:spacing w:after="0"/>
              <w:rPr>
                <w:sz w:val="20"/>
                <w:szCs w:val="20"/>
                <w:color w:val="auto"/>
              </w:rPr>
            </w:pPr>
            <w:r>
              <w:rPr>
                <w:rFonts w:ascii="Wingdings" w:cs="Wingdings" w:eastAsia="Wingdings" w:hAnsi="Wingdings"/>
                <w:sz w:val="16"/>
                <w:szCs w:val="16"/>
                <w:b w:val="1"/>
                <w:bCs w:val="1"/>
                <w:color w:val="auto"/>
              </w:rPr>
              <w:t>o</w:t>
            </w:r>
          </w:p>
        </w:tc>
        <w:tc>
          <w:tcPr>
            <w:tcW w:w="512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114" w:lineRule="exact"/>
        <w:rPr>
          <w:sz w:val="24"/>
          <w:szCs w:val="24"/>
          <w:color w:val="auto"/>
        </w:rPr>
      </w:pPr>
    </w:p>
    <w:p>
      <w:pPr>
        <w:ind w:right="580"/>
        <w:spacing w:after="0" w:line="267"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ind w:right="2980"/>
        <w:spacing w:after="0" w:line="24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October 24, 2025, the registrant had 210,329,618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685800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040" w:type="dxa"/>
            <w:vAlign w:val="bottom"/>
            <w:vMerge w:val="continue"/>
          </w:tcPr>
          <w:p>
            <w:pPr>
              <w:spacing w:after="0"/>
              <w:rPr>
                <w:sz w:val="17"/>
                <w:szCs w:val="17"/>
                <w:color w:val="auto"/>
              </w:rPr>
            </w:pPr>
          </w:p>
        </w:tc>
        <w:tc>
          <w:tcPr>
            <w:tcW w:w="9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FINANCIAL INFORMATION</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7120" w:type="dxa"/>
            <w:vAlign w:val="bottom"/>
            <w:gridSpan w:val="10"/>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82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for the three and nine months ended September 30, 2025 and 2024</w:t>
            </w:r>
          </w:p>
        </w:tc>
        <w:tc>
          <w:tcPr>
            <w:tcW w:w="1300" w:type="dxa"/>
            <w:vAlign w:val="bottom"/>
            <w:gridSpan w:val="3"/>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nine months ended September 30, 2025 and 2024</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940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2025 and December 31, 2024</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2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and nine months ended September 30, 2025 and 2024</w:t>
            </w:r>
          </w:p>
        </w:tc>
        <w:tc>
          <w:tcPr>
            <w:tcW w:w="320" w:type="dxa"/>
            <w:vAlign w:val="bottom"/>
            <w:gridSpan w:val="2"/>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2025 and 2024</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478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3040" w:type="dxa"/>
            <w:vAlign w:val="bottom"/>
            <w:tcBorders>
              <w:top w:val="single" w:sz="8" w:color="0000FF"/>
            </w:tcBorders>
            <w:gridSpan w:val="3"/>
          </w:tcPr>
          <w:p>
            <w:pPr>
              <w:spacing w:after="0"/>
              <w:rPr>
                <w:sz w:val="21"/>
                <w:szCs w:val="21"/>
                <w:color w:val="auto"/>
              </w:rPr>
            </w:pPr>
          </w:p>
        </w:tc>
        <w:tc>
          <w:tcPr>
            <w:tcW w:w="1720" w:type="dxa"/>
            <w:vAlign w:val="bottom"/>
            <w:gridSpan w:val="4"/>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21"/>
                <w:szCs w:val="21"/>
                <w:color w:val="auto"/>
              </w:rPr>
            </w:pPr>
          </w:p>
        </w:tc>
        <w:tc>
          <w:tcPr>
            <w:tcW w:w="3100" w:type="dxa"/>
            <w:vAlign w:val="bottom"/>
            <w:gridSpan w:val="6"/>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vMerge w:val="continue"/>
          </w:tcPr>
          <w:p>
            <w:pPr>
              <w:spacing w:after="0"/>
              <w:rPr>
                <w:sz w:val="21"/>
                <w:szCs w:val="21"/>
                <w:color w:val="auto"/>
              </w:rPr>
            </w:pPr>
          </w:p>
        </w:tc>
        <w:tc>
          <w:tcPr>
            <w:tcW w:w="1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7660" w:type="dxa"/>
            <w:vAlign w:val="bottom"/>
            <w:gridSpan w:val="13"/>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1"/>
                <w:szCs w:val="21"/>
                <w:color w:val="auto"/>
              </w:rPr>
            </w:pPr>
          </w:p>
        </w:tc>
        <w:tc>
          <w:tcPr>
            <w:tcW w:w="8220" w:type="dxa"/>
            <w:vAlign w:val="bottom"/>
            <w:gridSpan w:val="15"/>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200" w:type="dxa"/>
            <w:vAlign w:val="bottom"/>
            <w:gridSpan w:val="9"/>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7220" w:type="dxa"/>
            <w:vAlign w:val="bottom"/>
            <w:gridSpan w:val="11"/>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780" w:type="dxa"/>
            <w:vAlign w:val="bottom"/>
            <w:gridSpan w:val="14"/>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3"/>
          </w:tcPr>
          <w:p>
            <w:pPr>
              <w:spacing w:after="0"/>
              <w:rPr>
                <w:sz w:val="21"/>
                <w:szCs w:val="21"/>
                <w:color w:val="auto"/>
              </w:rPr>
            </w:pPr>
          </w:p>
        </w:tc>
        <w:tc>
          <w:tcPr>
            <w:tcW w:w="8240" w:type="dxa"/>
            <w:vAlign w:val="bottom"/>
            <w:gridSpan w:val="16"/>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8780" w:type="dxa"/>
            <w:vAlign w:val="bottom"/>
            <w:gridSpan w:val="18"/>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Quarterly Report on Form 10-Q contains certain statements that constitute “forward-looking statements” within the meaning of the Private Securities Litigation Reform Act of 1995. In some cases, you can identify these statements by forward-looking words such as “may,” “might,” “will,” “should,” “expects,” “intends,” “outlook,” “forecast,” “position,” “committed,” “plans,” “anticipates,” “believes,” “estimates,” “predicts,” “model,” “assumes,”</w:t>
      </w:r>
    </w:p>
    <w:p>
      <w:pPr>
        <w:jc w:val="both"/>
        <w:spacing w:after="0" w:line="254" w:lineRule="auto"/>
        <w:rPr>
          <w:sz w:val="20"/>
          <w:szCs w:val="20"/>
          <w:color w:val="auto"/>
        </w:rPr>
      </w:pPr>
      <w:r>
        <w:rPr>
          <w:rFonts w:ascii="Times New Roman" w:cs="Times New Roman" w:eastAsia="Times New Roman" w:hAnsi="Times New Roman"/>
          <w:sz w:val="18"/>
          <w:szCs w:val="18"/>
          <w:color w:val="auto"/>
        </w:rPr>
        <w:t>“confident,” “look forward,” “potential,” “on track,” or “continue,” or the negative of these terms and other comparable terminology. These forward-looking statements, which are subject to risks, uncertainties and assumptions about us, may include projections of our future financial performance, our anticipated growth and recovery of profitability, management of costs and other disruptions and other strategies, and anticipated trends in our business, including expected levels of commodity costs and volume.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risks and uncertainties discussed in Item 1A. “Risk Factors” in our Annual Report on Form 10-K for the fiscal year ended December 31, 2024 and as updated in our Quarterly Reports on Form 10-Q. You should specifically consider the numerous risks outlined in the “Risk Factors” sections. These risks and uncertainties include factors related to:</w:t>
      </w:r>
    </w:p>
    <w:p>
      <w:pPr>
        <w:spacing w:after="0" w:line="215" w:lineRule="exact"/>
        <w:rPr>
          <w:sz w:val="20"/>
          <w:szCs w:val="20"/>
          <w:color w:val="auto"/>
        </w:rPr>
      </w:pPr>
    </w:p>
    <w:p>
      <w:pPr>
        <w:ind w:left="880" w:right="180" w:hanging="431"/>
        <w:spacing w:after="0" w:line="282" w:lineRule="auto"/>
        <w:tabs>
          <w:tab w:leader="none" w:pos="86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lifestyle, economic circumstances and environmental concerns, as well as changes in current or future laws and regulations related to environmental matters;</w:t>
      </w:r>
    </w:p>
    <w:p>
      <w:pPr>
        <w:spacing w:after="0" w:line="53"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with our major customers, consolidation of our customer bases and loss of a significant customer;</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pricing pressures;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disruption at, any of our key manufacturing facilities;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suppliers of raw materials and any interruption in our supply of raw materials;</w:t>
      </w:r>
    </w:p>
    <w:p>
      <w:pPr>
        <w:spacing w:after="0" w:line="117" w:lineRule="exact"/>
        <w:rPr>
          <w:rFonts w:ascii="Times New Roman" w:cs="Times New Roman" w:eastAsia="Times New Roman" w:hAnsi="Times New Roman"/>
          <w:sz w:val="18"/>
          <w:szCs w:val="18"/>
          <w:color w:val="auto"/>
        </w:rPr>
      </w:pPr>
    </w:p>
    <w:p>
      <w:pPr>
        <w:ind w:left="880" w:right="540" w:hanging="431"/>
        <w:spacing w:after="0" w:line="282" w:lineRule="auto"/>
        <w:tabs>
          <w:tab w:leader="none" w:pos="86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due to an accident, labor issues, weather conditions, natural disaster, or disease outbreak, including epidemics, pandemics or similar widespread public health concerns;</w:t>
      </w:r>
    </w:p>
    <w:p>
      <w:pPr>
        <w:spacing w:after="0" w:line="53" w:lineRule="exact"/>
        <w:rPr>
          <w:rFonts w:ascii="Times New Roman" w:cs="Times New Roman" w:eastAsia="Times New Roman" w:hAnsi="Times New Roman"/>
          <w:sz w:val="18"/>
          <w:szCs w:val="18"/>
          <w:color w:val="auto"/>
        </w:rPr>
      </w:pPr>
    </w:p>
    <w:p>
      <w:pPr>
        <w:ind w:left="880" w:right="60" w:hanging="431"/>
        <w:spacing w:after="0" w:line="282" w:lineRule="auto"/>
        <w:tabs>
          <w:tab w:leader="none" w:pos="86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raw materials, energy, labor and freight, including the impact of tariffs, trade sanctions and similar matters affecting our importation of certain raw materials and other products;</w:t>
      </w:r>
    </w:p>
    <w:p>
      <w:pPr>
        <w:spacing w:after="0" w:line="53"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and increased labor costs;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brands that are critical to our success;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in our target markets;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businesses;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inflationary trends;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meeting our sales growth objectives and innovation goals; and</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interest rates and the availability of capital.</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Investors are cautioned not to place undue reliance on any such forward-looking statements, which speak only as of the date they are made. We are under no duty to update any of these forward-looking statements after the date of this Quarterly Report on Form 10-Q to conform our prior statements to actual results or revised expectations.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information about these factors and about the material factors or assumptions underlying such forward-looking statements is included in our Annual Report on Form 10-K for the fiscal year ended December 31, 2024, which was filed on February 5, 2025, under Part I, Item 1A. “Risk Factors” and as updated in our Quarterly Reports on Form 10-Q.</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00" w:type="dxa"/>
            <w:vAlign w:val="bottom"/>
          </w:tcPr>
          <w:p>
            <w:pPr>
              <w:spacing w:after="0"/>
              <w:rPr>
                <w:sz w:val="15"/>
                <w:szCs w:val="15"/>
                <w:color w:val="auto"/>
              </w:rPr>
            </w:pPr>
          </w:p>
        </w:tc>
        <w:tc>
          <w:tcPr>
            <w:tcW w:w="2580" w:type="dxa"/>
            <w:vAlign w:val="bottom"/>
            <w:gridSpan w:val="4"/>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6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90"/>
        </w:trPr>
        <w:tc>
          <w:tcPr>
            <w:tcW w:w="4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0" w:type="dxa"/>
            <w:vAlign w:val="bottom"/>
            <w:gridSpan w:val="3"/>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Pr>
          <w:p>
            <w:pPr>
              <w:spacing w:after="0"/>
              <w:rPr>
                <w:sz w:val="16"/>
                <w:szCs w:val="16"/>
                <w:color w:val="auto"/>
              </w:rPr>
            </w:pPr>
          </w:p>
        </w:tc>
      </w:tr>
      <w:tr>
        <w:trPr>
          <w:trHeight w:val="37"/>
        </w:trPr>
        <w:tc>
          <w:tcPr>
            <w:tcW w:w="49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49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49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4"/>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net revenues</w:t>
            </w:r>
          </w:p>
        </w:tc>
        <w:tc>
          <w:tcPr>
            <w:tcW w:w="98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7"/>
        </w:trPr>
        <w:tc>
          <w:tcPr>
            <w:tcW w:w="4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2,687</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2,675</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r>
      <w:tr>
        <w:trPr>
          <w:trHeight w:val="27"/>
        </w:trPr>
        <w:tc>
          <w:tcPr>
            <w:tcW w:w="4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648</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698</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7"/>
        </w:trPr>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9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9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1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316</w:t>
            </w: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w:t>
            </w:r>
          </w:p>
        </w:tc>
      </w:tr>
      <w:tr>
        <w:trPr>
          <w:trHeight w:val="27"/>
        </w:trPr>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refinancing expense</w:t>
            </w:r>
          </w:p>
        </w:tc>
        <w:tc>
          <w:tcPr>
            <w:tcW w:w="98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7"/>
        </w:trPr>
        <w:tc>
          <w:tcPr>
            <w:tcW w:w="4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r>
      <w:tr>
        <w:trPr>
          <w:trHeight w:val="257"/>
        </w:trPr>
        <w:tc>
          <w:tcPr>
            <w:tcW w:w="49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21"/>
                <w:szCs w:val="21"/>
                <w:color w:val="auto"/>
              </w:rPr>
            </w:pP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8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7"/>
        </w:trPr>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70"/>
        </w:trPr>
        <w:tc>
          <w:tcPr>
            <w:tcW w:w="49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r>
      <w:tr>
        <w:trPr>
          <w:trHeight w:val="27"/>
        </w:trPr>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9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0"/>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tcBorders>
              <w:top w:val="single" w:sz="8" w:color="auto"/>
              <w:bottom w:val="single" w:sz="8" w:color="auto"/>
            </w:tcBorders>
          </w:tcPr>
          <w:p>
            <w:pPr>
              <w:spacing w:after="0"/>
              <w:rPr>
                <w:sz w:val="23"/>
                <w:szCs w:val="2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tcPr>
          <w:p>
            <w:pPr>
              <w:spacing w:after="0"/>
              <w:rPr>
                <w:sz w:val="23"/>
                <w:szCs w:val="23"/>
                <w:color w:val="auto"/>
              </w:rPr>
            </w:pPr>
          </w:p>
        </w:tc>
        <w:tc>
          <w:tcPr>
            <w:tcW w:w="960" w:type="dxa"/>
            <w:vAlign w:val="bottom"/>
            <w:tcBorders>
              <w:top w:val="single" w:sz="8" w:color="auto"/>
              <w:bottom w:val="single" w:sz="8" w:color="auto"/>
            </w:tcBorders>
          </w:tcPr>
          <w:p>
            <w:pPr>
              <w:spacing w:after="0"/>
              <w:rPr>
                <w:sz w:val="23"/>
                <w:szCs w:val="2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00" w:type="dxa"/>
            <w:vAlign w:val="bottom"/>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80" w:type="dxa"/>
            <w:vAlign w:val="bottom"/>
          </w:tcPr>
          <w:p>
            <w:pPr>
              <w:spacing w:after="0"/>
              <w:rPr>
                <w:sz w:val="23"/>
                <w:szCs w:val="23"/>
                <w:color w:val="auto"/>
              </w:rPr>
            </w:pPr>
          </w:p>
        </w:tc>
        <w:tc>
          <w:tcPr>
            <w:tcW w:w="52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w:t>
            </w: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4760" w:type="dxa"/>
            <w:vAlign w:val="bottom"/>
          </w:tcPr>
          <w:p>
            <w:pPr>
              <w:spacing w:after="0"/>
              <w:rPr>
                <w:sz w:val="15"/>
                <w:szCs w:val="15"/>
                <w:color w:val="auto"/>
              </w:rPr>
            </w:pPr>
          </w:p>
        </w:tc>
        <w:tc>
          <w:tcPr>
            <w:tcW w:w="264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90"/>
        </w:trPr>
        <w:tc>
          <w:tcPr>
            <w:tcW w:w="4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Pr>
          <w:p>
            <w:pPr>
              <w:spacing w:after="0"/>
              <w:rPr>
                <w:sz w:val="16"/>
                <w:szCs w:val="16"/>
                <w:color w:val="auto"/>
              </w:rPr>
            </w:pPr>
          </w:p>
        </w:tc>
      </w:tr>
      <w:tr>
        <w:trPr>
          <w:trHeight w:val="37"/>
        </w:trPr>
        <w:tc>
          <w:tcPr>
            <w:tcW w:w="476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6"/>
        </w:trPr>
        <w:tc>
          <w:tcPr>
            <w:tcW w:w="4760" w:type="dxa"/>
            <w:vAlign w:val="bottom"/>
          </w:tcPr>
          <w:p>
            <w:pPr>
              <w:spacing w:after="0"/>
              <w:rPr>
                <w:sz w:val="16"/>
                <w:szCs w:val="16"/>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476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income taxes:</w:t>
            </w: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benefit plans</w:t>
            </w:r>
          </w:p>
        </w:tc>
        <w:tc>
          <w:tcPr>
            <w:tcW w:w="1000" w:type="dxa"/>
            <w:vAlign w:val="bottom"/>
          </w:tcPr>
          <w:p>
            <w:pPr>
              <w:spacing w:after="0"/>
              <w:rPr>
                <w:sz w:val="21"/>
                <w:szCs w:val="21"/>
                <w:color w:val="auto"/>
              </w:rPr>
            </w:pP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4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instruments</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7"/>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income taxes</w:t>
            </w:r>
          </w:p>
        </w:tc>
        <w:tc>
          <w:tcPr>
            <w:tcW w:w="10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47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0"/>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w:t>
            </w:r>
          </w:p>
        </w:tc>
      </w:tr>
    </w:tbl>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5"/>
                <w:szCs w:val="15"/>
                <w:color w:val="auto"/>
              </w:rPr>
            </w:pPr>
          </w:p>
        </w:tc>
        <w:tc>
          <w:tcPr>
            <w:tcW w:w="158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62"/>
        </w:trPr>
        <w:tc>
          <w:tcPr>
            <w:tcW w:w="7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8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7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7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$1 and $1)</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1,084</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1,101</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$1,022 and $961)</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4,896</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4,873</w:t>
            </w:r>
          </w:p>
        </w:tc>
        <w:tc>
          <w:tcPr>
            <w:tcW w:w="0" w:type="dxa"/>
            <w:vAlign w:val="bottom"/>
          </w:tcPr>
          <w:p>
            <w:pPr>
              <w:spacing w:after="0"/>
              <w:rPr>
                <w:sz w:val="1"/>
                <w:szCs w:val="1"/>
                <w:color w:val="auto"/>
              </w:rPr>
            </w:pPr>
          </w:p>
        </w:tc>
      </w:tr>
      <w:tr>
        <w:trPr>
          <w:trHeight w:val="34"/>
        </w:trPr>
        <w:tc>
          <w:tcPr>
            <w:tcW w:w="7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payables</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559</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539</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postretirement benefit obligation</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2,716</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2,731</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$0.001 par value; 2,000 shares authorized; 210.3 shares issued and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7"/>
        </w:trPr>
        <w:tc>
          <w:tcPr>
            <w:tcW w:w="7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2,142</w:t>
            </w:r>
          </w:p>
        </w:tc>
        <w:tc>
          <w:tcPr>
            <w:tcW w:w="0" w:type="dxa"/>
            <w:vAlign w:val="bottom"/>
          </w:tcPr>
          <w:p>
            <w:pPr>
              <w:spacing w:after="0"/>
              <w:rPr>
                <w:sz w:val="1"/>
                <w:szCs w:val="1"/>
                <w:color w:val="auto"/>
              </w:rPr>
            </w:pPr>
          </w:p>
        </w:tc>
      </w:tr>
      <w:tr>
        <w:trPr>
          <w:trHeight w:val="23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4,896</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4,873</w:t>
            </w:r>
          </w:p>
        </w:tc>
        <w:tc>
          <w:tcPr>
            <w:tcW w:w="0" w:type="dxa"/>
            <w:vAlign w:val="bottom"/>
          </w:tcPr>
          <w:p>
            <w:pPr>
              <w:spacing w:after="0"/>
              <w:rPr>
                <w:sz w:val="1"/>
                <w:szCs w:val="1"/>
                <w:color w:val="auto"/>
              </w:rPr>
            </w:pPr>
          </w:p>
        </w:tc>
      </w:tr>
      <w:tr>
        <w:trPr>
          <w:trHeight w:val="34"/>
        </w:trPr>
        <w:tc>
          <w:tcPr>
            <w:tcW w:w="7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60" w:type="dxa"/>
            <w:vAlign w:val="bottom"/>
          </w:tcPr>
          <w:p>
            <w:pPr>
              <w:spacing w:after="0"/>
              <w:rPr>
                <w:sz w:val="15"/>
                <w:szCs w:val="15"/>
                <w:color w:val="auto"/>
              </w:rPr>
            </w:pPr>
          </w:p>
        </w:tc>
        <w:tc>
          <w:tcPr>
            <w:tcW w:w="12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Pr>
          <w:p>
            <w:pPr>
              <w:spacing w:after="0"/>
              <w:rPr>
                <w:sz w:val="15"/>
                <w:szCs w:val="15"/>
                <w:color w:val="auto"/>
              </w:rPr>
            </w:pPr>
          </w:p>
        </w:tc>
        <w:tc>
          <w:tcPr>
            <w:tcW w:w="1120" w:type="dxa"/>
            <w:vAlign w:val="bottom"/>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3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600" w:type="dxa"/>
            <w:vAlign w:val="bottom"/>
          </w:tcPr>
          <w:p>
            <w:pPr>
              <w:spacing w:after="0"/>
              <w:rPr>
                <w:sz w:val="17"/>
                <w:szCs w:val="17"/>
                <w:color w:val="auto"/>
              </w:rPr>
            </w:pP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60" w:type="dxa"/>
            <w:vAlign w:val="bottom"/>
          </w:tcPr>
          <w:p>
            <w:pPr>
              <w:spacing w:after="0"/>
              <w:rPr>
                <w:sz w:val="17"/>
                <w:szCs w:val="17"/>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300" w:type="dxa"/>
            <w:vAlign w:val="bottom"/>
          </w:tcPr>
          <w:p>
            <w:pPr>
              <w:spacing w:after="0"/>
              <w:rPr>
                <w:sz w:val="17"/>
                <w:szCs w:val="17"/>
                <w:color w:val="auto"/>
              </w:rPr>
            </w:pPr>
          </w:p>
        </w:tc>
        <w:tc>
          <w:tcPr>
            <w:tcW w:w="11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36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060" w:type="dxa"/>
            <w:vAlign w:val="bottom"/>
            <w:tcBorders>
              <w:bottom w:val="single" w:sz="8" w:color="CCEEFF"/>
            </w:tcBorders>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1,983</w:t>
            </w:r>
          </w:p>
        </w:tc>
        <w:tc>
          <w:tcPr>
            <w:tcW w:w="0" w:type="dxa"/>
            <w:vAlign w:val="bottom"/>
          </w:tcPr>
          <w:p>
            <w:pPr>
              <w:spacing w:after="0"/>
              <w:rPr>
                <w:sz w:val="1"/>
                <w:szCs w:val="1"/>
                <w:color w:val="auto"/>
              </w:rPr>
            </w:pP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income</w:t>
            </w: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0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($0.23 per share declared and paid)</w:t>
            </w:r>
          </w:p>
        </w:tc>
        <w:tc>
          <w:tcPr>
            <w:tcW w:w="106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1060" w:type="dxa"/>
            <w:vAlign w:val="bottom"/>
            <w:tcBorders>
              <w:top w:val="single" w:sz="8" w:color="auto"/>
            </w:tcBorders>
          </w:tcPr>
          <w:p>
            <w:pPr>
              <w:jc w:val="right"/>
              <w:ind w:right="8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1,989</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 net of income taxes</w:t>
            </w:r>
          </w:p>
        </w:tc>
        <w:tc>
          <w:tcPr>
            <w:tcW w:w="106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($0.23 per share declared and paid)</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106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2,040</w:t>
            </w:r>
          </w:p>
        </w:tc>
        <w:tc>
          <w:tcPr>
            <w:tcW w:w="0" w:type="dxa"/>
            <w:vAlign w:val="bottom"/>
          </w:tcPr>
          <w:p>
            <w:pPr>
              <w:spacing w:after="0"/>
              <w:rPr>
                <w:sz w:val="1"/>
                <w:szCs w:val="1"/>
                <w:color w:val="auto"/>
              </w:rPr>
            </w:pP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 net of income taxes</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($0.23 per share declared and paid)</w:t>
            </w:r>
          </w:p>
        </w:tc>
        <w:tc>
          <w:tcPr>
            <w:tcW w:w="106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7"/>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1060" w:type="dxa"/>
            <w:vAlign w:val="bottom"/>
            <w:tcBorders>
              <w:top w:val="single" w:sz="8" w:color="auto"/>
              <w:bottom w:val="single" w:sz="8" w:color="auto"/>
            </w:tcBorders>
          </w:tcPr>
          <w:p>
            <w:pPr>
              <w:jc w:val="right"/>
              <w:ind w:right="8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8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2,065</w:t>
            </w:r>
          </w:p>
        </w:tc>
        <w:tc>
          <w:tcPr>
            <w:tcW w:w="0" w:type="dxa"/>
            <w:vAlign w:val="bottom"/>
          </w:tcPr>
          <w:p>
            <w:pPr>
              <w:spacing w:after="0"/>
              <w:rPr>
                <w:sz w:val="1"/>
                <w:szCs w:val="1"/>
                <w:color w:val="auto"/>
              </w:rPr>
            </w:pPr>
          </w:p>
        </w:tc>
      </w:tr>
      <w:tr>
        <w:trPr>
          <w:trHeight w:val="75"/>
        </w:trPr>
        <w:tc>
          <w:tcPr>
            <w:tcW w:w="36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060" w:type="dxa"/>
            <w:vAlign w:val="bottom"/>
          </w:tcPr>
          <w:p>
            <w:pPr>
              <w:jc w:val="right"/>
              <w:ind w:right="8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1,413</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2,142</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 net of income taxes</w:t>
            </w:r>
          </w:p>
        </w:tc>
        <w:tc>
          <w:tcPr>
            <w:tcW w:w="106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($0.23 per share declared and paid)</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1060" w:type="dxa"/>
            <w:vAlign w:val="bottom"/>
            <w:tcBorders>
              <w:bottom w:val="single" w:sz="8" w:color="CCEEFF"/>
            </w:tcBorders>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2,122</w:t>
            </w:r>
          </w:p>
        </w:tc>
        <w:tc>
          <w:tcPr>
            <w:tcW w:w="0" w:type="dxa"/>
            <w:vAlign w:val="bottom"/>
          </w:tcPr>
          <w:p>
            <w:pPr>
              <w:spacing w:after="0"/>
              <w:rPr>
                <w:sz w:val="1"/>
                <w:szCs w:val="1"/>
                <w:color w:val="auto"/>
              </w:rPr>
            </w:pP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 net of income taxes</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($0.23 per share declared and paid)</w:t>
            </w:r>
          </w:p>
        </w:tc>
        <w:tc>
          <w:tcPr>
            <w:tcW w:w="106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7"/>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1060" w:type="dxa"/>
            <w:vAlign w:val="bottom"/>
            <w:tcBorders>
              <w:top w:val="single" w:sz="8" w:color="auto"/>
            </w:tcBorders>
          </w:tcPr>
          <w:p>
            <w:pPr>
              <w:jc w:val="right"/>
              <w:ind w:right="8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2,148</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 net of income taxes</w:t>
            </w:r>
          </w:p>
        </w:tc>
        <w:tc>
          <w:tcPr>
            <w:tcW w:w="106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($0.23 per share declared and paid)</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2025</w:t>
            </w:r>
          </w:p>
        </w:tc>
        <w:tc>
          <w:tcPr>
            <w:tcW w:w="106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2,180</w:t>
            </w: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33020</wp:posOffset>
            </wp:positionV>
            <wp:extent cx="19456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1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operating activities</w:t>
            </w:r>
          </w:p>
        </w:tc>
        <w:tc>
          <w:tcPr>
            <w:tcW w:w="9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operating cash flows: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payables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payable / receivable</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8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in investing activities</w:t>
            </w:r>
          </w:p>
        </w:tc>
        <w:tc>
          <w:tcPr>
            <w:tcW w:w="9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9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r>
      <w:tr>
        <w:trPr>
          <w:trHeight w:val="27"/>
        </w:trPr>
        <w:tc>
          <w:tcPr>
            <w:tcW w:w="8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in financing activities</w:t>
            </w:r>
          </w:p>
        </w:tc>
        <w:tc>
          <w:tcPr>
            <w:tcW w:w="9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Dividends paid</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7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term loan refinancing</w:t>
            </w:r>
            <w:r>
              <w:rPr>
                <w:rFonts w:ascii="Times New Roman" w:cs="Times New Roman" w:eastAsia="Times New Roman" w:hAnsi="Times New Roman"/>
                <w:sz w:val="23"/>
                <w:szCs w:val="23"/>
                <w:color w:val="auto"/>
                <w:vertAlign w:val="superscript"/>
              </w:rPr>
              <w:t>(1)</w:t>
            </w:r>
          </w:p>
        </w:tc>
        <w:tc>
          <w:tcPr>
            <w:tcW w:w="9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Repayments of existing term loan</w:t>
            </w:r>
            <w:r>
              <w:rPr>
                <w:rFonts w:ascii="Times New Roman" w:cs="Times New Roman" w:eastAsia="Times New Roman" w:hAnsi="Times New Roman"/>
                <w:sz w:val="23"/>
                <w:szCs w:val="23"/>
                <w:color w:val="auto"/>
                <w:vertAlign w:val="superscript"/>
              </w:rPr>
              <w:t>(1)</w:t>
            </w: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8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w:t>
            </w:r>
          </w:p>
        </w:tc>
      </w:tr>
      <w:tr>
        <w:trPr>
          <w:trHeight w:val="237"/>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7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r>
      <w:tr>
        <w:trPr>
          <w:trHeight w:val="250"/>
        </w:trPr>
        <w:tc>
          <w:tcPr>
            <w:tcW w:w="8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 long-term debt, net of interest rate swaps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taxes</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bl>
    <w:p>
      <w:pPr>
        <w:spacing w:after="0" w:line="103" w:lineRule="exact"/>
        <w:rPr>
          <w:sz w:val="20"/>
          <w:szCs w:val="20"/>
          <w:color w:val="auto"/>
        </w:rPr>
      </w:pPr>
    </w:p>
    <w:p>
      <w:pPr>
        <w:ind w:left="440" w:hanging="432"/>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inflows and outflows due to changes in term loan lender composition.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 and Basis of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Business: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Reynolds Consumer Products Inc. and its subsidiaries (“we”, “us” or “our”) produce and sell products that people use in their homes for cooking, serving, cleanup and storage. We sell our products under brands such as Reynolds and Hefty, and also under store brands. Our product portfolio includes aluminum foil, wraps, disposable bakeware, trash bags, food storage bags and disposable tableware. We report four business segments: Reynolds Cooking &amp; Baking; Hefty Waste &amp; Storage; Hefty Tableware; and Presto Products.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prepared the accompanying unaudited condensed consolidated financial statements in accordance with United States generally accepted accounting principles (“GAAP”) for interim financial information and the instructions to the Quarterly Report on Form 10-Q and Article 10 of Regulation S-X issued by the U.S. Securities and Exchange Commission (“SEC”). Accordingly, they do not include all of the information and notes required by GAAP for comprehensive annual financial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policies described in our Annual Report on Form 10-K for the year ended December 31, 2024, and should be read in conjunction with the disclosures therein. In our opinion, these interim condensed consolidated financial statements reflect all adjustments, consisting of normal recurring adjustments, necessary to state fairly the financial condition, results of operations and cash flows for the periods presented. Operating results for interim periods are not necessarily indicative of annual operating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Non-Cash Lease Transactions: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$31 million and $32 million in new operating lease right-of-use assets obtained in exchange for lease liabilities during the nine months ended September 30, 2025 and September 30, 2024,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Chain Financing:</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 voluntary Supply Chain Finance program (the “SCF”) with a global financial institution. All outstanding amounts related to suppliers participating in the SCF are recorded within accounts payable in our condensed consolidated balance sheet and associated payments are included as an operating cash flow in the condensed consolidated statement of cash flows. As of September 30, 2025 and December 31, 2024, the amount of obligations outstanding that we have confirmed as valid under the SCF was $10 million and </w:t>
      </w:r>
      <w:r>
        <w:rPr>
          <w:rFonts w:ascii="Times New Roman" w:cs="Times New Roman" w:eastAsia="Times New Roman" w:hAnsi="Times New Roman"/>
          <w:sz w:val="18"/>
          <w:szCs w:val="18"/>
          <w:color w:val="212529"/>
        </w:rPr>
        <w:t>$12 million,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Accounts Receivable Factoring:</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 xml:space="preserve">We are party to a factoring agreement with JP Morgan Chase Bank, N.A. to sell certain accounts receivable up to $95 million. We had no factored receivables as of </w:t>
      </w:r>
      <w:r>
        <w:rPr>
          <w:rFonts w:ascii="Times New Roman" w:cs="Times New Roman" w:eastAsia="Times New Roman" w:hAnsi="Times New Roman"/>
          <w:sz w:val="18"/>
          <w:szCs w:val="18"/>
          <w:color w:val="000000"/>
        </w:rPr>
        <w:t>September 30, 2025</w:t>
      </w:r>
      <w:r>
        <w:rPr>
          <w:rFonts w:ascii="Times New Roman" w:cs="Times New Roman" w:eastAsia="Times New Roman" w:hAnsi="Times New Roman"/>
          <w:sz w:val="18"/>
          <w:szCs w:val="18"/>
          <w:color w:val="212529"/>
        </w:rPr>
        <w:t>. Transactions under this agreement are accounted for as sales of accounts receivable, and the receivables sold are removed from the condensed consolidated balance sheet at the time of the sales transaction. We classify proceeds received from sales of accounts receivable as an operating cash flow in the condensed consolidated statement of cash flows. We record the discount as other expense, net in the condensed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2 – New Accounting Standards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Guidance: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280)</w:t>
      </w:r>
      <w:r>
        <w:rPr>
          <w:rFonts w:ascii="Times New Roman" w:cs="Times New Roman" w:eastAsia="Times New Roman" w:hAnsi="Times New Roman"/>
          <w:sz w:val="18"/>
          <w:szCs w:val="18"/>
          <w:color w:val="auto"/>
        </w:rPr>
        <w:t>, which enhances disclosures about significant segment expenses by requiring disclosure of incremental segment information on an annual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interim basis. This ASU was effective for fiscal years beginning after December 15, 2023, and interim periods within fiscal years beginning after December 15, 2024, with early adoption permitted. We adopted the new disclosures beginning with our annual financial statements for the year ended December 31, 2024. Our comparative segment disclosures in the interim financial statements in this report have been updated to reflect the new disclosure requirements.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Guidance Issued But Not Yet Adopted:</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which enhances disclosures within the income tax rate reconciliation and information disclosed related to income taxes paid, and requires disaggregation of certain financial statement captions between domestic, foreign, federal and state. This ASU is effective for annual periods beginning after December 15, 2024, with early adoption permitted. We are currently assessing the impact of this standard on our consolidated financial statements.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w:t>
      </w:r>
      <w:r>
        <w:rPr>
          <w:rFonts w:ascii="Times New Roman" w:cs="Times New Roman" w:eastAsia="Times New Roman" w:hAnsi="Times New Roman"/>
          <w:sz w:val="18"/>
          <w:szCs w:val="18"/>
          <w:color w:val="auto"/>
        </w:rPr>
        <w:t>, which will require additional disclosure about specific expense categories included in the income statement. In January 2025, the FASB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ASU 2025-01, </w:t>
      </w:r>
      <w:r>
        <w:rPr>
          <w:rFonts w:ascii="Times New Roman" w:cs="Times New Roman" w:eastAsia="Times New Roman" w:hAnsi="Times New Roman"/>
          <w:sz w:val="18"/>
          <w:szCs w:val="18"/>
          <w:i w:val="1"/>
          <w:iCs w:val="1"/>
          <w:color w:val="auto"/>
        </w:rPr>
        <w:t>Income Statement - Reporting Comprehensive Income - Expense Disaggregation Disclosures (Subtopic 220-40); Clarifying the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Date, </w:t>
      </w:r>
      <w:r>
        <w:rPr>
          <w:rFonts w:ascii="Times New Roman" w:cs="Times New Roman" w:eastAsia="Times New Roman" w:hAnsi="Times New Roman"/>
          <w:sz w:val="18"/>
          <w:szCs w:val="18"/>
          <w:color w:val="auto"/>
        </w:rPr>
        <w:t>which clarified the effective dates of annual and interim disclosure requirements presented in ASU 2024-03. The guidance in ASU 2024-03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for annual reporting periods beginning after December 15, 2026, and interim periods beginning within annual reporting periods beginning after December 15, 2027, with early adoption permitted. We are currently assessing the impact of this standard on our consolidated financial statements and related disclosures.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September 2025, FASB issued ASU 2025-06, </w:t>
      </w:r>
      <w:r>
        <w:rPr>
          <w:rFonts w:ascii="Times New Roman" w:cs="Times New Roman" w:eastAsia="Times New Roman" w:hAnsi="Times New Roman"/>
          <w:sz w:val="18"/>
          <w:szCs w:val="18"/>
          <w:i w:val="1"/>
          <w:iCs w:val="1"/>
          <w:color w:val="auto"/>
        </w:rPr>
        <w:t>Intangibles - Goodwill and Other - Internal-Use Software (Subtopic 350-40),</w:t>
      </w:r>
      <w:r>
        <w:rPr>
          <w:rFonts w:ascii="Times New Roman" w:cs="Times New Roman" w:eastAsia="Times New Roman" w:hAnsi="Times New Roman"/>
          <w:sz w:val="18"/>
          <w:szCs w:val="18"/>
          <w:color w:val="auto"/>
        </w:rPr>
        <w:t xml:space="preserve"> which updates the accounting for internal-use software costs by increasing the operability of the recognition guidance considering different methods of software development. This ASU is effective for annual reporting periods beginning after December 15, 2027, and interim reporting periods within those annual reporting periods, with early adoption permitted. We are currently assessing the impact of this standard on our consolidated financial statements.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Reform</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4, 2025, the U.S. government enacted the One Big Beautiful Bill Act (“OBBBA”) which includes, among other provisions, changes to the U.S. corporate income tax system, including the allowance of 100% expensing of qualified asset expenditures, immediate expensing of qualifying domestic research and development expenses and permanent extensions of certain other provisions within the Tax Cuts and Jobs Act. Certain provisions are effective for 2025, beginning January 19, 2025. The enactment did not have a material impact on our effective tax rate for the three and nine months ended September 30, 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4"/>
                <w:szCs w:val="14"/>
                <w:color w:val="auto"/>
              </w:rPr>
            </w:pPr>
          </w:p>
        </w:tc>
        <w:tc>
          <w:tcPr>
            <w:tcW w:w="11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50"/>
        </w:trPr>
        <w:tc>
          <w:tcPr>
            <w:tcW w:w="81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gridSpan w:val="3"/>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Spare parts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4 –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4"/>
                <w:szCs w:val="14"/>
                <w:color w:val="auto"/>
              </w:rPr>
            </w:pPr>
          </w:p>
        </w:tc>
        <w:tc>
          <w:tcPr>
            <w:tcW w:w="11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50"/>
        </w:trPr>
        <w:tc>
          <w:tcPr>
            <w:tcW w:w="81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gridSpan w:val="3"/>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financing transaction costs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Original issue discounts</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8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1,613</w:t>
            </w:r>
          </w:p>
        </w:tc>
        <w:tc>
          <w:tcPr>
            <w:tcW w:w="100" w:type="dxa"/>
            <w:vAlign w:val="bottom"/>
          </w:tcPr>
          <w:p>
            <w:pPr>
              <w:spacing w:after="0"/>
              <w:rPr>
                <w:sz w:val="23"/>
                <w:szCs w:val="23"/>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1,686</w:t>
            </w: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Debt Facilities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external debt facilities (“External Debt Facilities”) consist of a senior secured term loan facility (“Term Loan Facility”) and a $700 million senior secured revolving credit facility (“Revolving Facility”) in a syndicated loan arrangement. During March 2025, we amended the Term Loan Facility, replacing the then-existing facility, which was originally set to mature in February 2027, with a new $1,645 million facility maturing in March 2032 (“Amendment No. 4”). Other than the new maturity date and the recommencement of quarterly amortization payments, the material terms of our External Debt Facilities as a result of Amendment No. 4 remain unchanged.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Amendment No. 4 to our syndicated loan arrangement, we evaluated the accounting treatment of deferred and new debt transaction costs on a creditor-by-creditor basis in accordance with GAAP. This analysis resulted in the recognition of a debt refinancing expense of $13 million during the nine months ended September 30, 2025, comprised of $12 million of new fees allocated to modified loans and $1 million of deferred financing transaction costs and original issue discount expensed related to extinguished loans. This expense is presented separately in our condensed consolidated statements of income.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during the nine months ended September 30, 2025, we capitalized $1 million of qualifying financing-related costs associated with Amendment No. 4. These costs, along with $7 million of remaining deferred financing transaction costs, will be amortized over the remaining term of the Term Loan Facility, subject to acceleration for early term loan principal payments.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Borrowings under the External Debt Facilities bear interest at a rate per annum equal to, at our option, either a base rate plus an applicable margin of 0.75% or a SOFR plus an applicable margin of 1.75%. We have entered into a series of interest rate swaps to hedge a portion of the interest rate exposure resulting from these borrowings. Refer to Note 5 – Financial Instruments for further details.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External Debt Facilities contain a springing financial covenant requiring compliance with a ratio of first lien net indebtedness to consolidated EBITDA, applicable solely to the Revolving Facility. The financial covenant is tested on the last day of any fiscal quarter only if the aggregate principal amount of borrowings under the Revolving Facility and drawn but unreimbursed letters of credit exceed 35% of the total amount of commitments under the Revolving Facility on such day. We are currently in compliance with the covenants contained in our External Debt Facilities.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event of default occurs, the lenders under the External Debt Facilities are entitled to take various actions, including the acceleration of amounts due under the External Debt Facilities and all actions permitted to be taken by secured creditors.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Term Loan Facility matures in March 2032. The Term Loan Facility amortizes in equal quarterly installments of $4 million, which commenced in June 2025, with the balance payable on maturity. During the nine months ended September 30, 2025, prior to Amendment No. 4, we made voluntary principal payments of $50 million related to our Term Loan Facility.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1" w:name="page12"/>
    <w:bookmarkEnd w:id="11"/>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Facility</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Revolving Facility matures in October 2029 and includes a sub-facility for letters of credit. As of September 30, 2025, we had no outstanding borrowings under the Revolving Facility, and we had $7 million of letters of credit outstanding, which reduces the borrowing capacity under the Revolving Facility.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Our Long-Term Debt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our long-term debt as of September 30, 2025, which is a Level 2 fair value measurement, approximates the carrying value due to the variable market interest rate and the stability of our credit profile.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Financial Instruments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entered into a series of interest rate swaps to fix the SOFR of our External Debt Facilities.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notional amount of interest rate swaps in effect as of September 30, 2025 and December 31, 2024 was $1,000 million and $1,150 million, respectively. The SOFR of the swaps in effect as of September 30, 2025 was fixed at an annual rate of 2.66% to 3.40% (for an annual effective interest rate of 4.41% to 5.15%, including margin). These interest rate swaps that are in effect have maturity dates of less than one year, and a weighted average effective rate of 4.71%.</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during the nine months ended September 30, 2025, we entered into additional interest rate swaps with forward start dates beginning in February 2026, that had an aggregate notional value of $900 million, which fixes the SOFR to an annual rate of 3.33% to 3.41% (for an annual effective interest rate of 5.08% to 5.16%, including margin). These interest rate swaps with forward start dates have maturity dates between March 2028 and March 2031, and a weighted average effective rate of 5.12%.</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interest rate swaps outstanding as of September 30, 2025 hedge a portion of the interest rate exposure resulting from borrowings under our Term Loan Facility. We have classified these instruments as cash flow hedges. The effective portion of the gain or loss on the open hedging instrument is recorded in accumulated other comprehensive income and is reclassified into earnings as interest expense, net when settled. The associated asset or liability on the open hedges is recorded at its fair value in other assets or other liabilities, as applicable. The fair value of the interest rate swaps was determined using a discounted cash flow method based on market-based swap yield curves, taking into account current interest rates, and is classified as Level 2 within the fair value hierarchy.</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assets and liabilities associated with our interest rate swaps, as reflected gross in the condensed consolidated balance sheets, were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00" w:type="dxa"/>
            <w:vAlign w:val="bottom"/>
          </w:tcPr>
          <w:p>
            <w:pPr>
              <w:spacing w:after="0"/>
              <w:rPr>
                <w:sz w:val="15"/>
                <w:szCs w:val="15"/>
                <w:color w:val="auto"/>
              </w:rPr>
            </w:pPr>
          </w:p>
        </w:tc>
        <w:tc>
          <w:tcPr>
            <w:tcW w:w="176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6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90"/>
        </w:trPr>
        <w:tc>
          <w:tcPr>
            <w:tcW w:w="6400" w:type="dxa"/>
            <w:vAlign w:val="bottom"/>
          </w:tcPr>
          <w:p>
            <w:pPr>
              <w:spacing w:after="0"/>
              <w:rPr>
                <w:sz w:val="16"/>
                <w:szCs w:val="16"/>
                <w:color w:val="auto"/>
              </w:rPr>
            </w:pPr>
          </w:p>
        </w:tc>
        <w:tc>
          <w:tcPr>
            <w:tcW w:w="176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60" w:type="dxa"/>
            <w:vAlign w:val="bottom"/>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640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gridSpan w:val="3"/>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r>
      <w:tr>
        <w:trPr>
          <w:trHeight w:val="186"/>
        </w:trPr>
        <w:tc>
          <w:tcPr>
            <w:tcW w:w="64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1960" w:type="dxa"/>
            <w:vAlign w:val="bottom"/>
          </w:tcPr>
          <w:p>
            <w:pPr>
              <w:spacing w:after="0"/>
              <w:rPr>
                <w:sz w:val="16"/>
                <w:szCs w:val="16"/>
                <w:color w:val="auto"/>
              </w:rPr>
            </w:pPr>
          </w:p>
        </w:tc>
      </w:tr>
      <w:tr>
        <w:trPr>
          <w:trHeight w:val="37"/>
        </w:trPr>
        <w:tc>
          <w:tcPr>
            <w:tcW w:w="64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960" w:type="dxa"/>
            <w:vAlign w:val="bottom"/>
          </w:tcPr>
          <w:p>
            <w:pPr>
              <w:spacing w:after="0"/>
              <w:rPr>
                <w:sz w:val="3"/>
                <w:szCs w:val="3"/>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760" w:type="dxa"/>
            <w:vAlign w:val="bottom"/>
          </w:tcPr>
          <w:p>
            <w:pPr>
              <w:jc w:val="right"/>
              <w:ind w:right="1577"/>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4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64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7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760" w:type="dxa"/>
            <w:vAlign w:val="bottom"/>
            <w:tcBorders>
              <w:top w:val="single" w:sz="8" w:color="auto"/>
              <w:bottom w:val="single" w:sz="8" w:color="auto"/>
            </w:tcBorders>
          </w:tcPr>
          <w:p>
            <w:pPr>
              <w:jc w:val="right"/>
              <w:ind w:right="157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80" w:type="dxa"/>
            <w:vAlign w:val="bottom"/>
            <w:tcBorders>
              <w:top w:val="single" w:sz="8" w:color="auto"/>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37"/>
        </w:trPr>
        <w:tc>
          <w:tcPr>
            <w:tcW w:w="64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r>
      <w:tr>
        <w:trPr>
          <w:trHeight w:val="24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17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760" w:type="dxa"/>
            <w:vAlign w:val="bottom"/>
            <w:tcBorders>
              <w:top w:val="single" w:sz="8" w:color="auto"/>
              <w:bottom w:val="single" w:sz="8" w:color="auto"/>
            </w:tcBorders>
          </w:tcPr>
          <w:p>
            <w:pPr>
              <w:jc w:val="right"/>
              <w:ind w:right="157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Borders>
              <w:top w:val="single" w:sz="8" w:color="auto"/>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4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6 – Stock-based Compensation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equity incentive plan was established in 2020, for purposes of granting stock-based compensation awards to certain members of our senior management, our non-executive directors and to certain employees, to incentivize their performance and align their interests with ours. We have granted restricted stock units (“RSUs”) to certain employees and non-employee directors that have a service-based vesting condition. In addition, we have granted performance stock units (“PSUs”) to certain members of management that have a performance-based vesting condition. We account for forfeitures of outstanding but unvested grants in the period they occur. A maximum of 10.5 million shares of common stock were initially available for issuance under equity incentive awards granted pursuant to the plan. In the three and nine months ended September 30, 2025, 0.2 million and 0.8 million RSUs and zero and 0.4 million PSUs were granted, respectively.</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there were stock-based compensation awards representing 2.1 million shares outstanding compared to 1.3 million shares outstanding as of December 31, 2024. Stock-based compensation expense was $7 million and $18 million for the three and nine months ended September 30, 2025, respectively, compared to $5 million and $14 million in the comparable prior year periods.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from time to time party to litigation, legal proceedings and tax examinations arising from our operations. Most of these matters involve allegations of damages against us related to employment matters, consumer complaints, advertising/labeling claims, personal injury claims and commercial or contractual disputes. We record estimates for claims and proceedings that constitute a present obligation when it is probable that an outflow of resources will be required to settle the obligation and a reliable estimate of such obligation can be made. While it is not possible to predict the outcome of any of these matters, based on our assessment of the facts and circumstances as of September 30, 2025, we do not believe any of these matters, individually or in the aggregate, will have a material adverse effect on our financial position, results of operations or cash flows. However, actual outcomes may differ from those expected and could have a material effect on our financial position, results of operations or cash flows in a future period.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8 – Accumulated Other Comprehensive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our balances of each component of accumulated other comprehensive income.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Currency Translation</w:t>
            </w:r>
          </w:p>
        </w:tc>
        <w:tc>
          <w:tcPr>
            <w:tcW w:w="160" w:type="dxa"/>
            <w:vAlign w:val="bottom"/>
          </w:tcPr>
          <w:p>
            <w:pPr>
              <w:spacing w:after="0"/>
              <w:rPr>
                <w:sz w:val="14"/>
                <w:szCs w:val="14"/>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Employee Benefit</w:t>
            </w: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Accumulated Other</w:t>
            </w:r>
          </w:p>
        </w:tc>
      </w:tr>
      <w:tr>
        <w:trPr>
          <w:trHeight w:val="204"/>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7"/>
                <w:szCs w:val="17"/>
                <w:color w:val="auto"/>
              </w:rPr>
            </w:pPr>
          </w:p>
        </w:tc>
        <w:tc>
          <w:tcPr>
            <w:tcW w:w="14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r>
      <w:tr>
        <w:trPr>
          <w:trHeight w:val="37"/>
        </w:trPr>
        <w:tc>
          <w:tcPr>
            <w:tcW w:w="50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 arising during the period</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deferred taxes</w:t>
            </w:r>
          </w:p>
        </w:tc>
        <w:tc>
          <w:tcPr>
            <w:tcW w:w="2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arising during the period</w:t>
            </w:r>
          </w:p>
        </w:tc>
        <w:tc>
          <w:tcPr>
            <w:tcW w:w="2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deferred taxes</w:t>
            </w:r>
          </w:p>
        </w:tc>
        <w:tc>
          <w:tcPr>
            <w:tcW w:w="2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 arising during the period</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deferred taxes</w:t>
            </w:r>
          </w:p>
        </w:tc>
        <w:tc>
          <w:tcPr>
            <w:tcW w:w="2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r>
      <w:tr>
        <w:trPr>
          <w:trHeight w:val="270"/>
        </w:trPr>
        <w:tc>
          <w:tcPr>
            <w:tcW w:w="5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 arising during the period</w:t>
            </w:r>
          </w:p>
        </w:tc>
        <w:tc>
          <w:tcPr>
            <w:tcW w:w="2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deferred taxes</w:t>
            </w:r>
          </w:p>
        </w:tc>
        <w:tc>
          <w:tcPr>
            <w:tcW w:w="2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 arising during the period</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deferred taxes</w:t>
            </w:r>
          </w:p>
        </w:tc>
        <w:tc>
          <w:tcPr>
            <w:tcW w:w="2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arising during the period</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deferred taxes</w:t>
            </w:r>
          </w:p>
        </w:tc>
        <w:tc>
          <w:tcPr>
            <w:tcW w:w="2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2025</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r>
      <w:tr>
        <w:trPr>
          <w:trHeight w:val="27"/>
        </w:trPr>
        <w:tc>
          <w:tcPr>
            <w:tcW w:w="50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Segment Information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Chief Executive Officer, who has been identified as our Chief Operating Decision Maker (“CODM”), has evaluated how he views and measures our performance. In applying the criteria set forth in the standards for reporting information about segments in financial statements, we have determined that we have four reportable segments - Reynolds Cooking &amp; Baking, Hefty Waste &amp; Storage, Hefty Tableware and Presto Products. The key factors used to identify these reportable segments are the organization and alignment of our internal operations and the nature of our products. This reflects how our CODM monitors performance, allocates capital and makes strategic and operational decisions.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January 1, 2025, we have updated our segment reporting to reflect our international business based on product category alignment, as opposed to the entirety of international results historically being reported in the Reynolds Cooking &amp; Baking segment. All prior period segment disclosures have been recast to reflect this reassignment. Our composition of operating segments and reportable segments did not change, and this reassignment had no effect on our previously reported consolidated results of operations.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Our segments are described as follows: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Reynolds Cooking &amp; Baking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Reynolds Cooking &amp; Baking segment produces branded and store brand aluminum foil, disposable aluminum pans, parchment paper, freezer paper, wax paper, butcher paper, plastic wrap, baking cups, oven bags and slow cooker liners. Our branded products are sold under the Reynolds Wrap, Reynolds KITCHENS and EZ Foil brands in the United States and selected international markets, under the ALCAN brand in Canada and under the Diamond brand outside of North America.</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Waste &amp; Storage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Hefty Waste &amp; Storage segment produces both branded and store brand trash and food storage bags. Our branded products are sold under the Hefty Ultra Strong and Hefty Strong brands for trash bags in the U.S. and selected international markets, and as the Hefty and Baggies brands for our food storage bags in the U.S. Our food storage bags internationally are sold as Reynolds, Diamond, or Hefty Basics brands based on region.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Tableware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Hefty Tableware segment sells both branded and store brand disposable and compostable plates, bowls, platters, cups and cutlery. Our Hefty branded products include dishes, party cups and cutlery.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Presto Products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Presto Products segment primarily sells store brand products in three main categories: food storage bags, trash bags and plastic wrap. Our Presto Products segment also includes our specialty business, which serves other consumer products companies by providing Fresh-Lock and Slide-Rite resealable closure systems.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by Segment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present segment adjusted EBITDA (“Adjusted EBITDA”) as this is the financial measure by which management and our CODM evaluates the performance of each segment and allocates resources (including employees, property and financial or capital resources) for each segment, predominantly in the annual budgeting and forecasting process. The CODM considers budget-to-actual variances on a monthly basis when making decisions about allocating capital and personnel to the segments.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represents each segment’s earnings before interest, tax, depreciation and amortization and may be further adjusted to exclude certain items, if applicable.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assets by segment are those assets directly associated with the respective operating activities, comprising inventory, property, plant and equipment and operating lease right-of-use assets. Other assets, such as cash, accounts receivable and intangible assets, are monitored on an entity-wide basis and not included in segment information that is regularly reviewed by our CODM.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between segments are at negotiated prices.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6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Cooking</w:t>
            </w:r>
          </w:p>
        </w:tc>
        <w:tc>
          <w:tcPr>
            <w:tcW w:w="16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Waste &amp;</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60" w:type="dxa"/>
            <w:vAlign w:val="bottom"/>
          </w:tcPr>
          <w:p>
            <w:pPr>
              <w:spacing w:after="0"/>
              <w:rPr>
                <w:sz w:val="14"/>
                <w:szCs w:val="14"/>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160" w:type="dxa"/>
            <w:vAlign w:val="bottom"/>
          </w:tcPr>
          <w:p>
            <w:pPr>
              <w:spacing w:after="0"/>
              <w:rPr>
                <w:sz w:val="14"/>
                <w:szCs w:val="14"/>
                <w:color w:val="auto"/>
              </w:rPr>
            </w:pPr>
          </w:p>
        </w:tc>
        <w:tc>
          <w:tcPr>
            <w:tcW w:w="8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41"/>
        </w:trPr>
        <w:tc>
          <w:tcPr>
            <w:tcW w:w="3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8"/>
                <w:szCs w:val="18"/>
                <w:b w:val="1"/>
                <w:bCs w:val="1"/>
                <w:color w:val="auto"/>
                <w:vertAlign w:val="superscript"/>
              </w:rPr>
              <w:t>(1)</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6"/>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37"/>
        </w:trPr>
        <w:tc>
          <w:tcPr>
            <w:tcW w:w="3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932</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center"/>
              <w:ind w:left="714"/>
              <w:spacing w:after="0"/>
              <w:rPr>
                <w:sz w:val="20"/>
                <w:szCs w:val="20"/>
                <w:color w:val="auto"/>
              </w:rPr>
            </w:pPr>
            <w:r>
              <w:rPr>
                <w:rFonts w:ascii="Times New Roman" w:cs="Times New Roman" w:eastAsia="Times New Roman" w:hAnsi="Times New Roman"/>
                <w:sz w:val="18"/>
                <w:szCs w:val="18"/>
                <w:color w:val="auto"/>
                <w:w w:val="95"/>
              </w:rPr>
              <w:t>(1)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931</w:t>
            </w: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center"/>
              <w:ind w:left="714"/>
              <w:spacing w:after="0"/>
              <w:rPr>
                <w:sz w:val="20"/>
                <w:szCs w:val="20"/>
                <w:color w:val="auto"/>
              </w:rPr>
            </w:pPr>
            <w:r>
              <w:rPr>
                <w:rFonts w:ascii="Times New Roman" w:cs="Times New Roman" w:eastAsia="Times New Roman" w:hAnsi="Times New Roman"/>
                <w:sz w:val="18"/>
                <w:szCs w:val="18"/>
                <w:color w:val="auto"/>
                <w:w w:val="95"/>
              </w:rPr>
              <w:t>(5)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3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3"/>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937</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center"/>
              <w:ind w:left="714"/>
              <w:spacing w:after="0"/>
              <w:rPr>
                <w:sz w:val="20"/>
                <w:szCs w:val="20"/>
                <w:color w:val="auto"/>
              </w:rPr>
            </w:pPr>
            <w:r>
              <w:rPr>
                <w:rFonts w:ascii="Times New Roman" w:cs="Times New Roman" w:eastAsia="Times New Roman" w:hAnsi="Times New Roman"/>
                <w:sz w:val="18"/>
                <w:szCs w:val="18"/>
                <w:color w:val="auto"/>
                <w:w w:val="95"/>
              </w:rPr>
              <w:t>(6)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931</w:t>
            </w:r>
          </w:p>
        </w:tc>
      </w:tr>
      <w:tr>
        <w:trPr>
          <w:trHeight w:val="270"/>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(746)</w:t>
            </w:r>
          </w:p>
        </w:tc>
        <w:tc>
          <w:tcPr>
            <w:tcW w:w="16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740" w:type="dxa"/>
            <w:vAlign w:val="bottom"/>
            <w:tcBorders>
              <w:bottom w:val="single" w:sz="8" w:color="CCEEFF"/>
            </w:tcBorders>
          </w:tcPr>
          <w:p>
            <w:pPr>
              <w:spacing w:after="0"/>
              <w:rPr>
                <w:sz w:val="23"/>
                <w:szCs w:val="23"/>
                <w:color w:val="auto"/>
              </w:rPr>
            </w:pPr>
          </w:p>
        </w:tc>
      </w:tr>
      <w:tr>
        <w:trPr>
          <w:trHeight w:val="244"/>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center"/>
              <w:ind w:left="754"/>
              <w:spacing w:after="0"/>
              <w:rPr>
                <w:sz w:val="20"/>
                <w:szCs w:val="20"/>
                <w:color w:val="auto"/>
              </w:rPr>
            </w:pPr>
            <w:r>
              <w:rPr>
                <w:rFonts w:ascii="Times New Roman" w:cs="Times New Roman" w:eastAsia="Times New Roman" w:hAnsi="Times New Roman"/>
                <w:sz w:val="18"/>
                <w:szCs w:val="18"/>
                <w:color w:val="auto"/>
                <w:w w:val="88"/>
              </w:rPr>
              <w:t>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r>
    </w:tbl>
    <w:p>
      <w:pPr>
        <w:spacing w:after="0" w:line="200" w:lineRule="exact"/>
        <w:rPr>
          <w:sz w:val="20"/>
          <w:szCs w:val="20"/>
          <w:color w:val="auto"/>
        </w:rPr>
      </w:pPr>
    </w:p>
    <w:p>
      <w:pPr>
        <w:sectPr>
          <w:pgSz w:w="11900" w:h="16838" w:orient="portrait"/>
          <w:cols w:equalWidth="0" w:num="1">
            <w:col w:w="11240"/>
          </w:cols>
          <w:pgMar w:left="320" w:top="13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75"/>
        </w:trPr>
        <w:tc>
          <w:tcPr>
            <w:tcW w:w="3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Presto</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Cooking</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Waste &amp;</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8"/>
                <w:szCs w:val="18"/>
                <w:b w:val="1"/>
                <w:bCs w:val="1"/>
                <w:color w:val="auto"/>
                <w:vertAlign w:val="superscript"/>
              </w:rPr>
              <w:t>(1)</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3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913</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919</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(2)</w:t>
            </w:r>
          </w:p>
        </w:tc>
        <w:tc>
          <w:tcPr>
            <w:tcW w:w="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center"/>
              <w:ind w:left="337"/>
              <w:spacing w:after="0"/>
              <w:rPr>
                <w:sz w:val="20"/>
                <w:szCs w:val="20"/>
                <w:color w:val="auto"/>
              </w:rPr>
            </w:pPr>
            <w:r>
              <w:rPr>
                <w:rFonts w:ascii="Times New Roman" w:cs="Times New Roman" w:eastAsia="Times New Roman" w:hAnsi="Times New Roman"/>
                <w:sz w:val="18"/>
                <w:szCs w:val="18"/>
                <w:color w:val="auto"/>
              </w:rPr>
              <w:t>(244)</w:t>
            </w:r>
          </w:p>
        </w:tc>
        <w:tc>
          <w:tcPr>
            <w:tcW w:w="1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8"/>
                <w:szCs w:val="18"/>
                <w:color w:val="auto"/>
                <w:w w:val="97"/>
              </w:rPr>
              <w:t>(181)</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center"/>
              <w:ind w:left="335"/>
              <w:spacing w:after="0"/>
              <w:rPr>
                <w:sz w:val="20"/>
                <w:szCs w:val="20"/>
                <w:color w:val="auto"/>
              </w:rPr>
            </w:pPr>
            <w:r>
              <w:rPr>
                <w:rFonts w:ascii="Times New Roman" w:cs="Times New Roman" w:eastAsia="Times New Roman" w:hAnsi="Times New Roman"/>
                <w:sz w:val="18"/>
                <w:szCs w:val="18"/>
                <w:color w:val="auto"/>
              </w:rPr>
              <w:t>(196)</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center"/>
              <w:ind w:left="337"/>
              <w:spacing w:after="0"/>
              <w:rPr>
                <w:sz w:val="20"/>
                <w:szCs w:val="20"/>
                <w:color w:val="auto"/>
              </w:rPr>
            </w:pPr>
            <w:r>
              <w:rPr>
                <w:rFonts w:ascii="Times New Roman" w:cs="Times New Roman" w:eastAsia="Times New Roman" w:hAnsi="Times New Roman"/>
                <w:sz w:val="18"/>
                <w:szCs w:val="18"/>
                <w:color w:val="auto"/>
                <w:w w:val="97"/>
              </w:rPr>
              <w:t>(117)</w:t>
            </w:r>
          </w:p>
        </w:tc>
        <w:tc>
          <w:tcPr>
            <w:tcW w:w="14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(738)</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3"/>
        </w:trPr>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Cooking</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Waste &amp;</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Presto</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8"/>
                <w:szCs w:val="18"/>
                <w:b w:val="1"/>
                <w:bCs w:val="1"/>
                <w:color w:val="auto"/>
                <w:vertAlign w:val="superscript"/>
              </w:rPr>
              <w:t>(1)</w:t>
            </w: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80" w:type="dxa"/>
            <w:vAlign w:val="bottom"/>
          </w:tcPr>
          <w:p>
            <w:pPr>
              <w:spacing w:after="0"/>
              <w:rPr>
                <w:sz w:val="3"/>
                <w:szCs w:val="3"/>
                <w:color w:val="auto"/>
              </w:rPr>
            </w:pPr>
          </w:p>
        </w:tc>
        <w:tc>
          <w:tcPr>
            <w:tcW w:w="16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2,690</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2,687</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2,705</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2,687</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(2)</w:t>
            </w:r>
          </w:p>
        </w:tc>
        <w:tc>
          <w:tcPr>
            <w:tcW w:w="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center"/>
              <w:ind w:left="337"/>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8"/>
                <w:szCs w:val="18"/>
                <w:color w:val="auto"/>
                <w:w w:val="97"/>
              </w:rPr>
              <w:t>(558)</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center"/>
              <w:ind w:left="335"/>
              <w:spacing w:after="0"/>
              <w:rPr>
                <w:sz w:val="20"/>
                <w:szCs w:val="20"/>
                <w:color w:val="auto"/>
              </w:rPr>
            </w:pPr>
            <w:r>
              <w:rPr>
                <w:rFonts w:ascii="Times New Roman" w:cs="Times New Roman" w:eastAsia="Times New Roman" w:hAnsi="Times New Roman"/>
                <w:sz w:val="18"/>
                <w:szCs w:val="18"/>
                <w:color w:val="auto"/>
              </w:rPr>
              <w:t>(541)</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center"/>
              <w:ind w:left="337"/>
              <w:spacing w:after="0"/>
              <w:rPr>
                <w:sz w:val="20"/>
                <w:szCs w:val="20"/>
                <w:color w:val="auto"/>
              </w:rPr>
            </w:pPr>
            <w:r>
              <w:rPr>
                <w:rFonts w:ascii="Times New Roman" w:cs="Times New Roman" w:eastAsia="Times New Roman" w:hAnsi="Times New Roman"/>
                <w:sz w:val="18"/>
                <w:szCs w:val="18"/>
                <w:color w:val="auto"/>
                <w:w w:val="97"/>
              </w:rPr>
              <w:t>(366)</w:t>
            </w:r>
          </w:p>
        </w:tc>
        <w:tc>
          <w:tcPr>
            <w:tcW w:w="14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(2,187)</w:t>
            </w:r>
          </w:p>
        </w:tc>
        <w:tc>
          <w:tcPr>
            <w:tcW w:w="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3"/>
        </w:trPr>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Presto</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Cooking</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Waste &amp;</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9"/>
                <w:szCs w:val="9"/>
                <w:b w:val="1"/>
                <w:bCs w:val="1"/>
                <w:color w:val="auto"/>
              </w:rPr>
              <w:t>(1)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1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80" w:type="dxa"/>
            <w:vAlign w:val="bottom"/>
          </w:tcPr>
          <w:p>
            <w:pPr>
              <w:spacing w:after="0"/>
              <w:rPr>
                <w:sz w:val="3"/>
                <w:szCs w:val="3"/>
                <w:color w:val="auto"/>
              </w:rPr>
            </w:pPr>
          </w:p>
        </w:tc>
        <w:tc>
          <w:tcPr>
            <w:tcW w:w="16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gridSpan w:val="3"/>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2,681</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2,675</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2,698</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2,675</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(2)</w:t>
            </w:r>
          </w:p>
        </w:tc>
        <w:tc>
          <w:tcPr>
            <w:tcW w:w="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center"/>
              <w:ind w:left="337"/>
              <w:spacing w:after="0"/>
              <w:rPr>
                <w:sz w:val="20"/>
                <w:szCs w:val="20"/>
                <w:color w:val="auto"/>
              </w:rPr>
            </w:pPr>
            <w:r>
              <w:rPr>
                <w:rFonts w:ascii="Times New Roman" w:cs="Times New Roman" w:eastAsia="Times New Roman" w:hAnsi="Times New Roman"/>
                <w:sz w:val="18"/>
                <w:szCs w:val="18"/>
                <w:color w:val="auto"/>
              </w:rPr>
              <w:t>(705)</w:t>
            </w:r>
          </w:p>
        </w:tc>
        <w:tc>
          <w:tcPr>
            <w:tcW w:w="1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8"/>
                <w:szCs w:val="18"/>
                <w:color w:val="auto"/>
                <w:w w:val="97"/>
              </w:rPr>
              <w:t>(522)</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center"/>
              <w:ind w:left="335"/>
              <w:spacing w:after="0"/>
              <w:rPr>
                <w:sz w:val="20"/>
                <w:szCs w:val="20"/>
                <w:color w:val="auto"/>
              </w:rPr>
            </w:pPr>
            <w:r>
              <w:rPr>
                <w:rFonts w:ascii="Times New Roman" w:cs="Times New Roman" w:eastAsia="Times New Roman" w:hAnsi="Times New Roman"/>
                <w:sz w:val="18"/>
                <w:szCs w:val="18"/>
                <w:color w:val="auto"/>
              </w:rPr>
              <w:t>(586)</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center"/>
              <w:ind w:left="337"/>
              <w:spacing w:after="0"/>
              <w:rPr>
                <w:sz w:val="20"/>
                <w:szCs w:val="20"/>
                <w:color w:val="auto"/>
              </w:rPr>
            </w:pPr>
            <w:r>
              <w:rPr>
                <w:rFonts w:ascii="Times New Roman" w:cs="Times New Roman" w:eastAsia="Times New Roman" w:hAnsi="Times New Roman"/>
                <w:sz w:val="18"/>
                <w:szCs w:val="18"/>
                <w:color w:val="auto"/>
                <w:w w:val="97"/>
              </w:rPr>
              <w:t>(345)</w:t>
            </w:r>
          </w:p>
        </w:tc>
        <w:tc>
          <w:tcPr>
            <w:tcW w:w="14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(2,158)</w:t>
            </w:r>
          </w:p>
        </w:tc>
        <w:tc>
          <w:tcPr>
            <w:tcW w:w="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Segment assets consisted of the following:</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vMerge w:val="restart"/>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Cooking</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Waste &amp;</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8"/>
                <w:szCs w:val="18"/>
                <w:b w:val="1"/>
                <w:bCs w:val="1"/>
                <w:color w:val="auto"/>
                <w:vertAlign w:val="superscript"/>
              </w:rPr>
              <w:t>(1)</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3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3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80" w:type="dxa"/>
            <w:vAlign w:val="bottom"/>
          </w:tcPr>
          <w:p>
            <w:pPr>
              <w:spacing w:after="0"/>
              <w:rPr>
                <w:sz w:val="3"/>
                <w:szCs w:val="3"/>
                <w:color w:val="auto"/>
              </w:rPr>
            </w:pPr>
          </w:p>
        </w:tc>
        <w:tc>
          <w:tcPr>
            <w:tcW w:w="16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gridSpan w:val="3"/>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September 30, 2025</w:t>
            </w: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center"/>
              <w:ind w:left="317"/>
              <w:spacing w:after="0"/>
              <w:rPr>
                <w:sz w:val="20"/>
                <w:szCs w:val="20"/>
                <w:color w:val="auto"/>
              </w:rPr>
            </w:pPr>
            <w:r>
              <w:rPr>
                <w:rFonts w:ascii="Times New Roman" w:cs="Times New Roman" w:eastAsia="Times New Roman" w:hAnsi="Times New Roman"/>
                <w:sz w:val="18"/>
                <w:szCs w:val="18"/>
                <w:color w:val="auto"/>
                <w:w w:val="96"/>
              </w:rPr>
              <w:t>633</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center"/>
              <w:ind w:left="277"/>
              <w:spacing w:after="0"/>
              <w:rPr>
                <w:sz w:val="20"/>
                <w:szCs w:val="20"/>
                <w:color w:val="auto"/>
              </w:rPr>
            </w:pPr>
            <w:r>
              <w:rPr>
                <w:rFonts w:ascii="Times New Roman" w:cs="Times New Roman" w:eastAsia="Times New Roman" w:hAnsi="Times New Roman"/>
                <w:sz w:val="18"/>
                <w:szCs w:val="18"/>
                <w:color w:val="auto"/>
              </w:rPr>
              <w:t>308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center"/>
              <w:ind w:left="315"/>
              <w:spacing w:after="0"/>
              <w:rPr>
                <w:sz w:val="20"/>
                <w:szCs w:val="20"/>
                <w:color w:val="auto"/>
              </w:rPr>
            </w:pPr>
            <w:r>
              <w:rPr>
                <w:rFonts w:ascii="Times New Roman" w:cs="Times New Roman" w:eastAsia="Times New Roman" w:hAnsi="Times New Roman"/>
                <w:sz w:val="18"/>
                <w:szCs w:val="18"/>
                <w:color w:val="auto"/>
                <w:w w:val="96"/>
              </w:rPr>
              <w:t>257</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center"/>
              <w:ind w:left="317"/>
              <w:spacing w:after="0"/>
              <w:rPr>
                <w:sz w:val="20"/>
                <w:szCs w:val="20"/>
                <w:color w:val="auto"/>
              </w:rPr>
            </w:pPr>
            <w:r>
              <w:rPr>
                <w:rFonts w:ascii="Times New Roman" w:cs="Times New Roman" w:eastAsia="Times New Roman" w:hAnsi="Times New Roman"/>
                <w:sz w:val="18"/>
                <w:szCs w:val="18"/>
                <w:color w:val="auto"/>
              </w:rPr>
              <w:t>261</w:t>
            </w:r>
          </w:p>
        </w:tc>
        <w:tc>
          <w:tcPr>
            <w:tcW w:w="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1,459</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4,896</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December 31, 2024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center"/>
              <w:ind w:left="317"/>
              <w:spacing w:after="0"/>
              <w:rPr>
                <w:sz w:val="20"/>
                <w:szCs w:val="20"/>
                <w:color w:val="auto"/>
              </w:rPr>
            </w:pPr>
            <w:r>
              <w:rPr>
                <w:rFonts w:ascii="Times New Roman" w:cs="Times New Roman" w:eastAsia="Times New Roman" w:hAnsi="Times New Roman"/>
                <w:sz w:val="18"/>
                <w:szCs w:val="18"/>
                <w:color w:val="auto"/>
                <w:w w:val="96"/>
              </w:rPr>
              <w:t>563</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center"/>
              <w:ind w:left="277"/>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center"/>
              <w:ind w:left="315"/>
              <w:spacing w:after="0"/>
              <w:rPr>
                <w:sz w:val="20"/>
                <w:szCs w:val="20"/>
                <w:color w:val="auto"/>
              </w:rPr>
            </w:pPr>
            <w:r>
              <w:rPr>
                <w:rFonts w:ascii="Times New Roman" w:cs="Times New Roman" w:eastAsia="Times New Roman" w:hAnsi="Times New Roman"/>
                <w:sz w:val="18"/>
                <w:szCs w:val="18"/>
                <w:color w:val="auto"/>
                <w:w w:val="96"/>
              </w:rPr>
              <w:t>259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center"/>
              <w:ind w:left="317"/>
              <w:spacing w:after="0"/>
              <w:rPr>
                <w:sz w:val="20"/>
                <w:szCs w:val="20"/>
                <w:color w:val="auto"/>
              </w:rPr>
            </w:pPr>
            <w:r>
              <w:rPr>
                <w:rFonts w:ascii="Times New Roman" w:cs="Times New Roman" w:eastAsia="Times New Roman" w:hAnsi="Times New Roman"/>
                <w:sz w:val="18"/>
                <w:szCs w:val="18"/>
                <w:color w:val="auto"/>
              </w:rPr>
              <w:t>252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4,873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jc w:val="both"/>
        <w:ind w:left="340" w:hanging="332"/>
        <w:spacing w:after="0" w:line="266" w:lineRule="auto"/>
        <w:tabs>
          <w:tab w:leader="none" w:pos="3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includes the elimination of intersegment revenues, other revenue adjustments and certain corporate costs, depreciation and amortization and assets not allocated to segments. Unallocated assets are comprised of cash, accounts receivable, other receivables, entity-wide property, plant and equipment, entity-wide operating lease right-of-use assets, goodwill, intangible assets, related party receivables and other assets.</w:t>
      </w:r>
    </w:p>
    <w:p>
      <w:pPr>
        <w:spacing w:after="0" w:line="20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reflected in Segment Adjusted EBITDA primarily include cost of sales (including input, manufacturing and logistics costs), salaries and benefits, advertising expenses and professional fees. The CODM allocates resources and assesses performance on a consolidated level for these other segment items.</w:t>
      </w:r>
    </w:p>
    <w:p>
      <w:pPr>
        <w:sectPr>
          <w:pgSz w:w="11900" w:h="16838" w:orient="portrait"/>
          <w:cols w:equalWidth="0" w:num="1">
            <w:col w:w="11240"/>
          </w:cols>
          <w:pgMar w:left="320" w:top="130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3" w:right="339" w:bottom="1440" w:gutter="0" w:footer="0" w:header="0"/>
          <w:type w:val="continuous"/>
        </w:sectPr>
      </w:pPr>
    </w:p>
    <w:bookmarkStart w:id="16" w:name="page17"/>
    <w:bookmarkEnd w:id="16"/>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total segment Adjusted EBITDA to GAAP income before income taxes: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820" w:type="dxa"/>
            <w:vAlign w:val="bottom"/>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49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6"/>
        </w:trPr>
        <w:tc>
          <w:tcPr>
            <w:tcW w:w="4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49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6"/>
        </w:trPr>
        <w:tc>
          <w:tcPr>
            <w:tcW w:w="4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6"/>
                <w:szCs w:val="16"/>
                <w:color w:val="auto"/>
              </w:rPr>
            </w:pPr>
          </w:p>
        </w:tc>
      </w:tr>
      <w:tr>
        <w:trPr>
          <w:trHeight w:val="37"/>
        </w:trPr>
        <w:tc>
          <w:tcPr>
            <w:tcW w:w="4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 unallocated expenses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4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49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Adjustments to reconcile to GAAP income before income taxes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7"/>
        </w:trPr>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refinancing expense</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to execute strategic initiatives</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CEO transition costs</w:t>
            </w:r>
            <w:r>
              <w:rPr>
                <w:rFonts w:ascii="Times New Roman" w:cs="Times New Roman" w:eastAsia="Times New Roman" w:hAnsi="Times New Roman"/>
                <w:sz w:val="23"/>
                <w:szCs w:val="23"/>
                <w:color w:val="auto"/>
                <w:vertAlign w:val="superscript"/>
              </w:rPr>
              <w:t>(3)</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1"/>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GAAP income before income taxes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100" w:type="dxa"/>
            <w:vAlign w:val="bottom"/>
          </w:tcPr>
          <w:p>
            <w:pPr>
              <w:spacing w:after="0"/>
              <w:rPr>
                <w:sz w:val="23"/>
                <w:szCs w:val="23"/>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100" w:type="dxa"/>
            <w:vAlign w:val="bottom"/>
          </w:tcPr>
          <w:p>
            <w:pPr>
              <w:spacing w:after="0"/>
              <w:rPr>
                <w:sz w:val="23"/>
                <w:szCs w:val="23"/>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w:t>
            </w:r>
          </w:p>
        </w:tc>
        <w:tc>
          <w:tcPr>
            <w:tcW w:w="80" w:type="dxa"/>
            <w:vAlign w:val="bottom"/>
          </w:tcPr>
          <w:p>
            <w:pPr>
              <w:spacing w:after="0"/>
              <w:rPr>
                <w:sz w:val="23"/>
                <w:szCs w:val="23"/>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w:t>
            </w:r>
          </w:p>
        </w:tc>
      </w:tr>
    </w:tbl>
    <w:p>
      <w:pPr>
        <w:spacing w:after="0" w:line="184" w:lineRule="exact"/>
        <w:rPr>
          <w:sz w:val="20"/>
          <w:szCs w:val="20"/>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expense recorded related to our March 2025 Term Loan Facility refinancing.</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costs related to the execution of cost savings and revenue growth strategic initiatives.</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compensation and other costs related to the CEO transition effective January 1, 2025.</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in Relation to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by product line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27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490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6"/>
        </w:trPr>
        <w:tc>
          <w:tcPr>
            <w:tcW w:w="4900" w:type="dxa"/>
            <w:vAlign w:val="bottom"/>
          </w:tcPr>
          <w:p>
            <w:pPr>
              <w:spacing w:after="0"/>
              <w:rPr>
                <w:sz w:val="16"/>
                <w:szCs w:val="16"/>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490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3"/>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6"/>
        </w:trPr>
        <w:tc>
          <w:tcPr>
            <w:tcW w:w="4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7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6"/>
                <w:szCs w:val="16"/>
                <w:color w:val="auto"/>
              </w:rPr>
            </w:pPr>
          </w:p>
        </w:tc>
      </w:tr>
      <w:tr>
        <w:trPr>
          <w:trHeight w:val="37"/>
        </w:trPr>
        <w:tc>
          <w:tcPr>
            <w:tcW w:w="4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7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Waste and storage products </w:t>
            </w:r>
            <w:r>
              <w:rPr>
                <w:rFonts w:ascii="Times New Roman" w:cs="Times New Roman" w:eastAsia="Times New Roman" w:hAnsi="Times New Roman"/>
                <w:sz w:val="23"/>
                <w:szCs w:val="23"/>
                <w:color w:val="auto"/>
                <w:vertAlign w:val="superscript"/>
              </w:rPr>
              <w:t>(1)</w:t>
            </w: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Cooking products</w:t>
            </w:r>
          </w:p>
        </w:tc>
        <w:tc>
          <w:tcPr>
            <w:tcW w:w="104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7"/>
        </w:trPr>
        <w:tc>
          <w:tcPr>
            <w:tcW w:w="4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Tableware</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w:t>
            </w:r>
          </w:p>
        </w:tc>
        <w:tc>
          <w:tcPr>
            <w:tcW w:w="1040" w:type="dxa"/>
            <w:vAlign w:val="bottom"/>
          </w:tcPr>
          <w:p>
            <w:pPr>
              <w:spacing w:after="0"/>
              <w:rPr>
                <w:sz w:val="21"/>
                <w:szCs w:val="21"/>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4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1"/>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931</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2,687</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2,675</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Waste and storage products are comprised of our Hefty Waste &amp; Storage and Presto Products segments.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different product lines are generally sold to a common group of customers. For all product lines, there is a relatively short time period between the receipt of the order and the transfer of control over the goods to the customer.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10 – Related Party Transactions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Packaging Finance Limited (“PFL”) owns the majority of our outstanding common stock and, until April 1, 2025, owned the majority of the outstanding common stock of Pactiv Evergreen Inc. and its subsidiaries (“PEI Group”). We sell and purchase various goods and services with PEI Group under contractual arrangements that expire over a variety of periods through December 31, 2027. During the year ended December 31, 2024, we amended these contractual arrangements with PEI Group, which, among other things, extended the expiration date for certain arrangements. Transactions between us and PEI Group are described below.</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 2025, PFL completed the sale of PEI Group, which was a related party through March 31, 2025, to an unrelated party. Accordingly, transactions and balances with PEI Group from April 1, 2025 are no longer classified as related party items. Related party receivables and payables outstanding as of March 31, 2025, have been reclassified to accounts receivable, net and accounts payable, respectively. The related party cash flow amounts presented reflect only activity through March 31, 2025. This change does not affect the presentation of historical related party disclosures.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each of the three and nine months ended September 30, 2025, revenues from products sold to PEI Group as a related party were zero and $17 million, respectively, compared to $18 million and $57 million for the three and nine months ended September 30, 2024, respectively. For the three and nine months ended September 30, 2025, products purchased from PEI Group as a related party were zero and $51 million, respectively, compared to $83 million and $246 million for the three and nine months ended September 30, 2024, respectively. For the three and nine months ended September 30, 2025, PEI Group as a related party charged us freight and warehousing costs of zero and $4 million, respectively, compared to $6 million and $22 million for the three and nine months ended September 30, 2024, respectively, which were included in cost of sales. The resulting related party receivables and payables were settled regularly in the normal course of business.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$36 million of the dividends paid during each of the three months ended September 30, 2025 and September 30, 2024, and $107 million of the dividends paid during each of the nine months ended September 30, 2025 and September 30, 2024, were paid to PFL.</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Cash Dividend</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23, 2025, our Board of Directors approved a cash dividend of $0.23 per common share to be paid on November 28, 2025 to shareholders of record on November 14, 2025.</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Debt Facilities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to September 30, 2025, we made a voluntary principal payment of $50 million related to our Term Loan Facility, which was applied against future quarterly amortization payments.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described above, there have been no events subsequent to September 30, 2025 which would require recognition or disclosure in these condensed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management’s discussion and analysis is intended to help the reader understand our results of operations and financial condition and is provided as an addition to, and should be read in connection with, our condensed consolidated financial statements and the accompanying notes included elsewhere in this Quarterly Report on Form 10-Q and our consolidated financial statements and the accompanying notes contained in our Annual Report on Form 10-K for the year ended December 31,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Company and its Business Segments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market-leading consumer products company with a presence in 95% of households across the United States. We produce and sell products that people use in their homes for cooking, serving, cleanup and storage. We sell our products under iconic brands such as Reynolds and Hefty and also under store brands that are strategically important to our retail partners. Overall, across both our branded and store brand offerings, we hold the #1 or #2 U.S. market share position in the majority of product categories in which we participate. Over 50% of our revenue comes from products that are #1 in their respective categories. We have developed our market-leading position by investing in our product categories and consistently developing innovative products that meet the evolving needs and preferences of the modern consumer.</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mix of branded and store brand products is a key competitive advantage that aligns our goal of growing the overall product categories where we have offerings. Our retail partners also measure their success in category growth, which positions us as a trusted strategic partner. Our Reynolds and Hefty brands have preeminent positions in their categories and carry strong brand recognition in household aisles.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manage our operations in four operating and reportable segments: Reynolds Cooking &amp; Baking, Hefty Waste &amp; Storage, Hefty Tableware and Presto Products:</w:t>
      </w:r>
    </w:p>
    <w:p>
      <w:pPr>
        <w:spacing w:after="0" w:line="54" w:lineRule="exact"/>
        <w:rPr>
          <w:sz w:val="20"/>
          <w:szCs w:val="20"/>
          <w:color w:val="auto"/>
        </w:rPr>
      </w:pPr>
    </w:p>
    <w:p>
      <w:pPr>
        <w:jc w:val="both"/>
        <w:ind w:left="660" w:hanging="328"/>
        <w:spacing w:after="0" w:line="253"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Reynolds Cooking &amp; Baking: Through our Reynolds Cooking &amp; Baking segment, we sell both branded and store brand aluminum foil, disposable aluminum pans, parchment paper, freezer paper, wax paper, butcher paper, plastic wrap, baking cups, oven bags and slow cooker liners. Our branded products are sold under the Reynolds Wrap, Reynolds KITCHENS and EZ Foil brands in the United States and selected international markets, under the ALCAN brand in Canada and under the Diamond brand outside of North America. With our flagship Reynolds Wrap products, we hold the #1 market position in the U.S. consumer foil market measured by retail sales and volume. We also hold the #1 market position in the Canadian branded foil market under the ALCAN brand. We have no significant branded competitor in this market. Reynolds is one of the most recognized household brands in the United States and has been the top trusted brand in the consumer foil market for over 75 years, with greater than 50% market share in most of its categories. We also offer more sustainable solutions, such as Reynolds Wrap 100% recycled aluminum, unbleached parchment paper made with a chlorine-free process and coreless wax paper, which uses less packaging materials than traditional wax paper rolls.</w:t>
      </w:r>
    </w:p>
    <w:p>
      <w:pPr>
        <w:spacing w:after="0" w:line="86"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Hefty Waste &amp; Storage: Through our Hefty Waste &amp; Storage segment, we produce both branded and store brand trash and food storage bags. Hefty is a well-recognized leader in the trash bag and food storage bag categories and our private label products offer value to our retail partners. Our branded products are sold under the Hefty Ultra Strong and Hefty Strong brands for trash bags in the U.S. and selected international markets, and as the Hefty and Baggies brands for our food storage bags in the U.S. Our food storage bags are sold internationally as Reynolds, Diamond, or Hefty Basics brands based on the region. We have the #1 branded market share in the U.S. large black trash bag segment, and the #2 branded market share in the slider bag and tall kitchen trash bag segments. Our robust product portfolio in this segment includes a full suite of products, including sustainable solutions such as blue and clear recycling bags, compostable bags, bags made from recycled materials and orange bags through the Hefty ReNew</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Program.</w:t>
      </w:r>
    </w:p>
    <w:p>
      <w:pPr>
        <w:spacing w:after="0" w:line="83"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Hefty Tableware: Through our Hefty Tableware segment, we sell both branded and store brand disposable and compostable plates, bowls, platters, containers, cups and cutlery. Our Hefty branded products include dishes, party cups, cutlery and containers. Hefty branded party cups are the #1 party cup in America measured by market share. Our branded products use our Hefty brand to represent both quality and value, and we bring this same quality and value promise to all of our store brands as well. We sell across a broad range of materials and price points in all retail channels, allowing our consumers to select the product that best suits their price, function and aesthetic needs. These materials include sustainable solutions, such as Hefty ECOSAVE™ and Hefty Compostable Printed Paper Plates.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9" w:name="page20"/>
    <w:bookmarkEnd w:id="19"/>
    <w:p>
      <w:pPr>
        <w:jc w:val="both"/>
        <w:ind w:left="660" w:hanging="328"/>
        <w:spacing w:after="0" w:line="25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Products: Through our Presto Products segment, we primarily sell store brand products in three main categories: food storage bags, trash bags and plastic wrap. Presto Products is a market leader in food storage bags and differentiates itself by providing access to category management, consumer insights, marketing, merchandising and research and development (“R&amp;D”) resources. Presto Products was the first in the U.S. market to offer a store branded sandwich bag made with an approximately 20% proprietary blend of plant and ocean, renewable materials. Our Presto Products segment also includes our specialty business, which serves other consumer products companies by providing Fresh-Lock and Slide-Rite resealable closure systems.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net revenues increased 2% in the three months ended September 30, 2025 compared to the same period in 2024. The revenue increase was due to higher pricing primarily as a result of pass through of higher input costs, partially offset by lower volume.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net revenues were relatively flat in the nine months ended September 30, 2025 compared to the same period in 2024 due to higher pricing as a result of pass through of higher input costs offset by lower volume.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our net income decreased by 8% compared to the same period in 2024, primarily driven by costs to execute strategic initiatives and CEO transition costs. These factors were partially offset by lower selling, general and administrative expenses, lower interest expense and lower income tax expense.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our net income decreased by 20% compared to the same period in 2024, primarily driven by costs to execute strategic initiatives, CEO transition costs, debt refinancing expense and lower retail volume. These factors were partially offset by lower selling, general and administrative expenses and lower interest expense.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Quarterly Report on Form 10-Q we use the non-GAAP financial measures “Adjusted EBITDA”, “Adjusted Net Income”, and “Adjusted EPS”, which are measures adjusted for the impact of specified items and are not in accordance with GAAP.</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define Adjusted EBITDA as net income calculated in accordance with GAAP, plus income tax expense, net interest expense, debt refinancing expense, depreciation and amortization, costs to execute strategic initiatives and CEO transition costs. We define Adjusted Net Income and Adjusted EPS as Net Income and Earnings Per Share calculated in accordance with GAAP, plus debt refinancing expense, costs to execute strategic initiatives and CEO transition costs.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present Adjusted EBITDA because it is a key measure used by our management team to evaluate our operating performance, generate future operating plans and make strategic decisions. In addition, our chief operating decision maker uses Adjusted EBITDA of each reportable segment to evaluate the operating performance of such segments. We use Adjusted Net Income and Adjusted EPS as supplemental measures to evaluate our business' performance in a way that also considers our ability to generate profit without the impact of certain items. Accordingly, we believe presenting these measures provides useful information to investors and others in understanding and evaluating our operating results in the same manner as our management team and board of directors.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Non-GAAP information should be considered as supplemental in nature and is not meant to be considered in isolation or as a substitute for the related financial information prepared in accordance with GAAP. In addition, our non-GAAP financial measures may not be the same as or comparable to similar non-GAAP financial measures presented by other companies.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20" w:name="page21"/>
    <w:bookmarkEnd w:id="20"/>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our net income, the most directly comparable GAAP financial measure, to Adjusted EBITDA:</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27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47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6"/>
        </w:trPr>
        <w:tc>
          <w:tcPr>
            <w:tcW w:w="472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47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3"/>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gridSpan w:val="3"/>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6"/>
        </w:trPr>
        <w:tc>
          <w:tcPr>
            <w:tcW w:w="4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720" w:type="dxa"/>
            <w:vAlign w:val="bottom"/>
            <w:gridSpan w:val="3"/>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tcPr>
          <w:p>
            <w:pPr>
              <w:spacing w:after="0"/>
              <w:rPr>
                <w:sz w:val="16"/>
                <w:szCs w:val="16"/>
                <w:color w:val="auto"/>
              </w:rPr>
            </w:pPr>
          </w:p>
        </w:tc>
      </w:tr>
      <w:tr>
        <w:trPr>
          <w:trHeight w:val="37"/>
        </w:trPr>
        <w:tc>
          <w:tcPr>
            <w:tcW w:w="47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 GAAP</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7"/>
        </w:trPr>
        <w:tc>
          <w:tcPr>
            <w:tcW w:w="4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7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refinancing expense</w:t>
            </w:r>
            <w:r>
              <w:rPr>
                <w:rFonts w:ascii="Times New Roman" w:cs="Times New Roman" w:eastAsia="Times New Roman" w:hAnsi="Times New Roman"/>
                <w:sz w:val="23"/>
                <w:szCs w:val="23"/>
                <w:color w:val="auto"/>
                <w:vertAlign w:val="superscript"/>
              </w:rPr>
              <w:t>(1)</w:t>
            </w:r>
          </w:p>
        </w:tc>
        <w:tc>
          <w:tcPr>
            <w:tcW w:w="1060" w:type="dxa"/>
            <w:vAlign w:val="bottom"/>
          </w:tcPr>
          <w:p>
            <w:pPr>
              <w:spacing w:after="0"/>
              <w:rPr>
                <w:sz w:val="23"/>
                <w:szCs w:val="23"/>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3"/>
                <w:szCs w:val="23"/>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7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to execute strategic initiatives</w:t>
            </w:r>
            <w:r>
              <w:rPr>
                <w:rFonts w:ascii="Times New Roman" w:cs="Times New Roman" w:eastAsia="Times New Roman" w:hAnsi="Times New Roman"/>
                <w:sz w:val="23"/>
                <w:szCs w:val="23"/>
                <w:color w:val="auto"/>
                <w:vertAlign w:val="superscript"/>
              </w:rPr>
              <w:t>(2)</w:t>
            </w:r>
          </w:p>
        </w:tc>
        <w:tc>
          <w:tcPr>
            <w:tcW w:w="10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CEO transition costs</w:t>
            </w:r>
            <w:r>
              <w:rPr>
                <w:rFonts w:ascii="Times New Roman" w:cs="Times New Roman" w:eastAsia="Times New Roman" w:hAnsi="Times New Roman"/>
                <w:sz w:val="23"/>
                <w:szCs w:val="23"/>
                <w:color w:val="auto"/>
                <w:vertAlign w:val="superscript"/>
              </w:rPr>
              <w:t>(3)</w:t>
            </w:r>
          </w:p>
        </w:tc>
        <w:tc>
          <w:tcPr>
            <w:tcW w:w="106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80" w:type="dxa"/>
            <w:vAlign w:val="bottom"/>
          </w:tcPr>
          <w:p>
            <w:pPr>
              <w:spacing w:after="0"/>
              <w:rPr>
                <w:sz w:val="20"/>
                <w:szCs w:val="20"/>
                <w:color w:val="auto"/>
              </w:rPr>
            </w:pPr>
          </w:p>
        </w:tc>
        <w:tc>
          <w:tcPr>
            <w:tcW w:w="1140" w:type="dxa"/>
            <w:vAlign w:val="bottom"/>
            <w:tcBorders>
              <w:top w:val="single" w:sz="8" w:color="auto"/>
            </w:tcBorders>
          </w:tcPr>
          <w:p>
            <w:pPr>
              <w:jc w:val="right"/>
              <w:ind w:right="936"/>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447</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r>
      <w:tr>
        <w:trPr>
          <w:trHeight w:val="34"/>
        </w:trPr>
        <w:tc>
          <w:tcPr>
            <w:tcW w:w="47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ind w:left="400" w:hanging="392"/>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expense recorded related to our March 2025 Term Loan Facility refinancing.</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costs related to the execution of cost savings and revenue growth strategic initiatives.</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compensation and other costs related to the CEO transition effective January 1, 2025.</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our net income and diluted EPS, the most directly comparable GAAP financial measure, to Adjusted Net Income and Adjusted Diluted EPS: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60" w:type="dxa"/>
            <w:vAlign w:val="bottom"/>
          </w:tcPr>
          <w:p>
            <w:pPr>
              <w:spacing w:after="0"/>
              <w:rPr>
                <w:sz w:val="16"/>
                <w:szCs w:val="16"/>
                <w:color w:val="auto"/>
              </w:rPr>
            </w:pPr>
          </w:p>
        </w:tc>
        <w:tc>
          <w:tcPr>
            <w:tcW w:w="2760" w:type="dxa"/>
            <w:vAlign w:val="bottom"/>
            <w:gridSpan w:val="6"/>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r>
      <w:tr>
        <w:trPr>
          <w:trHeight w:val="37"/>
        </w:trPr>
        <w:tc>
          <w:tcPr>
            <w:tcW w:w="46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58"/>
        </w:trPr>
        <w:tc>
          <w:tcPr>
            <w:tcW w:w="4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4"/>
                <w:szCs w:val="14"/>
                <w:b w:val="1"/>
                <w:bCs w:val="1"/>
                <w:color w:val="auto"/>
              </w:rPr>
              <w:t>Diluted</w:t>
            </w: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4"/>
                <w:szCs w:val="14"/>
                <w:b w:val="1"/>
                <w:bCs w:val="1"/>
                <w:color w:val="auto"/>
              </w:rPr>
              <w:t>Diluted</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04"/>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per share data)</w:t>
            </w: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Diluted EPS</w:t>
            </w:r>
          </w:p>
        </w:tc>
      </w:tr>
      <w:tr>
        <w:trPr>
          <w:trHeight w:val="37"/>
        </w:trPr>
        <w:tc>
          <w:tcPr>
            <w:tcW w:w="46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43"/>
        </w:trPr>
        <w:tc>
          <w:tcPr>
            <w:tcW w:w="4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As Reported - GAAP</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210.4</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0.38</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210.3</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0.41</w:t>
            </w:r>
          </w:p>
        </w:tc>
      </w:tr>
      <w:tr>
        <w:trPr>
          <w:trHeight w:val="243"/>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Costs to execute strategic initiatives</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CEO transition costs</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(Non-GAAP)</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210.4</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0.42</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210.3</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0.41</w:t>
            </w:r>
          </w:p>
        </w:tc>
      </w:tr>
      <w:tr>
        <w:trPr>
          <w:trHeight w:val="27"/>
        </w:trPr>
        <w:tc>
          <w:tcPr>
            <w:tcW w:w="46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r>
    </w:tbl>
    <w:p>
      <w:pPr>
        <w:spacing w:after="0" w:line="171" w:lineRule="exact"/>
        <w:rPr>
          <w:sz w:val="20"/>
          <w:szCs w:val="20"/>
          <w:color w:val="auto"/>
        </w:rPr>
      </w:pPr>
    </w:p>
    <w:p>
      <w:pPr>
        <w:ind w:left="660" w:hanging="652"/>
        <w:spacing w:after="0" w:line="282" w:lineRule="auto"/>
        <w:tabs>
          <w:tab w:leader="none" w:pos="4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after tax, calculated based on the applicable tax treatment of each adjustment, using a normalized effective tax rate of 23.7% for deductible items and 0% for non-deductible items.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80" w:type="dxa"/>
            <w:vAlign w:val="bottom"/>
            <w:gridSpan w:val="7"/>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80" w:type="dxa"/>
            <w:vAlign w:val="bottom"/>
          </w:tcPr>
          <w:p>
            <w:pPr>
              <w:spacing w:after="0"/>
              <w:rPr>
                <w:sz w:val="16"/>
                <w:szCs w:val="16"/>
                <w:color w:val="auto"/>
              </w:rPr>
            </w:pPr>
          </w:p>
        </w:tc>
        <w:tc>
          <w:tcPr>
            <w:tcW w:w="2740" w:type="dxa"/>
            <w:vAlign w:val="bottom"/>
            <w:gridSpan w:val="6"/>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r>
      <w:tr>
        <w:trPr>
          <w:trHeight w:val="37"/>
        </w:trPr>
        <w:tc>
          <w:tcPr>
            <w:tcW w:w="46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71"/>
        </w:trPr>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90"/>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per share data)</w:t>
            </w: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Diluted EPS</w:t>
            </w:r>
          </w:p>
        </w:tc>
      </w:tr>
      <w:tr>
        <w:trPr>
          <w:trHeight w:val="37"/>
        </w:trPr>
        <w:tc>
          <w:tcPr>
            <w:tcW w:w="46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43"/>
        </w:trPr>
        <w:tc>
          <w:tcPr>
            <w:tcW w:w="4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As Reported - GAAP</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210.3</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0.87</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210.2</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r>
      <w:tr>
        <w:trPr>
          <w:trHeight w:val="243"/>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refinancing expense</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Costs to execute strategic initiatives</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CEO transition costs</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(Non-GAAP)</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w:t>
            </w:r>
          </w:p>
        </w:tc>
        <w:tc>
          <w:tcPr>
            <w:tcW w:w="180" w:type="dxa"/>
            <w:vAlign w:val="bottom"/>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210.3</w:t>
            </w:r>
          </w:p>
        </w:tc>
        <w:tc>
          <w:tcPr>
            <w:tcW w:w="180" w:type="dxa"/>
            <w:vAlign w:val="bottom"/>
          </w:tcPr>
          <w:p>
            <w:pPr>
              <w:spacing w:after="0"/>
              <w:rPr>
                <w:sz w:val="20"/>
                <w:szCs w:val="20"/>
                <w:color w:val="auto"/>
              </w:rPr>
            </w:pPr>
          </w:p>
        </w:tc>
        <w:tc>
          <w:tcPr>
            <w:tcW w:w="28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180" w:type="dxa"/>
            <w:vAlign w:val="bottom"/>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210.2</w:t>
            </w:r>
          </w:p>
        </w:tc>
        <w:tc>
          <w:tcPr>
            <w:tcW w:w="160" w:type="dxa"/>
            <w:vAlign w:val="bottom"/>
          </w:tcPr>
          <w:p>
            <w:pPr>
              <w:spacing w:after="0"/>
              <w:rPr>
                <w:sz w:val="20"/>
                <w:szCs w:val="20"/>
                <w:color w:val="auto"/>
              </w:rPr>
            </w:pPr>
          </w:p>
        </w:tc>
        <w:tc>
          <w:tcPr>
            <w:tcW w:w="30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r>
      <w:tr>
        <w:trPr>
          <w:trHeight w:val="34"/>
        </w:trPr>
        <w:tc>
          <w:tcPr>
            <w:tcW w:w="4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ind w:left="660" w:hanging="652"/>
        <w:spacing w:after="0" w:line="282" w:lineRule="auto"/>
        <w:tabs>
          <w:tab w:leader="none" w:pos="4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after tax, calculated based on the applicable tax treatment of each adjustment, using a normalized effective tax rate of 23.7% for deductible items and 0% for non-deductible items.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September 30, 2025</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condensed consolidated financial statements included elsewhere in this Quarterly Report on Form 10-Q. Detailed comparisons of revenue and results are presented in the discussions of the operating segments, which follow our consolidated results discussion.</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Certain discussions in this section provide a breakdown of net revenues between our retail and non-retail businesses. Our retail business net revenues consist of sales to grocery stores, mass merchants, warehouse clubs, discount chains, dollar stores, drug stores, home improvement stores, military outlets and eCommerce retailers. Our non-retail business net revenues consist of aluminum sales to food service customers and industrial customers.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Aggregation of Segment Revenue and Adjusted EBITDA</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Net revenues for the three months ended</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September 30:</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3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0" w:type="dxa"/>
            <w:vAlign w:val="bottom"/>
          </w:tcPr>
          <w:p>
            <w:pPr>
              <w:spacing w:after="0"/>
              <w:rPr>
                <w:sz w:val="1"/>
                <w:szCs w:val="1"/>
                <w:color w:val="auto"/>
              </w:rPr>
            </w:pPr>
          </w:p>
        </w:tc>
      </w:tr>
      <w:tr>
        <w:trPr>
          <w:trHeight w:val="162"/>
        </w:trPr>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Cooking &amp;</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Waste &amp;</w:t>
            </w:r>
          </w:p>
        </w:tc>
        <w:tc>
          <w:tcPr>
            <w:tcW w:w="132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40" w:type="dxa"/>
            <w:vAlign w:val="bottom"/>
            <w:vMerge w:val="restart"/>
          </w:tcPr>
          <w:p>
            <w:pPr>
              <w:ind w:left="200"/>
              <w:spacing w:after="0" w:line="207" w:lineRule="exact"/>
              <w:rPr>
                <w:sz w:val="20"/>
                <w:szCs w:val="20"/>
                <w:color w:val="auto"/>
              </w:rPr>
            </w:pPr>
            <w:r>
              <w:rPr>
                <w:rFonts w:ascii="Times New Roman" w:cs="Times New Roman" w:eastAsia="Times New Roman" w:hAnsi="Times New Roman"/>
                <w:sz w:val="14"/>
                <w:szCs w:val="14"/>
                <w:b w:val="1"/>
                <w:bCs w:val="1"/>
                <w:color w:val="auto"/>
              </w:rPr>
              <w:t>Unallocated</w:t>
            </w:r>
            <w:r>
              <w:rPr>
                <w:rFonts w:ascii="MS PGothic" w:cs="MS PGothic" w:eastAsia="MS PGothic" w:hAnsi="MS PGothic"/>
                <w:sz w:val="14"/>
                <w:szCs w:val="14"/>
                <w:color w:val="auto"/>
              </w:rPr>
              <w:t>⁽</w:t>
            </w:r>
            <w:r>
              <w:rPr>
                <w:rFonts w:ascii="Times New Roman" w:cs="Times New Roman" w:eastAsia="Times New Roman" w:hAnsi="Times New Roman"/>
                <w:sz w:val="18"/>
                <w:szCs w:val="18"/>
                <w:b w:val="1"/>
                <w:bCs w:val="1"/>
                <w:color w:val="auto"/>
                <w:vertAlign w:val="superscript"/>
              </w:rPr>
              <w:t>1</w:t>
            </w:r>
            <w:r>
              <w:rPr>
                <w:rFonts w:ascii="MS PGothic" w:cs="MS PGothic" w:eastAsia="MS PGothic" w:hAnsi="MS PGothic"/>
                <w:sz w:val="14"/>
                <w:szCs w:val="14"/>
                <w:color w:val="auto"/>
              </w:rPr>
              <w:t>⁾</w:t>
            </w:r>
          </w:p>
        </w:tc>
        <w:tc>
          <w:tcPr>
            <w:tcW w:w="100" w:type="dxa"/>
            <w:vAlign w:val="bottom"/>
            <w:vMerge w:val="restart"/>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0" w:type="dxa"/>
            <w:vAlign w:val="bottom"/>
          </w:tcPr>
          <w:p>
            <w:pPr>
              <w:spacing w:after="0"/>
              <w:rPr>
                <w:sz w:val="1"/>
                <w:szCs w:val="1"/>
                <w:color w:val="auto"/>
              </w:rPr>
            </w:pPr>
          </w:p>
        </w:tc>
      </w:tr>
      <w:tr>
        <w:trPr>
          <w:trHeight w:val="227"/>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Baking</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8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80" w:type="dxa"/>
            <w:vAlign w:val="bottom"/>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-2119630</wp:posOffset>
            </wp:positionH>
            <wp:positionV relativeFrom="paragraph">
              <wp:posOffset>-8255</wp:posOffset>
            </wp:positionV>
            <wp:extent cx="7115175" cy="308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308610"/>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-144780</wp:posOffset>
            </wp:positionV>
            <wp:extent cx="97155" cy="749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7155" cy="74930"/>
                    </a:xfrm>
                    <a:prstGeom prst="rect">
                      <a:avLst/>
                    </a:prstGeom>
                    <a:noFill/>
                  </pic:spPr>
                </pic:pic>
              </a:graphicData>
            </a:graphic>
          </wp:anchor>
        </w:drawing>
      </w:r>
    </w:p>
    <w:p>
      <w:pPr>
        <w:spacing w:after="0" w:line="481" w:lineRule="exact"/>
        <w:rPr>
          <w:sz w:val="20"/>
          <w:szCs w:val="20"/>
          <w:color w:val="auto"/>
        </w:rPr>
      </w:pPr>
    </w:p>
    <w:p>
      <w:pPr>
        <w:sectPr>
          <w:pgSz w:w="11900" w:h="16838" w:orient="portrait"/>
          <w:cols w:equalWidth="0" w:num="2">
            <w:col w:w="2960" w:space="400"/>
            <w:col w:w="7880"/>
          </w:cols>
          <w:pgMar w:left="320" w:top="1440" w:right="339" w:bottom="1440" w:gutter="0" w:footer="0" w:header="0"/>
          <w:type w:val="continuous"/>
        </w:sectPr>
      </w:pPr>
    </w:p>
    <w:tbl>
      <w:tblPr>
        <w:tblLayout w:type="fixed"/>
        <w:tblInd w:w="20" w:type="dxa"/>
        <w:tblCellMar>
          <w:top w:w="0" w:type="dxa"/>
          <w:left w:w="0" w:type="dxa"/>
          <w:bottom w:w="0" w:type="dxa"/>
          <w:right w:w="0" w:type="dxa"/>
        </w:tblCellMar>
      </w:tblPr>
      <w:tr>
        <w:trPr>
          <w:trHeight w:val="234"/>
        </w:trPr>
        <w:tc>
          <w:tcPr>
            <w:tcW w:w="318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27"/>
        </w:trPr>
        <w:tc>
          <w:tcPr>
            <w:tcW w:w="3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jc w:val="right"/>
              <w:ind w:right="249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5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5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w:t>
            </w:r>
          </w:p>
        </w:tc>
        <w:tc>
          <w:tcPr>
            <w:tcW w:w="5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25"/>
        </w:trPr>
        <w:tc>
          <w:tcPr>
            <w:tcW w:w="318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Adjusted EBITDA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 the three months</w:t>
            </w: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4"/>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ended September 30:</w:t>
            </w: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
        </w:trPr>
        <w:tc>
          <w:tcPr>
            <w:tcW w:w="3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jc w:val="right"/>
              <w:ind w:right="2490"/>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54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43"/>
        </w:trPr>
        <w:tc>
          <w:tcPr>
            <w:tcW w:w="318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5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5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5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bl>
    <w:p>
      <w:pPr>
        <w:spacing w:after="0" w:line="346" w:lineRule="exact"/>
        <w:rPr>
          <w:sz w:val="20"/>
          <w:szCs w:val="20"/>
          <w:color w:val="auto"/>
        </w:rPr>
      </w:pPr>
    </w:p>
    <w:p>
      <w:pPr>
        <w:ind w:left="340" w:hanging="332"/>
        <w:spacing w:after="0" w:line="261"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unallocated net revenues include elimination of intersegment revenues and other revenue adjustments. The unallocated Adjusted EBITDA represents the combination of corporate expenses which are not allocated to our segments and other unallocated revenue adjustments.</w:t>
      </w: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Measures” for details, including a reconciliation between net income and Adjusted</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2" w:name="page23"/>
    <w:bookmarkEnd w:id="22"/>
    <w:p>
      <w:pPr>
        <w:spacing w:after="0" w:line="2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 Compared with the Three Months Ended September 30,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Reynolds Consumer Products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0" w:type="dxa"/>
            <w:vAlign w:val="bottom"/>
            <w:gridSpan w:val="8"/>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220" w:type="dxa"/>
            <w:vAlign w:val="bottom"/>
          </w:tcPr>
          <w:p>
            <w:pPr>
              <w:spacing w:after="0"/>
              <w:rPr>
                <w:sz w:val="16"/>
                <w:szCs w:val="16"/>
                <w:color w:val="auto"/>
              </w:rPr>
            </w:pPr>
          </w:p>
        </w:tc>
        <w:tc>
          <w:tcPr>
            <w:tcW w:w="72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Pr>
          <w:p>
            <w:pPr>
              <w:spacing w:after="0"/>
              <w:rPr>
                <w:sz w:val="16"/>
                <w:szCs w:val="16"/>
                <w:color w:val="auto"/>
              </w:rPr>
            </w:pPr>
          </w:p>
        </w:tc>
        <w:tc>
          <w:tcPr>
            <w:tcW w:w="7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6"/>
                <w:szCs w:val="16"/>
                <w:color w:val="auto"/>
              </w:rPr>
            </w:pP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6"/>
                <w:szCs w:val="16"/>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1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931</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100 %</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892</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98 %</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net revenues</w:t>
            </w:r>
          </w:p>
        </w:tc>
        <w:tc>
          <w:tcPr>
            <w:tcW w:w="220" w:type="dxa"/>
            <w:vAlign w:val="bottom"/>
          </w:tcPr>
          <w:p>
            <w:pPr>
              <w:spacing w:after="0"/>
              <w:rPr>
                <w:sz w:val="21"/>
                <w:szCs w:val="21"/>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931</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910</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2 %</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(698)</w:t>
            </w:r>
          </w:p>
        </w:tc>
        <w:tc>
          <w:tcPr>
            <w:tcW w:w="14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 %</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(671)</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233</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239</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 %</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 %</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 %</w:t>
            </w:r>
          </w:p>
        </w:tc>
        <w:tc>
          <w:tcPr>
            <w:tcW w:w="0" w:type="dxa"/>
            <w:vAlign w:val="bottom"/>
          </w:tcPr>
          <w:p>
            <w:pPr>
              <w:spacing w:after="0" w:line="20" w:lineRule="exact"/>
              <w:rPr>
                <w:sz w:val="1"/>
                <w:szCs w:val="1"/>
                <w:color w:val="auto"/>
              </w:rPr>
            </w:pPr>
          </w:p>
        </w:tc>
      </w:tr>
      <w:tr>
        <w:trPr>
          <w:trHeight w:val="237"/>
        </w:trPr>
        <w:tc>
          <w:tcPr>
            <w:tcW w:w="41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123</w:t>
            </w:r>
          </w:p>
        </w:tc>
        <w:tc>
          <w:tcPr>
            <w:tcW w:w="14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13 %</w:t>
            </w:r>
          </w:p>
        </w:tc>
        <w:tc>
          <w:tcPr>
            <w:tcW w:w="22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138</w:t>
            </w:r>
          </w:p>
        </w:tc>
        <w:tc>
          <w:tcPr>
            <w:tcW w:w="16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15 %</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4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 %</w:t>
            </w:r>
          </w:p>
        </w:tc>
        <w:tc>
          <w:tcPr>
            <w:tcW w:w="0" w:type="dxa"/>
            <w:vAlign w:val="bottom"/>
          </w:tcPr>
          <w:p>
            <w:pPr>
              <w:spacing w:after="0" w:line="20" w:lineRule="exact"/>
              <w:rPr>
                <w:sz w:val="1"/>
                <w:szCs w:val="1"/>
                <w:color w:val="auto"/>
              </w:rPr>
            </w:pPr>
          </w:p>
        </w:tc>
      </w:tr>
      <w:tr>
        <w:trPr>
          <w:trHeight w:val="237"/>
        </w:trPr>
        <w:tc>
          <w:tcPr>
            <w:tcW w:w="41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102</w:t>
            </w:r>
          </w:p>
        </w:tc>
        <w:tc>
          <w:tcPr>
            <w:tcW w:w="14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11 %</w:t>
            </w:r>
          </w:p>
        </w:tc>
        <w:tc>
          <w:tcPr>
            <w:tcW w:w="22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113</w:t>
            </w:r>
          </w:p>
        </w:tc>
        <w:tc>
          <w:tcPr>
            <w:tcW w:w="16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12 %</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4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160" w:type="dxa"/>
            <w:vAlign w:val="bottom"/>
            <w:vMerge w:val="continue"/>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79</w:t>
            </w:r>
          </w:p>
        </w:tc>
        <w:tc>
          <w:tcPr>
            <w:tcW w:w="140" w:type="dxa"/>
            <w:vAlign w:val="bottom"/>
          </w:tcPr>
          <w:p>
            <w:pPr>
              <w:spacing w:after="0"/>
              <w:rPr>
                <w:sz w:val="22"/>
                <w:szCs w:val="22"/>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86</w:t>
            </w:r>
          </w:p>
        </w:tc>
        <w:tc>
          <w:tcPr>
            <w:tcW w:w="16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 %</w:t>
            </w:r>
          </w:p>
        </w:tc>
        <w:tc>
          <w:tcPr>
            <w:tcW w:w="0" w:type="dxa"/>
            <w:vAlign w:val="bottom"/>
          </w:tcPr>
          <w:p>
            <w:pPr>
              <w:spacing w:after="0"/>
              <w:rPr>
                <w:sz w:val="1"/>
                <w:szCs w:val="1"/>
                <w:color w:val="auto"/>
              </w:rPr>
            </w:pPr>
          </w:p>
        </w:tc>
      </w:tr>
      <w:tr>
        <w:trPr>
          <w:trHeight w:val="20"/>
        </w:trPr>
        <w:tc>
          <w:tcPr>
            <w:tcW w:w="4160" w:type="dxa"/>
            <w:vAlign w:val="bottom"/>
            <w:vMerge w:val="restart"/>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¹</w:t>
            </w:r>
            <w:r>
              <w:rPr>
                <w:rFonts w:ascii="MS PGothic" w:cs="MS PGothic" w:eastAsia="MS PGothic" w:hAnsi="MS PGothic"/>
                <w:sz w:val="18"/>
                <w:szCs w:val="18"/>
                <w:color w:val="auto"/>
              </w:rPr>
              <w: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160" w:type="dxa"/>
            <w:vAlign w:val="bottom"/>
            <w:vMerge w:val="continue"/>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168</w:t>
            </w: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18 %</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171</w:t>
            </w:r>
          </w:p>
        </w:tc>
        <w:tc>
          <w:tcPr>
            <w:tcW w:w="1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 %</w:t>
            </w:r>
          </w:p>
        </w:tc>
        <w:tc>
          <w:tcPr>
            <w:tcW w:w="0" w:type="dxa"/>
            <w:vAlign w:val="bottom"/>
          </w:tcPr>
          <w:p>
            <w:pPr>
              <w:spacing w:after="0"/>
              <w:rPr>
                <w:sz w:val="1"/>
                <w:szCs w:val="1"/>
                <w:color w:val="auto"/>
              </w:rPr>
            </w:pPr>
          </w:p>
        </w:tc>
      </w:tr>
      <w:tr>
        <w:trPr>
          <w:trHeight w:val="27"/>
        </w:trPr>
        <w:tc>
          <w:tcPr>
            <w:tcW w:w="4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949325</wp:posOffset>
            </wp:positionH>
            <wp:positionV relativeFrom="paragraph">
              <wp:posOffset>-179705</wp:posOffset>
            </wp:positionV>
            <wp:extent cx="106045" cy="86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Percentage change is not meaningful.</w:t>
      </w:r>
    </w:p>
    <w:p>
      <w:pPr>
        <w:spacing w:after="0" w:line="117"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Measures” for details, including a reconciliation between net income and Adjusted</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Change in Net Revenues for the Three Months Ended September 30, 2025 vs. the Three Months Ended September 30, 2024</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146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Volume/Mix</w:t>
            </w: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86"/>
        </w:trPr>
        <w:tc>
          <w:tcPr>
            <w:tcW w:w="4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Non-Retail</w:t>
            </w: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37"/>
        </w:trPr>
        <w:tc>
          <w:tcPr>
            <w:tcW w:w="4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300" w:type="dxa"/>
            <w:vAlign w:val="bottom"/>
          </w:tcPr>
          <w:p>
            <w:pPr>
              <w:spacing w:after="0"/>
              <w:rPr>
                <w:sz w:val="3"/>
                <w:szCs w:val="3"/>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Reynolds Cooking &amp; Baking</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5 %</w:t>
            </w:r>
          </w:p>
        </w:tc>
      </w:tr>
      <w:tr>
        <w:trPr>
          <w:trHeight w:val="24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Hefty Waste &amp; Storage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5 %</w:t>
            </w:r>
          </w:p>
        </w:tc>
      </w:tr>
      <w:tr>
        <w:trPr>
          <w:trHeight w:val="27"/>
        </w:trPr>
        <w:tc>
          <w:tcPr>
            <w:tcW w:w="4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Hefty Tableware</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 %</w:t>
            </w:r>
          </w:p>
        </w:tc>
      </w:tr>
      <w:tr>
        <w:trPr>
          <w:trHeight w:val="24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Presto Products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9 %</w:t>
            </w:r>
          </w:p>
        </w:tc>
      </w:tr>
      <w:tr>
        <w:trPr>
          <w:trHeight w:val="27"/>
        </w:trPr>
        <w:tc>
          <w:tcPr>
            <w:tcW w:w="4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4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RCP</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5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2 %</w:t>
            </w:r>
          </w:p>
        </w:tc>
      </w:tr>
      <w:tr>
        <w:trPr>
          <w:trHeight w:val="27"/>
        </w:trPr>
        <w:tc>
          <w:tcPr>
            <w:tcW w:w="4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r>
    </w:tbl>
    <w:p>
      <w:pPr>
        <w:spacing w:after="0" w:line="34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Total Net Revenues</w:t>
      </w:r>
      <w:r>
        <w:rPr>
          <w:rFonts w:ascii="Times New Roman" w:cs="Times New Roman" w:eastAsia="Times New Roman" w:hAnsi="Times New Roman"/>
          <w:sz w:val="18"/>
          <w:szCs w:val="18"/>
          <w:color w:val="auto"/>
        </w:rPr>
        <w:t>. Total net revenues increased by $21 million, or 2%, to $931 million. The increase was primarily driven by higher pricing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pass through of higher input costs, partially offset by lower retail volume.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increased by $27 million, or 4%, to $698 million. The increase was primarily driven by higher input and manufacturing costs.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decreased by $2 million, or 2%, to $99 million.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Other expense, net was $11 million, reflecting costs to execute strategic initiatives and costs associated with our CEO transition.</w:t>
      </w:r>
    </w:p>
    <w:p>
      <w:pPr>
        <w:spacing w:after="0" w:line="2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Net</w:t>
      </w:r>
      <w:r>
        <w:rPr>
          <w:rFonts w:ascii="Times New Roman" w:cs="Times New Roman" w:eastAsia="Times New Roman" w:hAnsi="Times New Roman"/>
          <w:sz w:val="18"/>
          <w:szCs w:val="18"/>
          <w:color w:val="auto"/>
        </w:rPr>
        <w:t>. Interest expense, net decreased by $4 million, or 16%, to $21 million. The decrease was primarily due to a lower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balance as a result of voluntary principal payments made on our term loan facility.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3" w:name="page24"/>
    <w:bookmarkEnd w:id="23"/>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We recognized income tax expense of $23 million on income before income taxes of $102 million (an effective tax rate of 22.4%)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September 30, 2025 compared to income tax expense of $27 million on income before income taxes of $113 million (an effective tax rate of 24.1%) for the three months ended September 30, 2024.</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Adjusted EBITDA decreased by $3 million, or 2%, to $168 million. The decrease in Adjusted EBITDA was driven by lower volume,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partially offset by the timing of pricing actions relative to cost increases.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Reynolds Cooking &amp; Baking</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60" w:type="dxa"/>
            <w:vAlign w:val="bottom"/>
            <w:gridSpan w:val="4"/>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2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6"/>
                <w:szCs w:val="16"/>
                <w:color w:val="auto"/>
              </w:rPr>
            </w:pPr>
          </w:p>
        </w:tc>
        <w:tc>
          <w:tcPr>
            <w:tcW w:w="14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Non-retail net revenues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w:t>
            </w:r>
          </w:p>
        </w:tc>
        <w:tc>
          <w:tcPr>
            <w:tcW w:w="2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3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17 %</w:t>
            </w:r>
          </w:p>
        </w:tc>
        <w:tc>
          <w:tcPr>
            <w:tcW w:w="18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17 %</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Total Segment Net Revenues</w:t>
      </w:r>
      <w:r>
        <w:rPr>
          <w:rFonts w:ascii="Times New Roman" w:cs="Times New Roman" w:eastAsia="Times New Roman" w:hAnsi="Times New Roman"/>
          <w:sz w:val="18"/>
          <w:szCs w:val="18"/>
          <w:color w:val="auto"/>
        </w:rPr>
        <w:t>. Reynolds Cooking &amp; Baking total segment net revenues increased by $14 million, or 5%, to $308 million. The increase in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was primarily due to higher pricing related to the pass through of higher input costs, partially offset by lower volume.</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Reynolds Cooking &amp; Baking Adjusted EBITDA increased by $3 million, or 6%, to $53 million. The increase was driven by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selling, general and administrative costs. The impact of higher pricing was offset by higher input costs and the impact of lower volume was offset by lower manufacturing costs.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Waste &amp; Storage</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2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11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2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480" w:type="dxa"/>
            <w:vAlign w:val="bottom"/>
            <w:tcBorders>
              <w:bottom w:val="single" w:sz="8" w:color="CCEEFF"/>
            </w:tcBorders>
            <w:gridSpan w:val="2"/>
            <w:shd w:val="clear" w:color="auto" w:fill="CCEEFF"/>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w:t>
            </w: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1"/>
                <w:szCs w:val="21"/>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Total Segment Net Revenues</w:t>
      </w:r>
      <w:r>
        <w:rPr>
          <w:rFonts w:ascii="Times New Roman" w:cs="Times New Roman" w:eastAsia="Times New Roman" w:hAnsi="Times New Roman"/>
          <w:sz w:val="18"/>
          <w:szCs w:val="18"/>
          <w:color w:val="auto"/>
        </w:rPr>
        <w:t>. Hefty Waste &amp; Storage total segment net revenues increased by $13 million, or 5%, to $266 million. The increase in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was due to higher volume.</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Hefty Waste &amp; Storage Adjusted EBITDA increased by $2 million or 3% to $74 million. The increase in Adjusted EBITDA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the benefit of higher revenue and lower selling, general and administrative expenses, partially offset by higher input, manufacturing and logistics costs.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Tableware</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1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1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1"/>
                <w:szCs w:val="21"/>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Total Segment Net Revenues. </w:t>
      </w:r>
      <w:r>
        <w:rPr>
          <w:rFonts w:ascii="Times New Roman" w:cs="Times New Roman" w:eastAsia="Times New Roman" w:hAnsi="Times New Roman"/>
          <w:sz w:val="18"/>
          <w:szCs w:val="18"/>
          <w:color w:val="auto"/>
        </w:rPr>
        <w:t>Hefty Tableware total segment net revenues decreased by $22 million, or 10%, to $200 million. The decrease in net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lower foam volume, partially offset by higher pricing related to the pass through of higher input costs.</w:t>
      </w:r>
    </w:p>
    <w:p>
      <w:pPr>
        <w:spacing w:after="0" w:line="1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Hefty Tableware Adjusted EBITDA increased by $3 million, or 12%, to $29 million. The increase in Adjusted EBITDA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the timing of pricing actions relative to input cost increases and lower selling, general and administrative expenses, partially offset by lower volume.</w:t>
      </w:r>
    </w:p>
    <w:p>
      <w:pPr>
        <w:sectPr>
          <w:pgSz w:w="11900" w:h="16838" w:orient="portrait"/>
          <w:cols w:equalWidth="0" w:num="1">
            <w:col w:w="11240"/>
          </w:cols>
          <w:pgMar w:left="320" w:top="1253"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type w:val="continuous"/>
        </w:sectPr>
      </w:pPr>
    </w:p>
    <w:bookmarkStart w:id="24" w:name="page25"/>
    <w:bookmarkEnd w:id="24"/>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Presto Products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2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12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520" w:type="dxa"/>
            <w:vAlign w:val="bottom"/>
            <w:tcBorders>
              <w:bottom w:val="single" w:sz="8" w:color="CCEEFF"/>
            </w:tcBorders>
            <w:gridSpan w:val="2"/>
            <w:shd w:val="clear" w:color="auto" w:fill="CCEEFF"/>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13</w:t>
            </w: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1"/>
                <w:szCs w:val="21"/>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Net Revenues. </w:t>
      </w:r>
      <w:r>
        <w:rPr>
          <w:rFonts w:ascii="Times New Roman" w:cs="Times New Roman" w:eastAsia="Times New Roman" w:hAnsi="Times New Roman"/>
          <w:sz w:val="18"/>
          <w:szCs w:val="18"/>
          <w:color w:val="auto"/>
        </w:rPr>
        <w:t>Presto Products total segment net revenues increased by $13 million, or 9%, to $163 million. The increase in net revenues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higher volume.</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Presto Products Adjusted EBITDA increased by $2 million, or 6%, to $35 million. The increase in Adjusted EBITDA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higher volume.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 – Nine Months Ended September 30, 2025</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condensed consolidated financial statements included elsewhere in this Quarterly Report on Form 10-Q. Detailed comparisons of revenue and results are presented in the discussions of the operating segments, which follow our consolidated results discussion.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discussions in this section provide a breakdown of net revenues between our retail and non-retail businesses. Our retail business net revenues consist of sales to grocery stores, mass merchants, warehouse clubs, discount chains, dollar stores, drug stores, home improvement stores, military outlets and eCommerce retailers. Our non-retail business net revenues consist of aluminum sales to food service customers, which were classified as related party revenues through March 31, 2025, and industrial customers.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Aggregation of Segment Revenue and Adjusted EBITDA</w:t>
      </w:r>
    </w:p>
    <w:p>
      <w:pPr>
        <w:spacing w:after="0" w:line="200" w:lineRule="exact"/>
        <w:rPr>
          <w:sz w:val="20"/>
          <w:szCs w:val="20"/>
          <w:color w:val="auto"/>
        </w:rPr>
      </w:pP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4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4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5"/>
                <w:szCs w:val="15"/>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5"/>
                <w:szCs w:val="15"/>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Presto</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Cooking &amp;</w:t>
            </w:r>
          </w:p>
        </w:tc>
        <w:tc>
          <w:tcPr>
            <w:tcW w:w="14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Waste &amp;</w:t>
            </w: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restart"/>
          </w:tcPr>
          <w:p>
            <w:pPr>
              <w:ind w:left="20"/>
              <w:spacing w:after="0" w:line="207" w:lineRule="exact"/>
              <w:rPr>
                <w:sz w:val="20"/>
                <w:szCs w:val="20"/>
                <w:color w:val="auto"/>
              </w:rPr>
            </w:pPr>
            <w:r>
              <w:rPr>
                <w:rFonts w:ascii="Times New Roman" w:cs="Times New Roman" w:eastAsia="Times New Roman" w:hAnsi="Times New Roman"/>
                <w:sz w:val="14"/>
                <w:szCs w:val="14"/>
                <w:b w:val="1"/>
                <w:bCs w:val="1"/>
                <w:color w:val="auto"/>
              </w:rPr>
              <w:t>Unallocated</w:t>
            </w:r>
            <w:r>
              <w:rPr>
                <w:rFonts w:ascii="MS PGothic" w:cs="MS PGothic" w:eastAsia="MS PGothic" w:hAnsi="MS PGothic"/>
                <w:sz w:val="14"/>
                <w:szCs w:val="14"/>
                <w:color w:val="auto"/>
              </w:rPr>
              <w:t>⁽</w:t>
            </w:r>
            <w:r>
              <w:rPr>
                <w:rFonts w:ascii="Times New Roman" w:cs="Times New Roman" w:eastAsia="Times New Roman" w:hAnsi="Times New Roman"/>
                <w:sz w:val="18"/>
                <w:szCs w:val="18"/>
                <w:b w:val="1"/>
                <w:bCs w:val="1"/>
                <w:color w:val="auto"/>
                <w:vertAlign w:val="superscript"/>
              </w:rPr>
              <w:t>1</w:t>
            </w:r>
            <w:r>
              <w:rPr>
                <w:rFonts w:ascii="MS PGothic" w:cs="MS PGothic" w:eastAsia="MS PGothic" w:hAnsi="MS PGothic"/>
                <w:sz w:val="14"/>
                <w:szCs w:val="14"/>
                <w:color w:val="auto"/>
              </w:rPr>
              <w:t>⁾</w:t>
            </w:r>
          </w:p>
        </w:tc>
        <w:tc>
          <w:tcPr>
            <w:tcW w:w="140" w:type="dxa"/>
            <w:vAlign w:val="bottom"/>
          </w:tcPr>
          <w:p>
            <w:pPr>
              <w:spacing w:after="0"/>
              <w:rPr>
                <w:sz w:val="14"/>
                <w:szCs w:val="14"/>
                <w:color w:val="auto"/>
              </w:rPr>
            </w:pPr>
          </w:p>
        </w:tc>
        <w:tc>
          <w:tcPr>
            <w:tcW w:w="82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0" w:type="dxa"/>
            <w:vAlign w:val="bottom"/>
          </w:tcPr>
          <w:p>
            <w:pPr>
              <w:spacing w:after="0"/>
              <w:rPr>
                <w:sz w:val="1"/>
                <w:szCs w:val="1"/>
                <w:color w:val="auto"/>
              </w:rPr>
            </w:pPr>
          </w:p>
        </w:tc>
      </w:tr>
      <w:tr>
        <w:trPr>
          <w:trHeight w:val="227"/>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9"/>
                <w:szCs w:val="19"/>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Baking</w:t>
            </w:r>
          </w:p>
        </w:tc>
        <w:tc>
          <w:tcPr>
            <w:tcW w:w="140" w:type="dxa"/>
            <w:vAlign w:val="bottom"/>
          </w:tcPr>
          <w:p>
            <w:pPr>
              <w:spacing w:after="0"/>
              <w:rPr>
                <w:sz w:val="19"/>
                <w:szCs w:val="19"/>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40" w:type="dxa"/>
            <w:vAlign w:val="bottom"/>
          </w:tcPr>
          <w:p>
            <w:pPr>
              <w:spacing w:after="0"/>
              <w:rPr>
                <w:sz w:val="19"/>
                <w:szCs w:val="19"/>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40" w:type="dxa"/>
            <w:vAlign w:val="bottom"/>
          </w:tcPr>
          <w:p>
            <w:pPr>
              <w:spacing w:after="0"/>
              <w:rPr>
                <w:sz w:val="19"/>
                <w:szCs w:val="19"/>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0" w:type="dxa"/>
            <w:vAlign w:val="bottom"/>
          </w:tcPr>
          <w:p>
            <w:pPr>
              <w:spacing w:after="0"/>
              <w:rPr>
                <w:sz w:val="1"/>
                <w:szCs w:val="1"/>
                <w:color w:val="auto"/>
              </w:rPr>
            </w:pPr>
          </w:p>
        </w:tc>
      </w:tr>
      <w:tr>
        <w:trPr>
          <w:trHeight w:val="230"/>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 for the nine months ended September 30:</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jc w:val="right"/>
              <w:ind w:right="4033"/>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jc w:val="right"/>
              <w:ind w:right="4033"/>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0" w:type="dxa"/>
            <w:vAlign w:val="bottom"/>
          </w:tcPr>
          <w:p>
            <w:pPr>
              <w:spacing w:after="0"/>
              <w:rPr>
                <w:sz w:val="1"/>
                <w:szCs w:val="1"/>
                <w:color w:val="auto"/>
              </w:rPr>
            </w:pPr>
          </w:p>
        </w:tc>
      </w:tr>
      <w:tr>
        <w:trPr>
          <w:trHeight w:val="270"/>
        </w:trPr>
        <w:tc>
          <w:tcPr>
            <w:tcW w:w="472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Adjusted EBITDA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 the nine months ended September 30:</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shd w:val="clear" w:color="auto" w:fill="CCEEFF"/>
          </w:tcPr>
          <w:p>
            <w:pPr>
              <w:jc w:val="right"/>
              <w:ind w:right="4033"/>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43"/>
        </w:trPr>
        <w:tc>
          <w:tcPr>
            <w:tcW w:w="4720" w:type="dxa"/>
            <w:vAlign w:val="bottom"/>
          </w:tcPr>
          <w:p>
            <w:pPr>
              <w:jc w:val="right"/>
              <w:ind w:right="4033"/>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6255385</wp:posOffset>
            </wp:positionH>
            <wp:positionV relativeFrom="paragraph">
              <wp:posOffset>-1147445</wp:posOffset>
            </wp:positionV>
            <wp:extent cx="97155" cy="749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7155" cy="7493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340" w:hanging="332"/>
        <w:spacing w:after="0" w:line="261" w:lineRule="auto"/>
        <w:tabs>
          <w:tab w:leader="none" w:pos="3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unallocated net revenues include elimination of intersegment revenues and other revenue adjustments. The unallocated Adjusted EBITDA represents the combination of corporate expenses which are not allocated to our segments and other unallocated revenue adjustments.</w:t>
      </w: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Measures” for details, including a reconciliation between net income and Adjusted</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2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 Compared with the Nine Months Ended September 30,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Reynolds Consumer Products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220" w:type="dxa"/>
            <w:vAlign w:val="bottom"/>
          </w:tcPr>
          <w:p>
            <w:pPr>
              <w:spacing w:after="0"/>
              <w:rPr>
                <w:sz w:val="16"/>
                <w:szCs w:val="16"/>
                <w:color w:val="auto"/>
              </w:rPr>
            </w:pPr>
          </w:p>
        </w:tc>
        <w:tc>
          <w:tcPr>
            <w:tcW w:w="72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126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Pr>
          <w:p>
            <w:pPr>
              <w:spacing w:after="0"/>
              <w:rPr>
                <w:sz w:val="16"/>
                <w:szCs w:val="16"/>
                <w:color w:val="auto"/>
              </w:rPr>
            </w:pPr>
          </w:p>
        </w:tc>
        <w:tc>
          <w:tcPr>
            <w:tcW w:w="7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6"/>
                <w:szCs w:val="16"/>
                <w:color w:val="auto"/>
              </w:rPr>
            </w:pP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6"/>
                <w:szCs w:val="16"/>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1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99 %</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98 %</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net revenues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1"/>
                <w:szCs w:val="21"/>
                <w:color w:val="auto"/>
              </w:rPr>
            </w:pPr>
          </w:p>
        </w:tc>
        <w:tc>
          <w:tcPr>
            <w:tcW w:w="1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2,687</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100 %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2,675</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40" w:type="dxa"/>
            <w:vAlign w:val="bottom"/>
          </w:tcPr>
          <w:p>
            <w:pPr>
              <w:spacing w:after="0"/>
              <w:rPr>
                <w:sz w:val="21"/>
                <w:szCs w:val="21"/>
                <w:color w:val="auto"/>
              </w:rPr>
            </w:pPr>
          </w:p>
        </w:tc>
        <w:tc>
          <w:tcPr>
            <w:tcW w:w="1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(76) %</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648</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24 %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698</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 %</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Pr>
          <w:p>
            <w:pPr>
              <w:spacing w:after="0"/>
              <w:rPr>
                <w:sz w:val="21"/>
                <w:szCs w:val="21"/>
                <w:color w:val="auto"/>
              </w:rPr>
            </w:pPr>
          </w:p>
        </w:tc>
        <w:tc>
          <w:tcPr>
            <w:tcW w:w="1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(11) %</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NM %</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 %</w:t>
            </w:r>
          </w:p>
        </w:tc>
        <w:tc>
          <w:tcPr>
            <w:tcW w:w="0" w:type="dxa"/>
            <w:vAlign w:val="bottom"/>
          </w:tcPr>
          <w:p>
            <w:pPr>
              <w:spacing w:after="0" w:line="20" w:lineRule="exact"/>
              <w:rPr>
                <w:sz w:val="1"/>
                <w:szCs w:val="1"/>
                <w:color w:val="auto"/>
              </w:rPr>
            </w:pPr>
          </w:p>
        </w:tc>
      </w:tr>
      <w:tr>
        <w:trPr>
          <w:trHeight w:val="237"/>
        </w:trPr>
        <w:tc>
          <w:tcPr>
            <w:tcW w:w="41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316</w:t>
            </w:r>
          </w:p>
        </w:tc>
        <w:tc>
          <w:tcPr>
            <w:tcW w:w="140" w:type="dxa"/>
            <w:vAlign w:val="bottom"/>
          </w:tcPr>
          <w:p>
            <w:pPr>
              <w:spacing w:after="0"/>
              <w:rPr>
                <w:sz w:val="20"/>
                <w:szCs w:val="20"/>
                <w:color w:val="auto"/>
              </w:rPr>
            </w:pP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12 %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369</w:t>
            </w:r>
          </w:p>
        </w:tc>
        <w:tc>
          <w:tcPr>
            <w:tcW w:w="16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14 %</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4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(2)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refinancing expense</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1"/>
                <w:szCs w:val="21"/>
                <w:color w:val="auto"/>
              </w:rPr>
            </w:pPr>
          </w:p>
        </w:tc>
        <w:tc>
          <w:tcPr>
            <w:tcW w:w="1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NM %</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9 %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 %</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21"/>
                <w:szCs w:val="21"/>
                <w:color w:val="auto"/>
              </w:rPr>
            </w:pPr>
          </w:p>
        </w:tc>
        <w:tc>
          <w:tcPr>
            <w:tcW w:w="1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(2) %</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7 %</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1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 %</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vMerge w:val="restart"/>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¹</w:t>
            </w:r>
            <w:r>
              <w:rPr>
                <w:rFonts w:ascii="MS PGothic" w:cs="MS PGothic" w:eastAsia="MS PGothic" w:hAnsi="MS PGothic"/>
                <w:sz w:val="18"/>
                <w:szCs w:val="18"/>
                <w:color w:val="auto"/>
              </w:rPr>
              <w: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160" w:type="dxa"/>
            <w:vAlign w:val="bottom"/>
            <w:vMerge w:val="continue"/>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447</w:t>
            </w:r>
          </w:p>
        </w:tc>
        <w:tc>
          <w:tcPr>
            <w:tcW w:w="140" w:type="dxa"/>
            <w:vAlign w:val="bottom"/>
          </w:tcPr>
          <w:p>
            <w:pPr>
              <w:spacing w:after="0"/>
              <w:rPr>
                <w:sz w:val="22"/>
                <w:szCs w:val="22"/>
                <w:color w:val="auto"/>
              </w:rPr>
            </w:pP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17 %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16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 %</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949325</wp:posOffset>
            </wp:positionH>
            <wp:positionV relativeFrom="paragraph">
              <wp:posOffset>-179705</wp:posOffset>
            </wp:positionV>
            <wp:extent cx="106045" cy="869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Percentage change is not meaningful.</w:t>
      </w:r>
    </w:p>
    <w:p>
      <w:pPr>
        <w:spacing w:after="0" w:line="50"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Measures” for details, including a reconciliation between net income and Adjusted</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Change in Net Revenues for the Nine Months Ended September 30, 2025 vs. the Nine Months Ended September 30, 2024</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106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gridSpan w:val="3"/>
          </w:tcPr>
          <w:p>
            <w:pPr>
              <w:ind w:left="1240"/>
              <w:spacing w:after="0"/>
              <w:rPr>
                <w:sz w:val="20"/>
                <w:szCs w:val="20"/>
                <w:color w:val="auto"/>
              </w:rPr>
            </w:pPr>
            <w:r>
              <w:rPr>
                <w:rFonts w:ascii="Times New Roman" w:cs="Times New Roman" w:eastAsia="Times New Roman" w:hAnsi="Times New Roman"/>
                <w:sz w:val="14"/>
                <w:szCs w:val="14"/>
                <w:b w:val="1"/>
                <w:bCs w:val="1"/>
                <w:color w:val="auto"/>
              </w:rPr>
              <w:t>Volume/Mix</w:t>
            </w: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1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r>
      <w:tr>
        <w:trPr>
          <w:trHeight w:val="186"/>
        </w:trPr>
        <w:tc>
          <w:tcPr>
            <w:tcW w:w="4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Non-Retail</w:t>
            </w: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37"/>
        </w:trPr>
        <w:tc>
          <w:tcPr>
            <w:tcW w:w="412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46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r>
      <w:tr>
        <w:trPr>
          <w:trHeight w:val="243"/>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Reynolds Cooking &amp; Baking</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r>
      <w:tr>
        <w:trPr>
          <w:trHeight w:val="243"/>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Hefty Waste &amp; Storage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4 %</w:t>
            </w:r>
          </w:p>
        </w:tc>
      </w:tr>
      <w:tr>
        <w:trPr>
          <w:trHeight w:val="27"/>
        </w:trPr>
        <w:tc>
          <w:tcPr>
            <w:tcW w:w="4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Hefty Tableware</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 %</w:t>
            </w:r>
          </w:p>
        </w:tc>
      </w:tr>
      <w:tr>
        <w:trPr>
          <w:trHeight w:val="243"/>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Presto Products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4 %</w:t>
            </w:r>
          </w:p>
        </w:tc>
      </w:tr>
      <w:tr>
        <w:trPr>
          <w:trHeight w:val="27"/>
        </w:trPr>
        <w:tc>
          <w:tcPr>
            <w:tcW w:w="4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43"/>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RCP</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7"/>
        </w:trPr>
        <w:tc>
          <w:tcPr>
            <w:tcW w:w="4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r>
    </w:tbl>
    <w:p>
      <w:pPr>
        <w:spacing w:after="0" w:line="34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Total Net Revenues</w:t>
      </w:r>
      <w:r>
        <w:rPr>
          <w:rFonts w:ascii="Times New Roman" w:cs="Times New Roman" w:eastAsia="Times New Roman" w:hAnsi="Times New Roman"/>
          <w:sz w:val="18"/>
          <w:szCs w:val="18"/>
          <w:color w:val="auto"/>
        </w:rPr>
        <w:t>. Total net revenues increased by $12 million to $2,687 million. The increase was primarily driven by higher pricing related to the pass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of higher input costs and the timing of promotional activities, partially offset by lower retail volume.</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increased by $62 million, or 3%, to $2,039 million. The increase was primarily driven by higher input, manufacturing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logistics costs, partially offset by lower sales volume.</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decreased by $29 million, or 9%, to $300 million primarily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lower personnel and advertising costs.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Other expense, net was $32 million in the nine months ended September 30, 2025, reflecting costs to execute strategic initiatives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associated with our CEO transition.</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Net</w:t>
      </w:r>
      <w:r>
        <w:rPr>
          <w:rFonts w:ascii="Times New Roman" w:cs="Times New Roman" w:eastAsia="Times New Roman" w:hAnsi="Times New Roman"/>
          <w:sz w:val="18"/>
          <w:szCs w:val="18"/>
          <w:color w:val="auto"/>
        </w:rPr>
        <w:t>. Interest expense, net decreased by $13 million, or 17%, to $63 million. The decrease was primarily due to lower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balance as a result of voluntary principal payments made on our term loan facility.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7" w:name="page28"/>
    <w:bookmarkEnd w:id="27"/>
    <w:p>
      <w:pPr>
        <w:spacing w:after="0" w:line="5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Debt Refinancing Expense</w:t>
      </w:r>
      <w:r>
        <w:rPr>
          <w:rFonts w:ascii="Times New Roman" w:cs="Times New Roman" w:eastAsia="Times New Roman" w:hAnsi="Times New Roman"/>
          <w:sz w:val="18"/>
          <w:szCs w:val="18"/>
          <w:color w:val="auto"/>
        </w:rPr>
        <w:t>. In connection with the refinancing of our senior secured term loan facility in March 2025, we recorded debt refinancing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of $13 million in the nine months ended September 30, 2025.</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We recognized income tax expense of $56 million on income before taxes of $240 million (an effective tax rate of 23.3%) for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2025 compared to income tax expense of $62 million on income before taxes of $293 million (an effective tax rate of 21.1%) for the nine months ended September 30, 2024.</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Adjusted EBITDA decreased by $18 million, or 4%, to $447 million. The decrease in Adjusted EBITDA was primarily attributable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retail volume and higher material and manufacturing costs, partially offset by higher pricing, lower promotional spend and lower selling, general and administrative expenses.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Reynolds Cooking &amp; Baking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40" w:type="dxa"/>
            <w:vAlign w:val="bottom"/>
            <w:gridSpan w:val="4"/>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2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6"/>
                <w:szCs w:val="16"/>
                <w:color w:val="auto"/>
              </w:rPr>
            </w:pP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2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Non-retail net revenues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862</w:t>
            </w:r>
          </w:p>
        </w:tc>
        <w:tc>
          <w:tcPr>
            <w:tcW w:w="2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841</w:t>
            </w:r>
          </w:p>
        </w:tc>
        <w:tc>
          <w:tcPr>
            <w:tcW w:w="3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16 %</w:t>
            </w:r>
          </w:p>
        </w:tc>
        <w:tc>
          <w:tcPr>
            <w:tcW w:w="2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16 %</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Total Segment Net Revenues</w:t>
      </w:r>
      <w:r>
        <w:rPr>
          <w:rFonts w:ascii="Times New Roman" w:cs="Times New Roman" w:eastAsia="Times New Roman" w:hAnsi="Times New Roman"/>
          <w:sz w:val="18"/>
          <w:szCs w:val="18"/>
          <w:color w:val="auto"/>
        </w:rPr>
        <w:t>. Reynolds Cooking &amp; Baking total segment net revenues increased by $21 million, or 2%, to $862 million. The increase in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was primarily due to higher pricing driven by the pass through of higher input costs and higher non-retail volume, partially offset by lower retail volume.</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Reynolds Cooking &amp; Baking Adjusted EBITDA increased by $4 million, or 3%, to $140 million. The increase in Adjusted EBITDA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driven by the timing of pricing actions to recover higher input costs and lower selling, general and administrative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Waste &amp; Storage</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1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11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1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480" w:type="dxa"/>
            <w:vAlign w:val="bottom"/>
            <w:tcBorders>
              <w:bottom w:val="single" w:sz="8" w:color="CCEEFF"/>
            </w:tcBorders>
            <w:gridSpan w:val="2"/>
            <w:shd w:val="clear" w:color="auto" w:fill="CCEEFF"/>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21"/>
                <w:szCs w:val="21"/>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Total Segment Net Revenues</w:t>
      </w:r>
      <w:r>
        <w:rPr>
          <w:rFonts w:ascii="Times New Roman" w:cs="Times New Roman" w:eastAsia="Times New Roman" w:hAnsi="Times New Roman"/>
          <w:sz w:val="18"/>
          <w:szCs w:val="18"/>
          <w:color w:val="auto"/>
        </w:rPr>
        <w:t>. Hefty Waste &amp; Storage total segment net revenues increased by $29 million, or 4%, to $761 million. The increase in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was primarily driven by increased volume.</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Hefty Waste &amp; Storage Adjusted EBITDA decreased by $7 million, or 3%, to $203 million. The decrease in Adjusted EBITDA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higher input, manufacturing and logistics costs, partially offset by higher volume and lower selling, general and administrative expenses.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Tableware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2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2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440" w:type="dxa"/>
            <w:vAlign w:val="bottom"/>
            <w:tcBorders>
              <w:bottom w:val="single" w:sz="8" w:color="CCEEFF"/>
            </w:tcBorders>
            <w:gridSpan w:val="2"/>
            <w:shd w:val="clear" w:color="auto" w:fill="CCEEFF"/>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(59)</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(14)</w:t>
            </w:r>
          </w:p>
        </w:tc>
        <w:tc>
          <w:tcPr>
            <w:tcW w:w="260" w:type="dxa"/>
            <w:vAlign w:val="bottom"/>
          </w:tcPr>
          <w:p>
            <w:pPr>
              <w:spacing w:after="0"/>
              <w:rPr>
                <w:sz w:val="21"/>
                <w:szCs w:val="21"/>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Net Revenues. </w:t>
      </w:r>
      <w:r>
        <w:rPr>
          <w:rFonts w:ascii="Times New Roman" w:cs="Times New Roman" w:eastAsia="Times New Roman" w:hAnsi="Times New Roman"/>
          <w:sz w:val="18"/>
          <w:szCs w:val="18"/>
          <w:color w:val="auto"/>
        </w:rPr>
        <w:t>Hefty Tableware total segment net revenues decreased by $59 million, or 9%, to $622 million. The decrease in net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due to lower foam volume, partially offset by higher pricing primarily due to lower promotional activities.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Hefty Tableware Adjusted EBITDA decreased by $14 million, or 15%, to $81 million. The decrease in Adjusted EBITDA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lower foam volume and higher related costs, partially offset by lower selling, general and administrative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Presto Products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2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11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2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480" w:type="dxa"/>
            <w:vAlign w:val="bottom"/>
            <w:tcBorders>
              <w:bottom w:val="single" w:sz="8" w:color="CCEEFF"/>
            </w:tcBorders>
            <w:gridSpan w:val="2"/>
            <w:shd w:val="clear" w:color="auto" w:fill="CCEEFF"/>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5"/>
              </w:rPr>
              <w:t>(5)</w:t>
            </w:r>
          </w:p>
        </w:tc>
        <w:tc>
          <w:tcPr>
            <w:tcW w:w="260" w:type="dxa"/>
            <w:vAlign w:val="bottom"/>
          </w:tcPr>
          <w:p>
            <w:pPr>
              <w:spacing w:after="0"/>
              <w:rPr>
                <w:sz w:val="21"/>
                <w:szCs w:val="21"/>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Net Revenues. </w:t>
      </w:r>
      <w:r>
        <w:rPr>
          <w:rFonts w:ascii="Times New Roman" w:cs="Times New Roman" w:eastAsia="Times New Roman" w:hAnsi="Times New Roman"/>
          <w:sz w:val="18"/>
          <w:szCs w:val="18"/>
          <w:color w:val="auto"/>
        </w:rPr>
        <w:t>Presto Products total segment net revenues increased by $16 million, or 4%, to $460 million. The increase in net revenues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higher volume.</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Presto Products Adjusted EBITDA decreased by $5 million, or 5%, to $94 million. The decrease in Adjusted EBITDA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higher operational costs associated with scaling new distribution.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existing cash and cash equivalents, cash generated from operating activities and available borrowings under the Revolving Facility.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discloses our cash flows for the periods presented:</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80" w:type="dxa"/>
            <w:vAlign w:val="bottom"/>
            <w:gridSpan w:val="4"/>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37"/>
        </w:trPr>
        <w:tc>
          <w:tcPr>
            <w:tcW w:w="8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0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0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37"/>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Decrease in cash and cash equivalents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operating activities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Net cash from operating activities decreased by $67 million to $240 million in the nine months ended September 30, 2025. </w:t>
      </w:r>
      <w:r>
        <w:rPr>
          <w:rFonts w:ascii="Times New Roman" w:cs="Times New Roman" w:eastAsia="Times New Roman" w:hAnsi="Times New Roman"/>
          <w:sz w:val="18"/>
          <w:szCs w:val="18"/>
          <w:color w:val="212529"/>
        </w:rPr>
        <w:t>The decrease was primarily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driven by lower net income and changes in working capital accounts.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increased by $45 million to $124 million. The increase was driven by an increase in cash outlays for capital expenditures.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financing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decreased by $47 million to $200 million. The decrease was primarily attributable to $50 million of voluntary principal payments made on our Term Loan Facility during the nine months ended September 30, 2025, compared to $100 million of voluntary principal payments made on our Term Loan Facility during the nine months ended September 30, 2024.</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Debt Facilities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External Debt Facilities consist of a senior secured term loan facility (“Term Loan Facility”) and a $700 million senior secured revolving credit facility (“Revolving Facility”) in a syndicated loan arrangement. During March 2025, we amended the Term Loan Facility, replacing the then-existing facility, which was originally set to mature in February 2027, with a new $1,645 million facility maturing in March 2032 (“Amendment No. 4”). Other than the new maturity date and the recommencement of quarterly amortization payments, the material terms of our External Debt Facilities remain unchanged as a result of Amendment No. 4.</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the outstanding balance under the Term Loan Facility was $1,636 million. As of September 30, 2025, we had no outstanding borrowings under the Revolving Facility, and we had $7 million of letters of credit outstanding, which reduces the borrowing capacity under the Revolving Facility.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borrower under the External Debt Facilities is Reynolds Consumer Products LLC (the “Borrower”). The Revolving Facility includes a sub-facility for letters of credit. In addition, the External Debt Facilities provide that the Borrower has the right at any time, subject to customary conditions, to request incremental term loans or incremental revolving credit commitments in amounts and on terms set forth therein. The lenders under the External Debt Facilities are not under any obligation to provide any such incremental loans or commitments, and any such addition of or increase in loans is subject to certain customary conditions precedent and other provisions.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Borrowings under the External Debt Facilities bear interest at a rate per annum equal to, at our option, either a base rate plus an applicable margin of 0.75% or SOFR plus an applicable margin of 1.75%.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entered into a series of interest rate swaps to fix the SOFR of our External Debt Facilities.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notional amount of interest rate swaps in effect as of September 30, 2025 was $1,000 million, and the SOFR was fixed at an annual rate of 2.66% to 3.40% (for an annual effective interest rate of 4.41% to 5.15%, including margin). These interest rate swaps hedge a portion of the interest rate exposure resulting from borrowings under our Term Loan Facility for less than one year.</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during the nine months ended September 30, 2025, we entered into additional interest rate swaps with forward start dates beginning in February 2026, that had an aggregate notional value of $900 million, which fixes the SOFR to an annual rate of 3.33% to 3.41% (for an annual effective interest rate of 5.08% to 5.16%, including margin). These interest rate swaps with forward start dates have maturity dates between March 2028 and March 2031.</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Prepayments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Loan Facility contains customary mandatory prepayments, including with respect to excess cash flow, asset sale proceeds and proceeds from certain incurrences of indebtedness.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Borrower may voluntarily repay outstanding loans under the Term Loan Facility at any time without premium or penalty, other than customary breakage costs with respect to SOFR based loans.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prior to Amendment No. 4, we made voluntary principal payments of $50 million related to our Term Loan Facility, which were applied to the outstanding principal balance due at maturity. Subsequent to September 30, 2025, we made a voluntary principal payment of $50 million related to our Term Loan Facility, which was applied against future quarterly amortization payments.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and maturity</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Term Loan Facility matures in March 2032. The Term Loan Facility amortizes in equal quarterly installments of $4 million, which commenced in June 2025, with the balance payable on maturity.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Revolving Facility matures in October 2029.</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 and security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obligations under the External Debt Facilities and certain hedge agreements and cash management arrangements provided by any lender party to the External Debt Facilities or any of its affiliates and certain other persons are unconditionally guaranteed by Reynolds Consumer Products Inc. (“RCPI”), the Borrower (with respect to hedge agreements and cash management arrangements not entered into by the Borrower) and certain of RCPI’s existing and subsequently acquired or organized direct or indirect material wholly-owned U.S. restricted subsidiaries, with customary exceptions including, among other things, where providing such guarantees is not permitted by law, regulation or contract or would result in material adverse tax consequences.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obligations under the External Debt Facilities and certain hedge agreements and cash management arrangements provided by any lender party to the External Debt Facilities or any of its affiliates and certain other persons, and the guarantees of such obligations, are secured, subject to permitted liens and other exceptions, by: (i) a perfected first-priority pledge of all the equity interests of each wholly-owned material restricted subsidiary of RCPI, the Borrower or a subsidiary guarantor, including the equity interests of the Borrower (limited to 65% of voting stock in the case of first-tier non-U.S. subsidiaries of RCPI, the Borrower or any subsidiary guarantor) and (ii) perfected first-priority security interests in substantially all tangible and intangible personal property of RCPI, the Borrower and the subsidiary guarantors (subject to certain other exclusions).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covenants and events of default</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External Debt Facilities contain a number of covenants that, among other things, restrict, subject to certain exceptions, our ability and the ability of the restricted subsidiaries of RCPI to:</w:t>
      </w:r>
    </w:p>
    <w:p>
      <w:pPr>
        <w:spacing w:after="0" w:line="54" w:lineRule="exact"/>
        <w:rPr>
          <w:sz w:val="20"/>
          <w:szCs w:val="20"/>
          <w:color w:val="auto"/>
        </w:rPr>
      </w:pPr>
    </w:p>
    <w:p>
      <w:pPr>
        <w:ind w:left="880" w:hanging="431"/>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or consolidations;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or repurchase capital stock;</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indebtedness;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loans and advances;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which limit the ability of our restricted subsidiaries to incur restrictions on their ability to make distributions; and</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amendments to certain indebtedness in a manner materially adverse to the lenders.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External Debt Facilities contain a springing financial covenant requiring compliance with a ratio of first lien net indebtedness to consolidated EBITDA, applicable solely to the Revolving Facility. The financial covenant is tested on the last day of any fiscal quarter only if the aggregate principal amount of borrowings under the Revolving Facility and drawn but unreimbursed letters of credit exceed 35% of the total amount of commitments under the Revolving Facility on such day.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event of default occurs, the lenders under the External Debt Facilities are entitled to take various actions, including the acceleration of amounts due under the External Debt Facilities and all actions permitted to be taken by secured creditors.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currently in compliance with the covenants contained in our External Debt Facilities.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Factoring</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 xml:space="preserve">We are party to a factoring agreement with JP Morgan Chase Bank, N.A. to sell certain accounts receivable up to $95 million. We had no factored receivables as of </w:t>
      </w:r>
      <w:r>
        <w:rPr>
          <w:rFonts w:ascii="Times New Roman" w:cs="Times New Roman" w:eastAsia="Times New Roman" w:hAnsi="Times New Roman"/>
          <w:sz w:val="18"/>
          <w:szCs w:val="18"/>
          <w:color w:val="000000"/>
        </w:rPr>
        <w:t>September 30, 2025</w:t>
      </w:r>
      <w:r>
        <w:rPr>
          <w:rFonts w:ascii="Times New Roman" w:cs="Times New Roman" w:eastAsia="Times New Roman" w:hAnsi="Times New Roman"/>
          <w:sz w:val="18"/>
          <w:szCs w:val="18"/>
          <w:color w:val="212529"/>
        </w:rPr>
        <w:t>. Transactions under this agreement are accounted for as sales of accounts receivable, and the receivables sold are removed from the condensed consolidated balance sheet at the time of the sales transaction. We classify proceeds received from sales of accounts receivable as an operating cash flow in the condensed consolidated statement of cash flows. We record the discount as other expense, net in the condensed consolidated statement of income.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Supply Chain Financing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voluntary Supply Chain Finance program (the “SCF”) with a global financial institution. All outstanding amounts related to suppliers participating in the SCF are recorded within accounts payable in our condensed consolidated balance sheet and associated payments are included as an operating cash flow in the condensed consolidated statement of cash flows. As of September 30, 2025 and December 31, 2024, the amount of obligations outstanding that we have confirmed as valid under the SCF was $10 million and $12 million, respectively.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Dividends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2025, cash dividends of $0.23 and $0.69 per share, respectively, were declared and paid. On October 23, 2025, a quarterly cash dividend of $0.23 per share was declared and is to be paid on November 28, 2025. We expect to continue paying cash dividends on a quarterly basis; however, future dividends are at the discretion of our Board of Directors and will depend upon our earnings, capital requirements, financial condition, contractual limitations (including under the External Debt Facilities) and other factors.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2" w:name="page33"/>
    <w:bookmarkEnd w:id="32"/>
    <w:p>
      <w:pPr>
        <w:spacing w:after="0" w:line="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projected cash position, cash flows from operations, including proceeds from factored receivables, and available borrowings under the Revolving Facility are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Actual results of operations will depend on numerous factors, many of which are beyond our control as further discussed in “Item 1A. Risk Factors” in our Annual Report on Form 10-K for the fiscal year ended December 31, 2024.</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Accounting policies and estimates are considered critical when they require management to make subjective and complex judgments, estimates and assumptions about matters that have a material impact on the presentation of our financial statements and accompanying notes. For a description of our critical accounting policies and estimates, see our Annual Report on Form 10-K for the fiscal year ended December 31, 2024.</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“Item 7A: Quantitative and Qualitative Disclosures About Market Risk” of our Annual Report on Form 10-K for the fiscal year ended December 31, 2024. During the nine months ended September 30, 2025, there have been no material changes in our exposure to market risk.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left="880" w:hanging="431"/>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Securities Exchange Act of 1934, as amended (the “Exchange Act”)) are designed to ensure that information required to be disclosed in reports filed or submitted under the Exchange Act is recorded, processed, summarized, and reported within the time periods specified in the SEC rules and forms, and that such information is accumulated and communicated to management, including our Chief Executive Officer and Chief Financial Officer, to allow timely decisions regarding required disclosures.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this report, management, under the supervision and with the participation of the Chief Executive Officer and Chief Financial Officer, conducted an evaluation of the effectiveness of the design and operation of our disclosure controls and procedures as of September 30, 2025. Based on that evaluation, our Chief Executive Officer and Chief Financial Officer have concluded that, as of September 30, 2025, our disclosure controls and procedures were effective.</w:t>
      </w:r>
    </w:p>
    <w:p>
      <w:pPr>
        <w:spacing w:after="0" w:line="180" w:lineRule="exact"/>
        <w:rPr>
          <w:sz w:val="20"/>
          <w:szCs w:val="20"/>
          <w:color w:val="auto"/>
        </w:rPr>
      </w:pPr>
    </w:p>
    <w:p>
      <w:pPr>
        <w:ind w:left="880" w:hanging="431"/>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September 30, 2025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to be set forth under this heading is incorporated by reference from Note 7 - Commitments and Contingencies, to the condensed consolidated financial statements included in Part I, Item 1.</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disclosed in our Annual Report on Form 10-K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5" w:name="page36"/>
    <w:bookmarkEnd w:id="35"/>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none of our directors or officers (as defined in Rule 16a-1(f) of the Exchange Act) adopted or terminated any contract, instruction or written plan for the purchase or sale of our securities that was intended to satisfy the affirmative defense conditions of Rule 10b5-1(c) of the Exchange Act or any non-Rule 10b5-1 trading arrangement (as identified in Item 408(c) of Regulation S-K).</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40" w:type="dxa"/>
            <w:vAlign w:val="bottom"/>
            <w:gridSpan w:val="9"/>
          </w:tcPr>
          <w:p>
            <w:pPr>
              <w:ind w:left="980"/>
              <w:spacing w:after="0"/>
              <w:rPr>
                <w:sz w:val="20"/>
                <w:szCs w:val="20"/>
                <w:color w:val="auto"/>
              </w:rPr>
            </w:pPr>
            <w:r>
              <w:rPr>
                <w:rFonts w:ascii="Times New Roman" w:cs="Times New Roman" w:eastAsia="Times New Roman" w:hAnsi="Times New Roman"/>
                <w:sz w:val="18"/>
                <w:szCs w:val="18"/>
                <w:b w:val="1"/>
                <w:bCs w:val="1"/>
                <w:color w:val="auto"/>
              </w:rPr>
              <w:t>Item 6. Exhibits.</w:t>
            </w:r>
          </w:p>
        </w:tc>
      </w:tr>
      <w:tr>
        <w:trPr>
          <w:trHeight w:val="448"/>
        </w:trPr>
        <w:tc>
          <w:tcPr>
            <w:tcW w:w="14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0"/>
        </w:trPr>
        <w:tc>
          <w:tcPr>
            <w:tcW w:w="14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40" w:type="dxa"/>
            <w:vAlign w:val="bottom"/>
            <w:gridSpan w:val="9"/>
          </w:tcPr>
          <w:p>
            <w:pPr>
              <w:ind w:left="20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39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452"/>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2"/>
          </w:tcPr>
          <w:p>
            <w:pPr>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Amended and Restated Certificate of Incorporation, conformed version that includes all amendments through April 25, 2024</w:t>
              </w:r>
            </w:hyperlink>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39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12"/>
          </w:tcPr>
          <w:p>
            <w:pPr>
              <w:spacing w:after="0" w:line="19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(incorporated herein by reference to Exhibit 3.1 to the Company’s Quarterly Report on Form 10-Q filed with the SEC on August 7,</w:t>
              </w:r>
            </w:hyperlink>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39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ind w:left="20"/>
              <w:spacing w:after="0" w:line="196" w:lineRule="exact"/>
              <w:rPr>
                <w:rFonts w:ascii="Times New Roman" w:cs="Times New Roman" w:eastAsia="Times New Roman" w:hAnsi="Times New Roman"/>
                <w:sz w:val="18"/>
                <w:szCs w:val="18"/>
                <w:color w:val="0000FF"/>
                <w:w w:val="95"/>
              </w:rPr>
            </w:pPr>
            <w:hyperlink r:id="rId54">
              <w:r>
                <w:rPr>
                  <w:rFonts w:ascii="Times New Roman" w:cs="Times New Roman" w:eastAsia="Times New Roman" w:hAnsi="Times New Roman"/>
                  <w:sz w:val="18"/>
                  <w:szCs w:val="18"/>
                  <w:color w:val="0000FF"/>
                  <w:w w:val="95"/>
                </w:rPr>
                <w:t>2024)</w:t>
              </w:r>
            </w:hyperlink>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12"/>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Amended and Restated By-Laws (incorporated herein by reference to Exhibit 3.2 to the Company’s Current Report on Form 8-K filed</w:t>
              </w:r>
            </w:hyperlink>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55">
              <w:r>
                <w:rPr>
                  <w:rFonts w:ascii="Times New Roman" w:cs="Times New Roman" w:eastAsia="Times New Roman" w:hAnsi="Times New Roman"/>
                  <w:sz w:val="18"/>
                  <w:szCs w:val="18"/>
                  <w:color w:val="0000FF"/>
                  <w:w w:val="98"/>
                </w:rPr>
                <w:t>with the SEC on February 4, 2020)</w:t>
              </w:r>
            </w:hyperlink>
          </w:p>
        </w:tc>
        <w:tc>
          <w:tcPr>
            <w:tcW w:w="7120" w:type="dxa"/>
            <w:vAlign w:val="bottom"/>
            <w:tcBorders>
              <w:top w:val="single" w:sz="8" w:color="0000FF"/>
            </w:tcBorders>
            <w:gridSpan w:val="8"/>
          </w:tcPr>
          <w:p>
            <w:pPr>
              <w:spacing w:after="0"/>
              <w:rPr>
                <w:sz w:val="17"/>
                <w:szCs w:val="17"/>
                <w:color w:val="auto"/>
              </w:rPr>
            </w:pPr>
          </w:p>
        </w:tc>
        <w:tc>
          <w:tcPr>
            <w:tcW w:w="120" w:type="dxa"/>
            <w:vAlign w:val="bottom"/>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 under the Securities Exchange Act of 1934, as</w:t>
            </w:r>
          </w:p>
        </w:tc>
        <w:tc>
          <w:tcPr>
            <w:tcW w:w="140" w:type="dxa"/>
            <w:vAlign w:val="bottom"/>
            <w:gridSpan w:val="2"/>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780" w:type="dxa"/>
            <w:vAlign w:val="bottom"/>
            <w:gridSpan w:val="8"/>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 and 15d-14(a) under the Securities Exchange Act of 1934, as</w:t>
            </w:r>
          </w:p>
        </w:tc>
        <w:tc>
          <w:tcPr>
            <w:tcW w:w="200" w:type="dxa"/>
            <w:vAlign w:val="bottom"/>
            <w:gridSpan w:val="4"/>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780" w:type="dxa"/>
            <w:vAlign w:val="bottom"/>
            <w:gridSpan w:val="8"/>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w:t>
            </w:r>
          </w:p>
        </w:tc>
        <w:tc>
          <w:tcPr>
            <w:tcW w:w="160" w:type="dxa"/>
            <w:vAlign w:val="bottom"/>
            <w:gridSpan w:val="3"/>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7"/>
              </w:rPr>
              <w:t>Oxley Act of 2002.</w:t>
            </w:r>
          </w:p>
        </w:tc>
        <w:tc>
          <w:tcPr>
            <w:tcW w:w="8380" w:type="dxa"/>
            <w:vAlign w:val="bottom"/>
            <w:gridSpan w:val="10"/>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7"/>
              </w:rPr>
              <w:t>Oxley Act of 2002.</w:t>
            </w:r>
          </w:p>
        </w:tc>
        <w:tc>
          <w:tcPr>
            <w:tcW w:w="8160" w:type="dxa"/>
            <w:vAlign w:val="bottom"/>
            <w:tcBorders>
              <w:top w:val="single" w:sz="8" w:color="0000FF"/>
            </w:tcBorders>
            <w:gridSpan w:val="5"/>
          </w:tcPr>
          <w:p>
            <w:pPr>
              <w:spacing w:after="0"/>
              <w:rPr>
                <w:sz w:val="17"/>
                <w:szCs w:val="17"/>
                <w:color w:val="auto"/>
              </w:rPr>
            </w:pPr>
          </w:p>
        </w:tc>
        <w:tc>
          <w:tcPr>
            <w:tcW w:w="220" w:type="dxa"/>
            <w:vAlign w:val="bottom"/>
            <w:gridSpan w:val="5"/>
          </w:tcPr>
          <w:p>
            <w:pPr>
              <w:spacing w:after="0"/>
              <w:rPr>
                <w:sz w:val="17"/>
                <w:szCs w:val="17"/>
                <w:color w:val="auto"/>
              </w:rPr>
            </w:pPr>
          </w:p>
        </w:tc>
      </w:tr>
      <w:tr>
        <w:trPr>
          <w:trHeight w:val="272"/>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3"/>
                <w:szCs w:val="23"/>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r>
      <w:tr>
        <w:trPr>
          <w:trHeight w:val="234"/>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7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3"/>
                <w:szCs w:val="23"/>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7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3"/>
                <w:szCs w:val="23"/>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7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3"/>
                <w:szCs w:val="23"/>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7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3"/>
                <w:szCs w:val="23"/>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7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3"/>
                <w:szCs w:val="23"/>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7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w:t>
      </w:r>
    </w:p>
    <w:p>
      <w:pPr>
        <w:spacing w:after="0" w:line="31"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REYNOLDS CONSUMER PRODUCTS INC.</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(Registrant)</w:t>
      </w:r>
    </w:p>
    <w:p>
      <w:pPr>
        <w:spacing w:after="0" w:line="320"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Chris Mayrhofer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26035</wp:posOffset>
            </wp:positionV>
            <wp:extent cx="34118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Chris Mayrhofer</w:t>
      </w:r>
    </w:p>
    <w:p>
      <w:pPr>
        <w:spacing w:after="0" w:line="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Senior Vice President and Controller</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October 29, 2025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25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Huckins, certify that:</w:t>
      </w:r>
    </w:p>
    <w:p>
      <w:pPr>
        <w:spacing w:after="0" w:line="225"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Reynolds Consumer Products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640" w:val="left"/>
          <w:tab w:leader="none" w:pos="8000" w:val="left"/>
        </w:tabs>
        <w:rPr>
          <w:sz w:val="20"/>
          <w:szCs w:val="20"/>
          <w:color w:val="auto"/>
        </w:rPr>
      </w:pPr>
      <w:r>
        <w:rPr>
          <w:rFonts w:ascii="Times New Roman" w:cs="Times New Roman" w:eastAsia="Times New Roman" w:hAnsi="Times New Roman"/>
          <w:sz w:val="18"/>
          <w:szCs w:val="18"/>
          <w:color w:val="auto"/>
        </w:rPr>
        <w:t>Date: October 29,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Huckins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3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Scott Huckins</w:t>
      </w:r>
    </w:p>
    <w:p>
      <w:pPr>
        <w:spacing w:after="0" w:line="50"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92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Nathan Lowe, certify that:</w:t>
      </w:r>
    </w:p>
    <w:p>
      <w:pPr>
        <w:spacing w:after="0" w:line="225"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Reynolds Consumer Products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640" w:val="left"/>
          <w:tab w:leader="none" w:pos="8020" w:val="left"/>
        </w:tabs>
        <w:rPr>
          <w:sz w:val="20"/>
          <w:szCs w:val="20"/>
          <w:color w:val="auto"/>
        </w:rPr>
      </w:pPr>
      <w:r>
        <w:rPr>
          <w:rFonts w:ascii="Times New Roman" w:cs="Times New Roman" w:eastAsia="Times New Roman" w:hAnsi="Times New Roman"/>
          <w:sz w:val="18"/>
          <w:szCs w:val="18"/>
          <w:color w:val="auto"/>
        </w:rPr>
        <w:t>Date: October 29,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Nathan Lowe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3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Nathan Lowe</w:t>
      </w:r>
    </w:p>
    <w:p>
      <w:pPr>
        <w:spacing w:after="0" w:line="50"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92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Reynolds Consumer Products Inc. (the “Company”) on Form 10-Q for the period ended September 30, 2025 as filed with the Securities and Exchange Commission on the date hereof (the “Report”), I, Scott Huckins, President and Chief Executive Officer, certify, pursuant to 18 U.S.C. § 1350, as adopted pursuant to §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16" w:lineRule="exact"/>
        <w:rPr>
          <w:sz w:val="20"/>
          <w:szCs w:val="20"/>
          <w:color w:val="auto"/>
        </w:rPr>
      </w:pPr>
    </w:p>
    <w:p>
      <w:pPr>
        <w:ind w:left="20"/>
        <w:spacing w:after="0"/>
        <w:tabs>
          <w:tab w:leader="none" w:pos="5640" w:val="left"/>
          <w:tab w:leader="none" w:pos="8000" w:val="left"/>
        </w:tabs>
        <w:rPr>
          <w:sz w:val="20"/>
          <w:szCs w:val="20"/>
          <w:color w:val="auto"/>
        </w:rPr>
      </w:pPr>
      <w:r>
        <w:rPr>
          <w:rFonts w:ascii="Times New Roman" w:cs="Times New Roman" w:eastAsia="Times New Roman" w:hAnsi="Times New Roman"/>
          <w:sz w:val="18"/>
          <w:szCs w:val="18"/>
          <w:color w:val="auto"/>
        </w:rPr>
        <w:t>Date: October 29,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Huckins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Scott Huckins</w:t>
      </w:r>
    </w:p>
    <w:p>
      <w:pPr>
        <w:spacing w:after="0" w:line="50"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92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Reynolds Consumer Products Inc. (the “Company”) on Form 10-Q for the period ended September 30, 2025 as filed with the Securities and Exchange Commission on the date hereof (the “Report”), I, Nathan Lowe, Chief Financial Officer, certify, pursuant to 18 U.S.C. § 1350, as adopted pursuant to §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16" w:lineRule="exact"/>
        <w:rPr>
          <w:sz w:val="20"/>
          <w:szCs w:val="20"/>
          <w:color w:val="auto"/>
        </w:rPr>
      </w:pPr>
    </w:p>
    <w:p>
      <w:pPr>
        <w:ind w:left="20"/>
        <w:spacing w:after="0"/>
        <w:tabs>
          <w:tab w:leader="none" w:pos="5640" w:val="left"/>
          <w:tab w:leader="none" w:pos="8020" w:val="left"/>
        </w:tabs>
        <w:rPr>
          <w:sz w:val="20"/>
          <w:szCs w:val="20"/>
          <w:color w:val="auto"/>
        </w:rPr>
      </w:pPr>
      <w:r>
        <w:rPr>
          <w:rFonts w:ascii="Times New Roman" w:cs="Times New Roman" w:eastAsia="Times New Roman" w:hAnsi="Times New Roman"/>
          <w:sz w:val="18"/>
          <w:szCs w:val="18"/>
          <w:color w:val="auto"/>
        </w:rPr>
        <w:t>Date: October 29,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Nathan Lowe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26035</wp:posOffset>
            </wp:positionV>
            <wp:extent cx="33172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Nathan Lowe</w:t>
      </w:r>
    </w:p>
    <w:p>
      <w:pPr>
        <w:spacing w:after="0" w:line="50"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lowerLetter"/>
      <w:start w:val="2"/>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54" Type="http://schemas.openxmlformats.org/officeDocument/2006/relationships/hyperlink" Target="https://www.sec.gov/Archives/edgar/data/1786431/000162828024035405/reyn-2024630x10qxexx33.htm" TargetMode="External"/><Relationship Id="rId55" Type="http://schemas.openxmlformats.org/officeDocument/2006/relationships/hyperlink" Target="https://www.sec.gov/Archives/edgar/data/0001786431/000119312520024304/d87478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2025-10-29T08:25:47Z</dcterms:created>
  <dcterms:modified xsi:type="dcterms:W3CDTF">2025-10-29T08:25:47Z</dcterms:modified>
</cp:coreProperties>
</file>