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2025 (July 23, 2025)</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ectPr>
          <w:pgSz w:w="11900" w:h="16838" w:orient="portrait"/>
          <w:cols w:equalWidth="0" w:num="1">
            <w:col w:w="11240"/>
          </w:cols>
          <w:pgMar w:left="320" w:top="1280" w:right="339" w:bottom="1440" w:gutter="0" w:footer="0" w:header="0"/>
        </w:sectPr>
      </w:pPr>
    </w:p>
    <w:p>
      <w:pPr>
        <w:spacing w:after="0" w:line="15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45-3464426</w:t>
      </w:r>
    </w:p>
    <w:p>
      <w:pPr>
        <w:spacing w:after="0" w:line="50" w:lineRule="exact"/>
        <w:rPr>
          <w:sz w:val="24"/>
          <w:szCs w:val="24"/>
          <w:color w:val="auto"/>
        </w:rPr>
      </w:pPr>
    </w:p>
    <w:p>
      <w:pPr>
        <w:sectPr>
          <w:pgSz w:w="11900" w:h="16838" w:orient="portrait"/>
          <w:cols w:equalWidth="0" w:num="3">
            <w:col w:w="4540" w:space="720"/>
            <w:col w:w="3000" w:space="720"/>
            <w:col w:w="226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200"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6"/>
          <w:szCs w:val="16"/>
          <w:b w:val="1"/>
          <w:bCs w:val="1"/>
          <w:color w:val="auto"/>
        </w:rPr>
        <w:t>1900 W. Field Court</w:t>
      </w:r>
    </w:p>
    <w:p>
      <w:pPr>
        <w:spacing w:after="0" w:line="2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60045</w:t>
      </w:r>
    </w:p>
    <w:p>
      <w:pPr>
        <w:spacing w:after="0" w:line="28"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280"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spacing w:after="0"/>
              <w:rPr>
                <w:sz w:val="15"/>
                <w:szCs w:val="15"/>
                <w:color w:val="auto"/>
              </w:rPr>
            </w:pP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REYN</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23, 2025, the Board of Directors (the “Board”) of Reynolds Consumer Products Inc. (the “Company”), acting upon the recommendation of the Compensation, Nominating and Corporate Governance Committee (the “CNG Committee”) of the Board, elected Duncan Hawkesby to the Board, effective on that date. Mr. Hawkesby will serve as a Class II director for a term expiring at the Company’s 2028 annual meeting of stockholders and until his successor is elected and qualified. In connection with Mr. Hawkesby’s election, the Board increased the size of the Board from 8 to 9 members. It is not anticipated that Mr. Hawkesby will be appointed as a member of any Board committees.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Hawkesby currently serves as the managing director of Hawkesby Management Limited, a private investment company, since 2018, and as a director of certain entities beneficially owned by Mr. Graeme Hart, including Graham Packaging Company Inc., a US plastic packaging manufacturing company, and Building Supplies Group Holdings Limited, a New Zealand building supplies company. Mr. Hawkesby previously served as a member of the Board of Directors of Pactiv Evergreen Inc., a manufacturer of fresh food and beverage packaging, from June 2022 to April 2025. Mr. Hawkesby was a director of TaxGift Limited, a New Zealand-based company that enables individuals to donate tax credits to charities and schools, from 2021 to 2023. He also previously served on the board of directors of Fliway’s joint venture with United Parcel Services, United Parcel Service - Fliway (NZ) Limited, from 2006 to 2023. Mr. Hawkesby holds a Bachelor of Commerce from the University of Otago.</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Hawkesby was designated as a director by Packaging Finance Limited (“PFL”), our controlling stockholder, pursuant to the Stockholders Agreement, dated as of February 4, 2020, between the Company and PFL. Mr. Hawkesby is the son-in-law of Mr. Graeme Hart, who is the ultimate owner of PFL. As a result of this affiliation, Mr. Hawkesby will not participate in the Company’s non-employee director compensation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1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9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Jill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Jill Barnett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200"/>
      </w:cols>
      <w:pgMar w:left="320" w:top="10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2025-07-25T15:06:19Z</dcterms:created>
  <dcterms:modified xsi:type="dcterms:W3CDTF">2025-07-25T15:06:19Z</dcterms:modified>
</cp:coreProperties>
</file>